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b/>
          <w:bCs/>
          <w:color w:val="009EE0"/>
          <w:sz w:val="24"/>
          <w:szCs w:val="28"/>
        </w:rPr>
        <w:id w:val="-508600344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742815" w:rsidRPr="00217F17" w:rsidRDefault="006B34C7" w:rsidP="00217F17">
          <w:pPr>
            <w:tabs>
              <w:tab w:val="num" w:pos="1560"/>
            </w:tabs>
            <w:rPr>
              <w:rFonts w:eastAsia="Times New Roman" w:cs="Segoe UI"/>
              <w:szCs w:val="18"/>
              <w:lang w:eastAsia="cs-CZ"/>
            </w:rPr>
          </w:pPr>
          <w:r w:rsidRPr="00217F17">
            <w:rPr>
              <w:rFonts w:eastAsia="Times New Roman" w:cs="Segoe UI"/>
              <w:szCs w:val="18"/>
              <w:lang w:eastAsia="cs-CZ"/>
            </w:rPr>
            <w:t>Tato příloha Smlouvy obsahuje požadavky na popis řešení stanovené Objednatelem doplněný Dodavatelem.</w:t>
          </w:r>
        </w:p>
        <w:p w:rsidR="006B34C7" w:rsidRPr="002E06C8" w:rsidRDefault="006B34C7" w:rsidP="00217F17">
          <w:pPr>
            <w:pStyle w:val="Nadpis1"/>
          </w:pPr>
          <w:bookmarkStart w:id="0" w:name="_Toc485308609"/>
          <w:r w:rsidRPr="002E06C8">
            <w:t>Návrh architektury systému</w:t>
          </w:r>
          <w:bookmarkEnd w:id="0"/>
        </w:p>
        <w:p w:rsidR="006B34C7" w:rsidRPr="002E06C8" w:rsidRDefault="006B34C7" w:rsidP="00217F17">
          <w:pPr>
            <w:pStyle w:val="Nadpis2"/>
          </w:pPr>
          <w:bookmarkStart w:id="1" w:name="_Toc485308610"/>
          <w:r w:rsidRPr="002E06C8">
            <w:t xml:space="preserve">Popis </w:t>
          </w:r>
          <w:r w:rsidRPr="00217F17">
            <w:t>komponent</w:t>
          </w:r>
          <w:r w:rsidRPr="002E06C8">
            <w:t xml:space="preserve"> řešení</w:t>
          </w:r>
          <w:bookmarkEnd w:id="1"/>
        </w:p>
        <w:p w:rsidR="006B34C7" w:rsidRPr="00217F17" w:rsidRDefault="006B34C7" w:rsidP="00217F17">
          <w:pPr>
            <w:pStyle w:val="Nadpis3"/>
          </w:pPr>
          <w:bookmarkStart w:id="2" w:name="_Toc485308611"/>
          <w:r w:rsidRPr="00217F17">
            <w:t>Diagram komponent řešení</w:t>
          </w:r>
          <w:bookmarkEnd w:id="2"/>
        </w:p>
        <w:p w:rsidR="006B34C7" w:rsidRPr="00217F17" w:rsidRDefault="006B34C7" w:rsidP="00217F17">
          <w:pPr>
            <w:pStyle w:val="Nadpis3"/>
          </w:pPr>
          <w:bookmarkStart w:id="3" w:name="_Toc485308612"/>
          <w:r w:rsidRPr="00217F17">
            <w:t xml:space="preserve">Mapování komponent na </w:t>
          </w:r>
          <w:r w:rsidR="00CC2ED0" w:rsidRPr="00217F17">
            <w:t xml:space="preserve">funkční </w:t>
          </w:r>
          <w:r w:rsidRPr="00217F17">
            <w:t>požadavky</w:t>
          </w:r>
          <w:bookmarkEnd w:id="3"/>
        </w:p>
        <w:p w:rsidR="006B34C7" w:rsidRPr="00217F17" w:rsidRDefault="006B34C7" w:rsidP="00217F17">
          <w:pPr>
            <w:pStyle w:val="Nadpis3"/>
          </w:pPr>
          <w:bookmarkStart w:id="4" w:name="_Toc485308613"/>
          <w:r w:rsidRPr="00217F17">
            <w:t>Implementace komponent řešení Dodavatele – SW produkty a nezbytný vývoj na zakázku</w:t>
          </w:r>
          <w:bookmarkEnd w:id="4"/>
        </w:p>
        <w:p w:rsidR="006B34C7" w:rsidRPr="00217F17" w:rsidRDefault="006B34C7" w:rsidP="00217F17">
          <w:pPr>
            <w:pStyle w:val="Nadpis3"/>
          </w:pPr>
          <w:bookmarkStart w:id="5" w:name="_Toc485308614"/>
          <w:r w:rsidRPr="00217F17">
            <w:t>Popis rozhraní a datových toků</w:t>
          </w:r>
          <w:bookmarkEnd w:id="5"/>
        </w:p>
        <w:p w:rsidR="006B34C7" w:rsidRPr="00217F17" w:rsidRDefault="006B34C7" w:rsidP="00217F17">
          <w:pPr>
            <w:pStyle w:val="Nadpis3"/>
          </w:pPr>
          <w:bookmarkStart w:id="6" w:name="_Toc485308615"/>
          <w:r w:rsidRPr="00217F17">
            <w:t>Popis implementace rozhraní a datových toků</w:t>
          </w:r>
          <w:bookmarkEnd w:id="6"/>
        </w:p>
        <w:p w:rsidR="006B34C7" w:rsidRPr="002E06C8" w:rsidRDefault="006B34C7" w:rsidP="00217F17">
          <w:pPr>
            <w:pStyle w:val="Nadpis2"/>
          </w:pPr>
          <w:bookmarkStart w:id="7" w:name="_Toc485308616"/>
          <w:r w:rsidRPr="002E06C8">
            <w:t xml:space="preserve"> Popis parametrizace systému</w:t>
          </w:r>
          <w:bookmarkEnd w:id="7"/>
        </w:p>
        <w:p w:rsidR="006B34C7" w:rsidRPr="002E06C8" w:rsidRDefault="006B34C7" w:rsidP="00217F17">
          <w:pPr>
            <w:pStyle w:val="Nadpis2"/>
          </w:pPr>
          <w:bookmarkStart w:id="8" w:name="_Toc485308617"/>
          <w:r w:rsidRPr="002E06C8">
            <w:t xml:space="preserve"> Definice metrik monitoringu</w:t>
          </w:r>
          <w:bookmarkEnd w:id="8"/>
        </w:p>
        <w:p w:rsidR="006B34C7" w:rsidRPr="002E06C8" w:rsidRDefault="006B34C7" w:rsidP="00217F17">
          <w:pPr>
            <w:pStyle w:val="Nadpis1"/>
          </w:pPr>
          <w:bookmarkStart w:id="9" w:name="_Toc485308618"/>
          <w:r w:rsidRPr="002E06C8">
            <w:t>Implementace procesů</w:t>
          </w:r>
          <w:bookmarkEnd w:id="9"/>
        </w:p>
        <w:p w:rsidR="006B34C7" w:rsidRPr="002E06C8" w:rsidRDefault="006B34C7" w:rsidP="00217F17">
          <w:pPr>
            <w:pStyle w:val="Nadpis2"/>
          </w:pPr>
          <w:bookmarkStart w:id="10" w:name="_Toc485308619"/>
          <w:r w:rsidRPr="002E06C8">
            <w:t>Popis implementace procesů</w:t>
          </w:r>
          <w:bookmarkEnd w:id="10"/>
        </w:p>
        <w:p w:rsidR="006B34C7" w:rsidRPr="002E06C8" w:rsidRDefault="006B34C7" w:rsidP="00217F17">
          <w:pPr>
            <w:pStyle w:val="Nadpis1"/>
          </w:pPr>
          <w:bookmarkStart w:id="11" w:name="_Toc485308620"/>
          <w:r w:rsidRPr="002E06C8">
            <w:t>Návrh technické infrastruktury systému</w:t>
          </w:r>
          <w:bookmarkEnd w:id="11"/>
        </w:p>
        <w:p w:rsidR="006B34C7" w:rsidRPr="002E06C8" w:rsidRDefault="006B34C7" w:rsidP="00217F17">
          <w:pPr>
            <w:pStyle w:val="Nadpis2"/>
          </w:pPr>
          <w:bookmarkStart w:id="12" w:name="_Toc485308621"/>
          <w:r w:rsidRPr="002E06C8">
            <w:t>Popis všech prostředí systému</w:t>
          </w:r>
          <w:bookmarkEnd w:id="12"/>
        </w:p>
        <w:p w:rsidR="006B34C7" w:rsidRPr="002E06C8" w:rsidRDefault="006B34C7" w:rsidP="00217F17">
          <w:pPr>
            <w:pStyle w:val="Nadpis3"/>
          </w:pPr>
          <w:bookmarkStart w:id="13" w:name="_Toc485308622"/>
          <w:r w:rsidRPr="002E06C8">
            <w:t>Schéma a popis technické architektury</w:t>
          </w:r>
          <w:bookmarkEnd w:id="13"/>
        </w:p>
        <w:p w:rsidR="006B34C7" w:rsidRPr="002E06C8" w:rsidRDefault="006B34C7" w:rsidP="00217F17">
          <w:pPr>
            <w:pStyle w:val="Nadpis3"/>
          </w:pPr>
          <w:bookmarkStart w:id="14" w:name="_Toc485308623"/>
          <w:r w:rsidRPr="002E06C8">
            <w:t>Zajištění vysoké dostupnosti v prostředí SPCSS</w:t>
          </w:r>
          <w:bookmarkEnd w:id="14"/>
        </w:p>
        <w:p w:rsidR="006B34C7" w:rsidRPr="002E06C8" w:rsidRDefault="006B34C7" w:rsidP="00217F17">
          <w:pPr>
            <w:pStyle w:val="Nadpis3"/>
          </w:pPr>
          <w:bookmarkStart w:id="15" w:name="_Toc485308624"/>
          <w:r w:rsidRPr="002E06C8">
            <w:t>Požadavky na odstávky</w:t>
          </w:r>
          <w:bookmarkEnd w:id="15"/>
        </w:p>
        <w:p w:rsidR="006B34C7" w:rsidRPr="002E06C8" w:rsidRDefault="006B34C7" w:rsidP="00217F17">
          <w:pPr>
            <w:pStyle w:val="Nadpis3"/>
          </w:pPr>
          <w:bookmarkStart w:id="16" w:name="_Toc485308625"/>
          <w:r w:rsidRPr="002E06C8">
            <w:t>Požadavky na síťovou infrastrukturu</w:t>
          </w:r>
          <w:bookmarkEnd w:id="16"/>
        </w:p>
        <w:p w:rsidR="006B34C7" w:rsidRPr="002E06C8" w:rsidRDefault="006B34C7" w:rsidP="00217F17">
          <w:pPr>
            <w:pStyle w:val="Nadpis3"/>
          </w:pPr>
          <w:bookmarkStart w:id="17" w:name="_Toc485308626"/>
          <w:r w:rsidRPr="002E06C8">
            <w:t>Kalkulace datových a diskových kapacit</w:t>
          </w:r>
          <w:bookmarkEnd w:id="17"/>
        </w:p>
        <w:p w:rsidR="006B34C7" w:rsidRPr="002E06C8" w:rsidRDefault="006B34C7" w:rsidP="00217F17">
          <w:pPr>
            <w:pStyle w:val="Nadpis3"/>
          </w:pPr>
          <w:bookmarkStart w:id="18" w:name="_Toc485308627"/>
          <w:r w:rsidRPr="002E06C8">
            <w:t>Požadavky na výpočetní výkon a diskové prostory</w:t>
          </w:r>
          <w:bookmarkEnd w:id="18"/>
        </w:p>
        <w:p w:rsidR="006B34C7" w:rsidRPr="002E06C8" w:rsidRDefault="006B34C7" w:rsidP="00217F17">
          <w:pPr>
            <w:pStyle w:val="Nadpis3"/>
          </w:pPr>
          <w:bookmarkStart w:id="19" w:name="_Toc485308628"/>
          <w:r w:rsidRPr="002E06C8">
            <w:t>Požadavky na zálohování</w:t>
          </w:r>
          <w:bookmarkEnd w:id="19"/>
        </w:p>
        <w:p w:rsidR="006B34C7" w:rsidRPr="00A3700A" w:rsidRDefault="006B34C7" w:rsidP="006B34C7">
          <w:pPr>
            <w:ind w:left="360"/>
          </w:pPr>
        </w:p>
        <w:p w:rsidR="006B34C7" w:rsidRPr="002E06C8" w:rsidRDefault="006B34C7" w:rsidP="00217F17">
          <w:pPr>
            <w:pStyle w:val="Nadpis1"/>
          </w:pPr>
          <w:bookmarkStart w:id="20" w:name="_Toc485308629"/>
          <w:r w:rsidRPr="00217F17">
            <w:lastRenderedPageBreak/>
            <w:t>Seznam</w:t>
          </w:r>
          <w:r w:rsidRPr="002E06C8">
            <w:t xml:space="preserve"> licencí, </w:t>
          </w:r>
          <w:proofErr w:type="spellStart"/>
          <w:r w:rsidRPr="002E06C8">
            <w:t>maintenancí</w:t>
          </w:r>
          <w:proofErr w:type="spellEnd"/>
          <w:r w:rsidRPr="002E06C8">
            <w:t xml:space="preserve"> a subskripcí SW produktů</w:t>
          </w:r>
          <w:bookmarkEnd w:id="20"/>
        </w:p>
        <w:p w:rsidR="006B34C7" w:rsidRPr="002E06C8" w:rsidRDefault="006B34C7" w:rsidP="00217F17">
          <w:pPr>
            <w:pStyle w:val="Nadpis1"/>
          </w:pPr>
          <w:bookmarkStart w:id="21" w:name="_Toc485308630"/>
          <w:r w:rsidRPr="002E06C8">
            <w:t>Řešení bezpečnosti</w:t>
          </w:r>
          <w:bookmarkStart w:id="22" w:name="_GoBack"/>
          <w:bookmarkEnd w:id="21"/>
          <w:bookmarkEnd w:id="22"/>
        </w:p>
        <w:p w:rsidR="006B34C7" w:rsidRPr="002E06C8" w:rsidRDefault="006B34C7" w:rsidP="00217F17">
          <w:pPr>
            <w:pStyle w:val="Nadpis2"/>
          </w:pPr>
          <w:bookmarkStart w:id="23" w:name="_Toc485308631"/>
          <w:r w:rsidRPr="002E06C8">
            <w:t>Popis řešení bezpečnosti</w:t>
          </w:r>
          <w:bookmarkEnd w:id="23"/>
        </w:p>
        <w:p w:rsidR="006B34C7" w:rsidRPr="002E06C8" w:rsidRDefault="006B34C7" w:rsidP="00217F17">
          <w:pPr>
            <w:pStyle w:val="Nadpis2"/>
          </w:pPr>
          <w:bookmarkStart w:id="24" w:name="_Toc485308632"/>
          <w:r w:rsidRPr="002E06C8">
            <w:t>Popis bezpečnostních prvků a mechanismů</w:t>
          </w:r>
          <w:bookmarkEnd w:id="24"/>
        </w:p>
        <w:p w:rsidR="006B34C7" w:rsidRPr="002E06C8" w:rsidRDefault="006B34C7" w:rsidP="00217F17">
          <w:pPr>
            <w:pStyle w:val="Nadpis2"/>
          </w:pPr>
          <w:bookmarkStart w:id="25" w:name="_Toc485308633"/>
          <w:r w:rsidRPr="002E06C8">
            <w:t>Popis auditních logů a bezpečnostního monitoringu</w:t>
          </w:r>
          <w:bookmarkEnd w:id="25"/>
        </w:p>
        <w:p w:rsidR="006B34C7" w:rsidRPr="002E06C8" w:rsidRDefault="006B34C7" w:rsidP="00217F17">
          <w:pPr>
            <w:pStyle w:val="Nadpis1"/>
          </w:pPr>
          <w:bookmarkStart w:id="26" w:name="_Toc485308634"/>
          <w:r w:rsidRPr="002E06C8">
            <w:t>Rámcový harmonogram</w:t>
          </w:r>
          <w:bookmarkEnd w:id="26"/>
        </w:p>
        <w:p w:rsidR="006B34C7" w:rsidRPr="002E06C8" w:rsidRDefault="006B34C7" w:rsidP="00217F17">
          <w:pPr>
            <w:pStyle w:val="Nadpis1"/>
          </w:pPr>
          <w:bookmarkStart w:id="27" w:name="_Toc485308635"/>
          <w:r w:rsidRPr="002E06C8">
            <w:t>Rozdělení odpovědností a součinnosti</w:t>
          </w:r>
          <w:bookmarkEnd w:id="27"/>
        </w:p>
        <w:p w:rsidR="006B34C7" w:rsidRPr="002E06C8" w:rsidRDefault="006B34C7" w:rsidP="00217F17">
          <w:pPr>
            <w:pStyle w:val="Nadpis1"/>
          </w:pPr>
          <w:bookmarkStart w:id="28" w:name="_Toc485308636"/>
          <w:r w:rsidRPr="002E06C8">
            <w:t>Servisní služby</w:t>
          </w:r>
          <w:bookmarkEnd w:id="28"/>
        </w:p>
        <w:p w:rsidR="006B34C7" w:rsidRPr="002E06C8" w:rsidRDefault="006B34C7" w:rsidP="00217F17">
          <w:pPr>
            <w:pStyle w:val="Nadpis2"/>
          </w:pPr>
          <w:bookmarkStart w:id="29" w:name="_Toc485308637"/>
          <w:r w:rsidRPr="002E06C8">
            <w:t>Popis servisních služeb</w:t>
          </w:r>
          <w:bookmarkEnd w:id="29"/>
        </w:p>
        <w:p w:rsidR="006B34C7" w:rsidRPr="002E06C8" w:rsidRDefault="006B34C7" w:rsidP="00217F17">
          <w:pPr>
            <w:pStyle w:val="Nadpis1"/>
          </w:pPr>
          <w:bookmarkStart w:id="30" w:name="_Toc485308638"/>
          <w:r w:rsidRPr="002E06C8">
            <w:t>Další nezbytné náležitosti pro realizaci</w:t>
          </w:r>
        </w:p>
        <w:bookmarkEnd w:id="30" w:displacedByCustomXml="next"/>
      </w:sdtContent>
    </w:sdt>
    <w:sectPr w:rsidR="006B34C7" w:rsidRPr="002E06C8" w:rsidSect="00E74C4A">
      <w:headerReference w:type="default" r:id="rId10"/>
      <w:footerReference w:type="defaul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89" w:rsidRDefault="00AE4589" w:rsidP="003A4756">
      <w:r>
        <w:separator/>
      </w:r>
    </w:p>
  </w:endnote>
  <w:endnote w:type="continuationSeparator" w:id="0">
    <w:p w:rsidR="00AE4589" w:rsidRDefault="00AE458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17F17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17F17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64700E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89" w:rsidRDefault="00AE4589" w:rsidP="003A4756">
      <w:r>
        <w:separator/>
      </w:r>
    </w:p>
  </w:footnote>
  <w:footnote w:type="continuationSeparator" w:id="0">
    <w:p w:rsidR="00AE4589" w:rsidRDefault="00AE4589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516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C1CBDCD" wp14:editId="15AA1207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742815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0A68B6" w:rsidRPr="00D10A6F" w:rsidRDefault="00E74C4A" w:rsidP="006B34C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B34C7">
            <w:rPr>
              <w:rFonts w:cs="Calibri"/>
              <w:b/>
              <w:bCs/>
              <w:color w:val="004666"/>
              <w:szCs w:val="18"/>
            </w:rPr>
            <w:t>10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6B34C7">
            <w:rPr>
              <w:rFonts w:cs="Calibri"/>
              <w:b/>
              <w:bCs/>
              <w:color w:val="004666"/>
              <w:szCs w:val="18"/>
            </w:rPr>
            <w:t>Požadavky na technický návrh řešení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2017_00</w:t>
          </w:r>
          <w:r w:rsidR="00B73440">
            <w:rPr>
              <w:rFonts w:cs="Calibri"/>
              <w:b/>
              <w:bCs/>
              <w:color w:val="004666"/>
              <w:szCs w:val="18"/>
            </w:rPr>
            <w:t>3</w:t>
          </w:r>
          <w:r w:rsidR="006B218F">
            <w:rPr>
              <w:rFonts w:cs="Calibri"/>
              <w:b/>
              <w:bCs/>
              <w:color w:val="004666"/>
              <w:szCs w:val="18"/>
            </w:rPr>
            <w:t>2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6B218F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B218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Personálního informačního systému pro resort Ministerstva financí České republiky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4766443"/>
    <w:multiLevelType w:val="multilevel"/>
    <w:tmpl w:val="2AF2F00C"/>
    <w:lvl w:ilvl="0">
      <w:start w:val="1"/>
      <w:numFmt w:val="decimal"/>
      <w:pStyle w:val="Nadpis1"/>
      <w:lvlText w:val="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2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0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3"/>
  </w:num>
  <w:num w:numId="48">
    <w:abstractNumId w:val="11"/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A1187"/>
    <w:rsid w:val="000A68B6"/>
    <w:rsid w:val="000D2DCD"/>
    <w:rsid w:val="000D7D36"/>
    <w:rsid w:val="000E06F4"/>
    <w:rsid w:val="000E3409"/>
    <w:rsid w:val="0011654A"/>
    <w:rsid w:val="00121907"/>
    <w:rsid w:val="00130120"/>
    <w:rsid w:val="001371B9"/>
    <w:rsid w:val="00137C36"/>
    <w:rsid w:val="001434E6"/>
    <w:rsid w:val="00146664"/>
    <w:rsid w:val="0016221A"/>
    <w:rsid w:val="00192776"/>
    <w:rsid w:val="001A46A1"/>
    <w:rsid w:val="001C0F29"/>
    <w:rsid w:val="001E62BE"/>
    <w:rsid w:val="001F2188"/>
    <w:rsid w:val="00217F17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06C8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0B75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77030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4700E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252"/>
    <w:rsid w:val="006A691A"/>
    <w:rsid w:val="006A71DF"/>
    <w:rsid w:val="006B1B44"/>
    <w:rsid w:val="006B218F"/>
    <w:rsid w:val="006B34C7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13C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4835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4589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1B1E"/>
    <w:rsid w:val="00BC5D87"/>
    <w:rsid w:val="00BF558F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5640"/>
    <w:rsid w:val="00CC2ED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217F17"/>
    <w:pPr>
      <w:keepNext/>
      <w:keepLines/>
      <w:numPr>
        <w:numId w:val="49"/>
      </w:numPr>
      <w:spacing w:before="480"/>
      <w:ind w:left="426" w:hanging="426"/>
      <w:outlineLvl w:val="0"/>
    </w:pPr>
    <w:rPr>
      <w:rFonts w:eastAsiaTheme="majorEastAsia" w:cstheme="majorBidi"/>
      <w:b/>
      <w:bCs/>
      <w:color w:val="009EE0"/>
      <w:sz w:val="20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217F17"/>
    <w:pPr>
      <w:keepNext/>
      <w:keepLines/>
      <w:numPr>
        <w:ilvl w:val="1"/>
        <w:numId w:val="49"/>
      </w:numPr>
      <w:tabs>
        <w:tab w:val="num" w:pos="2562"/>
      </w:tabs>
      <w:spacing w:before="200" w:after="120"/>
      <w:ind w:left="709" w:hanging="709"/>
      <w:outlineLvl w:val="1"/>
    </w:pPr>
    <w:rPr>
      <w:rFonts w:eastAsiaTheme="majorEastAsia" w:cstheme="majorBidi"/>
      <w:b/>
      <w:bCs/>
      <w:color w:val="004666"/>
      <w:szCs w:val="18"/>
    </w:rPr>
  </w:style>
  <w:style w:type="paragraph" w:styleId="Nadpis3">
    <w:name w:val="heading 3"/>
    <w:basedOn w:val="Nadpis2"/>
    <w:next w:val="Normln"/>
    <w:link w:val="Nadpis3Char"/>
    <w:unhideWhenUsed/>
    <w:qFormat/>
    <w:rsid w:val="00217F17"/>
    <w:pPr>
      <w:numPr>
        <w:ilvl w:val="2"/>
      </w:numPr>
      <w:ind w:left="993" w:hanging="709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217F17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217F17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217F17"/>
    <w:rPr>
      <w:rFonts w:ascii="Verdana" w:eastAsiaTheme="majorEastAsia" w:hAnsi="Verdana" w:cstheme="majorBidi"/>
      <w:b/>
      <w:bCs/>
      <w:color w:val="009EE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0B7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A0B7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A0B75"/>
    <w:pPr>
      <w:spacing w:after="100"/>
      <w:ind w:left="180"/>
    </w:pPr>
  </w:style>
  <w:style w:type="paragraph" w:styleId="Obsah3">
    <w:name w:val="toc 3"/>
    <w:basedOn w:val="Normln"/>
    <w:next w:val="Normln"/>
    <w:autoRedefine/>
    <w:uiPriority w:val="39"/>
    <w:unhideWhenUsed/>
    <w:rsid w:val="004A0B75"/>
    <w:pPr>
      <w:spacing w:after="10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217F17"/>
    <w:pPr>
      <w:keepNext/>
      <w:keepLines/>
      <w:numPr>
        <w:numId w:val="49"/>
      </w:numPr>
      <w:spacing w:before="480"/>
      <w:ind w:left="426" w:hanging="426"/>
      <w:outlineLvl w:val="0"/>
    </w:pPr>
    <w:rPr>
      <w:rFonts w:eastAsiaTheme="majorEastAsia" w:cstheme="majorBidi"/>
      <w:b/>
      <w:bCs/>
      <w:color w:val="009EE0"/>
      <w:sz w:val="20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217F17"/>
    <w:pPr>
      <w:keepNext/>
      <w:keepLines/>
      <w:numPr>
        <w:ilvl w:val="1"/>
        <w:numId w:val="49"/>
      </w:numPr>
      <w:tabs>
        <w:tab w:val="num" w:pos="2562"/>
      </w:tabs>
      <w:spacing w:before="200" w:after="120"/>
      <w:ind w:left="709" w:hanging="709"/>
      <w:outlineLvl w:val="1"/>
    </w:pPr>
    <w:rPr>
      <w:rFonts w:eastAsiaTheme="majorEastAsia" w:cstheme="majorBidi"/>
      <w:b/>
      <w:bCs/>
      <w:color w:val="004666"/>
      <w:szCs w:val="18"/>
    </w:rPr>
  </w:style>
  <w:style w:type="paragraph" w:styleId="Nadpis3">
    <w:name w:val="heading 3"/>
    <w:basedOn w:val="Nadpis2"/>
    <w:next w:val="Normln"/>
    <w:link w:val="Nadpis3Char"/>
    <w:unhideWhenUsed/>
    <w:qFormat/>
    <w:rsid w:val="00217F17"/>
    <w:pPr>
      <w:numPr>
        <w:ilvl w:val="2"/>
      </w:numPr>
      <w:ind w:left="993" w:hanging="709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217F17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217F17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217F17"/>
    <w:rPr>
      <w:rFonts w:ascii="Verdana" w:eastAsiaTheme="majorEastAsia" w:hAnsi="Verdana" w:cstheme="majorBidi"/>
      <w:b/>
      <w:bCs/>
      <w:color w:val="009EE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0B7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A0B7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A0B75"/>
    <w:pPr>
      <w:spacing w:after="100"/>
      <w:ind w:left="180"/>
    </w:pPr>
  </w:style>
  <w:style w:type="paragraph" w:styleId="Obsah3">
    <w:name w:val="toc 3"/>
    <w:basedOn w:val="Normln"/>
    <w:next w:val="Normln"/>
    <w:autoRedefine/>
    <w:uiPriority w:val="39"/>
    <w:unhideWhenUsed/>
    <w:rsid w:val="004A0B75"/>
    <w:pPr>
      <w:spacing w:after="10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0EB6A-6A47-4A70-AF1B-239DC663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</cp:revision>
  <cp:lastPrinted>2017-07-28T12:21:00Z</cp:lastPrinted>
  <dcterms:created xsi:type="dcterms:W3CDTF">2017-07-26T16:24:00Z</dcterms:created>
  <dcterms:modified xsi:type="dcterms:W3CDTF">2017-08-02T08:50:00Z</dcterms:modified>
</cp:coreProperties>
</file>