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D521" w14:textId="77777777" w:rsidR="008A501A" w:rsidRDefault="008A501A" w:rsidP="008A501A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1"/>
          <w:szCs w:val="21"/>
        </w:rPr>
      </w:pPr>
    </w:p>
    <w:tbl>
      <w:tblPr>
        <w:tblStyle w:val="Mkatabulky"/>
        <w:tblW w:w="9298" w:type="dxa"/>
        <w:tblLook w:val="04A0" w:firstRow="1" w:lastRow="0" w:firstColumn="1" w:lastColumn="0" w:noHBand="0" w:noVBand="1"/>
      </w:tblPr>
      <w:tblGrid>
        <w:gridCol w:w="1861"/>
        <w:gridCol w:w="4842"/>
        <w:gridCol w:w="1171"/>
        <w:gridCol w:w="1424"/>
      </w:tblGrid>
      <w:tr w:rsidR="008A501A" w:rsidRPr="00664EDD" w14:paraId="50A44178" w14:textId="77777777" w:rsidTr="00DB7A3A">
        <w:tc>
          <w:tcPr>
            <w:tcW w:w="6744" w:type="dxa"/>
            <w:gridSpan w:val="2"/>
          </w:tcPr>
          <w:p w14:paraId="692F4999" w14:textId="77777777" w:rsidR="008A501A" w:rsidRPr="00664EDD" w:rsidRDefault="008A501A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6276106" w14:textId="41F63634" w:rsidR="008A501A" w:rsidRPr="00664EDD" w:rsidRDefault="008A501A" w:rsidP="000E20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  <w:i/>
                <w:iCs/>
              </w:rPr>
              <w:t xml:space="preserve">Vyplní </w:t>
            </w:r>
            <w:r w:rsidR="000E20C3" w:rsidRPr="00664EDD">
              <w:rPr>
                <w:rFonts w:ascii="Arial" w:hAnsi="Arial" w:cs="Arial"/>
                <w:i/>
                <w:iCs/>
              </w:rPr>
              <w:t>dodavatel</w:t>
            </w:r>
          </w:p>
        </w:tc>
        <w:tc>
          <w:tcPr>
            <w:tcW w:w="1427" w:type="dxa"/>
          </w:tcPr>
          <w:p w14:paraId="3FC21958" w14:textId="77777777" w:rsidR="008A501A" w:rsidRPr="00664EDD" w:rsidRDefault="008A501A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664EDD">
              <w:rPr>
                <w:rFonts w:ascii="Arial" w:hAnsi="Arial" w:cs="Arial"/>
                <w:i/>
                <w:iCs/>
              </w:rPr>
              <w:t>Instrukce pro</w:t>
            </w:r>
          </w:p>
          <w:p w14:paraId="1453099B" w14:textId="77777777" w:rsidR="008A501A" w:rsidRPr="00664EDD" w:rsidRDefault="008A501A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  <w:i/>
                <w:iCs/>
              </w:rPr>
              <w:t>vyplnění sloupce C</w:t>
            </w:r>
          </w:p>
        </w:tc>
      </w:tr>
      <w:tr w:rsidR="00B31F7E" w:rsidRPr="00664EDD" w14:paraId="1693CED4" w14:textId="77777777" w:rsidTr="00DB6577">
        <w:tc>
          <w:tcPr>
            <w:tcW w:w="1865" w:type="dxa"/>
            <w:vMerge w:val="restart"/>
          </w:tcPr>
          <w:p w14:paraId="48708158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  <w:b/>
                <w:bCs/>
              </w:rPr>
              <w:t>Obecná specifikace zakázky</w:t>
            </w:r>
          </w:p>
        </w:tc>
        <w:tc>
          <w:tcPr>
            <w:tcW w:w="4990" w:type="dxa"/>
          </w:tcPr>
          <w:p w14:paraId="1F1EE443" w14:textId="773D63E2" w:rsidR="00B31F7E" w:rsidRPr="00664EDD" w:rsidRDefault="00B31F7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je určena pro skryté nošení.</w:t>
            </w:r>
          </w:p>
        </w:tc>
        <w:tc>
          <w:tcPr>
            <w:tcW w:w="999" w:type="dxa"/>
          </w:tcPr>
          <w:p w14:paraId="7F27A944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F95881F" w14:textId="77777777" w:rsidR="00B31F7E" w:rsidRPr="00664EDD" w:rsidRDefault="00B31F7E" w:rsidP="00E76F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6E3F5263" w14:textId="77777777" w:rsidTr="00DB6577">
        <w:tc>
          <w:tcPr>
            <w:tcW w:w="1865" w:type="dxa"/>
            <w:vMerge/>
          </w:tcPr>
          <w:p w14:paraId="3F724C05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EDB2DB7" w14:textId="7EBAC2EA" w:rsidR="00B31F7E" w:rsidRPr="00664EDD" w:rsidRDefault="00B31F7E" w:rsidP="00D428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Souprava </w:t>
            </w:r>
            <w:r w:rsidR="00E74275" w:rsidRPr="00664EDD">
              <w:rPr>
                <w:rFonts w:ascii="Arial" w:hAnsi="Arial" w:cs="Arial"/>
              </w:rPr>
              <w:t xml:space="preserve">balistické vesty </w:t>
            </w:r>
            <w:r w:rsidRPr="00664EDD">
              <w:rPr>
                <w:rFonts w:ascii="Arial" w:hAnsi="Arial" w:cs="Arial"/>
              </w:rPr>
              <w:t xml:space="preserve">bude obsahovat </w:t>
            </w:r>
            <w:r w:rsidR="00D4286A" w:rsidRPr="00664EDD">
              <w:rPr>
                <w:rFonts w:ascii="Arial" w:hAnsi="Arial" w:cs="Arial"/>
              </w:rPr>
              <w:t>1 set ochranných balistických vložek,</w:t>
            </w:r>
            <w:r w:rsidR="00D367CA" w:rsidRPr="00664EDD">
              <w:rPr>
                <w:rFonts w:ascii="Arial" w:hAnsi="Arial" w:cs="Arial"/>
              </w:rPr>
              <w:t xml:space="preserve"> </w:t>
            </w:r>
            <w:r w:rsidR="00D4286A" w:rsidRPr="00664EDD">
              <w:rPr>
                <w:rFonts w:ascii="Arial" w:hAnsi="Arial" w:cs="Arial"/>
              </w:rPr>
              <w:t>1</w:t>
            </w:r>
            <w:r w:rsidR="00D367CA" w:rsidRPr="00664EDD">
              <w:rPr>
                <w:rFonts w:ascii="Arial" w:hAnsi="Arial" w:cs="Arial"/>
              </w:rPr>
              <w:t xml:space="preserve"> kus povlaku</w:t>
            </w:r>
            <w:r w:rsidRPr="00664EDD">
              <w:rPr>
                <w:rFonts w:ascii="Arial" w:hAnsi="Arial" w:cs="Arial"/>
              </w:rPr>
              <w:t xml:space="preserve"> </w:t>
            </w:r>
            <w:r w:rsidR="00347D6A" w:rsidRPr="00664EDD">
              <w:rPr>
                <w:rFonts w:ascii="Arial" w:hAnsi="Arial" w:cs="Arial"/>
              </w:rPr>
              <w:t xml:space="preserve">(obalu) </w:t>
            </w:r>
            <w:r w:rsidRPr="00664EDD">
              <w:rPr>
                <w:rFonts w:ascii="Arial" w:hAnsi="Arial" w:cs="Arial"/>
              </w:rPr>
              <w:t>v</w:t>
            </w:r>
            <w:r w:rsidR="0005400C" w:rsidRPr="00664EDD">
              <w:rPr>
                <w:rFonts w:ascii="Arial" w:hAnsi="Arial" w:cs="Arial"/>
              </w:rPr>
              <w:t> tmavě modré</w:t>
            </w:r>
            <w:r w:rsidR="00D4286A" w:rsidRPr="00664EDD">
              <w:rPr>
                <w:rFonts w:ascii="Arial" w:hAnsi="Arial" w:cs="Arial"/>
              </w:rPr>
              <w:t xml:space="preserve"> barvě, 1 ks povlaku (obalu)</w:t>
            </w:r>
            <w:r w:rsidRPr="00664EDD">
              <w:rPr>
                <w:rFonts w:ascii="Arial" w:hAnsi="Arial" w:cs="Arial"/>
              </w:rPr>
              <w:t xml:space="preserve"> </w:t>
            </w:r>
            <w:r w:rsidR="00D4286A" w:rsidRPr="00664EDD">
              <w:rPr>
                <w:rFonts w:ascii="Arial" w:hAnsi="Arial" w:cs="Arial"/>
              </w:rPr>
              <w:t>v</w:t>
            </w:r>
            <w:r w:rsidR="000E20C3" w:rsidRPr="00664EDD">
              <w:rPr>
                <w:rFonts w:ascii="Arial" w:hAnsi="Arial" w:cs="Arial"/>
              </w:rPr>
              <w:t> tělové barvě,</w:t>
            </w:r>
            <w:r w:rsidRPr="00664EDD">
              <w:rPr>
                <w:rFonts w:ascii="Arial" w:hAnsi="Arial" w:cs="Arial"/>
              </w:rPr>
              <w:t xml:space="preserve"> </w:t>
            </w:r>
            <w:r w:rsidR="00D4286A" w:rsidRPr="00664EDD">
              <w:rPr>
                <w:rFonts w:ascii="Arial" w:hAnsi="Arial" w:cs="Arial"/>
              </w:rPr>
              <w:t>1 kus trans</w:t>
            </w:r>
            <w:bookmarkStart w:id="0" w:name="_GoBack"/>
            <w:bookmarkEnd w:id="0"/>
            <w:r w:rsidR="00D4286A" w:rsidRPr="00664EDD">
              <w:rPr>
                <w:rFonts w:ascii="Arial" w:hAnsi="Arial" w:cs="Arial"/>
              </w:rPr>
              <w:t xml:space="preserve">portního zavazadla, </w:t>
            </w:r>
            <w:r w:rsidR="0005400C" w:rsidRPr="00664EDD">
              <w:rPr>
                <w:rFonts w:ascii="Arial" w:hAnsi="Arial" w:cs="Arial"/>
              </w:rPr>
              <w:t>1</w:t>
            </w:r>
            <w:r w:rsidR="00A20EDA" w:rsidRPr="00664EDD">
              <w:rPr>
                <w:rFonts w:ascii="Arial" w:hAnsi="Arial" w:cs="Arial"/>
              </w:rPr>
              <w:t xml:space="preserve"> kus funkčního</w:t>
            </w:r>
            <w:r w:rsidRPr="00664EDD">
              <w:rPr>
                <w:rFonts w:ascii="Arial" w:hAnsi="Arial" w:cs="Arial"/>
              </w:rPr>
              <w:t xml:space="preserve"> tri</w:t>
            </w:r>
            <w:r w:rsidR="0005400C" w:rsidRPr="00664EDD">
              <w:rPr>
                <w:rFonts w:ascii="Arial" w:hAnsi="Arial" w:cs="Arial"/>
              </w:rPr>
              <w:t>ka</w:t>
            </w:r>
            <w:r w:rsidRPr="00664EDD">
              <w:rPr>
                <w:rFonts w:ascii="Arial" w:hAnsi="Arial" w:cs="Arial"/>
              </w:rPr>
              <w:t xml:space="preserve"> v bílé barvě, </w:t>
            </w:r>
            <w:r w:rsidR="00A20EDA" w:rsidRPr="00664EDD">
              <w:rPr>
                <w:rFonts w:ascii="Arial" w:hAnsi="Arial" w:cs="Arial"/>
              </w:rPr>
              <w:t>1 kus funkčního</w:t>
            </w:r>
            <w:r w:rsidR="0005400C" w:rsidRPr="00664EDD">
              <w:rPr>
                <w:rFonts w:ascii="Arial" w:hAnsi="Arial" w:cs="Arial"/>
              </w:rPr>
              <w:t xml:space="preserve"> trika v černé barvě</w:t>
            </w:r>
            <w:r w:rsidR="00D4286A"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59758D69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DBEDD60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376A6CB7" w14:textId="77777777" w:rsidTr="00DB6577">
        <w:tc>
          <w:tcPr>
            <w:tcW w:w="1865" w:type="dxa"/>
            <w:vMerge/>
          </w:tcPr>
          <w:p w14:paraId="0E4887BE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0F8C4D88" w14:textId="7CF45119" w:rsidR="00B31F7E" w:rsidRPr="00664EDD" w:rsidRDefault="00B31F7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U vesty je uživatelem požadována základní balistická odolnost ve třídě NIJ IIIA, ověřená ve shodě s americkým standardem NIJ 0101.04</w:t>
            </w:r>
            <w:r w:rsidR="00D4286A" w:rsidRPr="00664EDD">
              <w:rPr>
                <w:rFonts w:ascii="Arial" w:hAnsi="Arial" w:cs="Arial"/>
              </w:rPr>
              <w:t>, Revision A</w:t>
            </w:r>
            <w:r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14871527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D433C3B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4A3D947C" w14:textId="77777777" w:rsidTr="00DB6577">
        <w:tc>
          <w:tcPr>
            <w:tcW w:w="1865" w:type="dxa"/>
            <w:vMerge/>
          </w:tcPr>
          <w:p w14:paraId="08D974B0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95E2D00" w14:textId="584CF113" w:rsidR="00B31F7E" w:rsidRPr="00664EDD" w:rsidRDefault="00B31F7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Požadován je balistický materiál, který zabezpečí splnění požadavku na třídu balistické odolnosti, ověřené oprávněnou (akreditovanou) zkušebnou ve shodě se standardem NIJ 0101.04.</w:t>
            </w:r>
            <w:r w:rsidR="00D4286A" w:rsidRPr="00664EDD">
              <w:rPr>
                <w:rFonts w:ascii="Arial" w:hAnsi="Arial" w:cs="Arial"/>
              </w:rPr>
              <w:t>, Revision A</w:t>
            </w:r>
            <w:r w:rsidRPr="00664EDD">
              <w:rPr>
                <w:rFonts w:ascii="Arial" w:hAnsi="Arial" w:cs="Arial"/>
              </w:rPr>
              <w:t>, která představuje odolnost proti řáži 9mm Luger FMJ RN, hmotnost střely 8.2 g, rychlost střely 436 m/s, 44 Magnum SJHP, hmotnost střely 15.6g, rychlost střely 436 m/s.</w:t>
            </w:r>
          </w:p>
        </w:tc>
        <w:tc>
          <w:tcPr>
            <w:tcW w:w="999" w:type="dxa"/>
          </w:tcPr>
          <w:p w14:paraId="4CF12128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991D24C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40764831" w14:textId="77777777" w:rsidTr="00DB6577">
        <w:tc>
          <w:tcPr>
            <w:tcW w:w="1865" w:type="dxa"/>
            <w:vMerge/>
          </w:tcPr>
          <w:p w14:paraId="377641F3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E835420" w14:textId="2AA3F523" w:rsidR="001D4C6A" w:rsidRPr="00664EDD" w:rsidRDefault="0012239C" w:rsidP="001D4C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musí bý</w:t>
            </w:r>
            <w:r w:rsidR="00B31F7E" w:rsidRPr="00664EDD">
              <w:rPr>
                <w:rFonts w:ascii="Arial" w:hAnsi="Arial" w:cs="Arial"/>
              </w:rPr>
              <w:t>t zároveň dodatečně certifikovaná dle podmínek NIJ 0101.04</w:t>
            </w:r>
            <w:r w:rsidR="00D4286A" w:rsidRPr="00664EDD">
              <w:rPr>
                <w:rFonts w:ascii="Arial" w:hAnsi="Arial" w:cs="Arial"/>
              </w:rPr>
              <w:t>, Revision A,</w:t>
            </w:r>
            <w:r w:rsidR="00B31F7E" w:rsidRPr="00664EDD">
              <w:rPr>
                <w:rFonts w:ascii="Arial" w:hAnsi="Arial" w:cs="Arial"/>
              </w:rPr>
              <w:t xml:space="preserve"> na odolnost v </w:t>
            </w:r>
            <w:r w:rsidR="00347D6A" w:rsidRPr="00664EDD">
              <w:rPr>
                <w:rFonts w:ascii="Arial" w:hAnsi="Arial" w:cs="Arial"/>
              </w:rPr>
              <w:t xml:space="preserve">následujících </w:t>
            </w:r>
            <w:r w:rsidR="00B31F7E" w:rsidRPr="00664EDD">
              <w:rPr>
                <w:rFonts w:ascii="Arial" w:hAnsi="Arial" w:cs="Arial"/>
              </w:rPr>
              <w:t xml:space="preserve">kalibrech (6x na vzdálenost 6m): </w:t>
            </w:r>
          </w:p>
          <w:p w14:paraId="6E2AF790" w14:textId="2F3F1A71" w:rsidR="001D4C6A" w:rsidRPr="00664EDD" w:rsidRDefault="001D4C6A" w:rsidP="001D4C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9 mm Makarov (9x 18 mm) hmotnost střely 6,1 g, FMJ, V12,5 300 ± 7,5 ms-1, </w:t>
            </w:r>
          </w:p>
          <w:p w14:paraId="01683658" w14:textId="77777777" w:rsidR="001D4C6A" w:rsidRPr="00664EDD" w:rsidRDefault="001D4C6A" w:rsidP="001D4C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7,62 x 25 Tokarev, hmotnost střely 5,5 g, FMJ, V12,5 540 ± 7,5 ms-1, </w:t>
            </w:r>
          </w:p>
          <w:p w14:paraId="4ECCC624" w14:textId="310C5533" w:rsidR="00B31F7E" w:rsidRPr="00664EDD" w:rsidRDefault="001D4C6A" w:rsidP="001D4C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9 x 19 Dynamit Nobel AG Action 5, hmotnost střely 6,1 g, V3 430 ms-1</w:t>
            </w:r>
            <w:r w:rsidR="00B31F7E"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20DA3C21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6F418ACA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7DA08112" w14:textId="77777777" w:rsidTr="00DB6577">
        <w:tc>
          <w:tcPr>
            <w:tcW w:w="1865" w:type="dxa"/>
            <w:vMerge/>
          </w:tcPr>
          <w:p w14:paraId="14BC4D5B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6F04F76" w14:textId="28C4FE2A" w:rsidR="00B31F7E" w:rsidRPr="00664EDD" w:rsidRDefault="00B31F7E" w:rsidP="00B31F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U vesty je požadována odolnost proti propíchnutí nožem ověřená oprávněnou (akreditovanou) zkušebnou dle ČSN 39 5360 TON III.</w:t>
            </w:r>
          </w:p>
        </w:tc>
        <w:tc>
          <w:tcPr>
            <w:tcW w:w="999" w:type="dxa"/>
          </w:tcPr>
          <w:p w14:paraId="1C252C93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92BBA8C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B31F7E" w:rsidRPr="00664EDD" w14:paraId="4A251C31" w14:textId="77777777" w:rsidTr="00DB6577">
        <w:tc>
          <w:tcPr>
            <w:tcW w:w="1865" w:type="dxa"/>
            <w:vMerge/>
          </w:tcPr>
          <w:p w14:paraId="1184852E" w14:textId="77777777" w:rsidR="00B31F7E" w:rsidRPr="00664EDD" w:rsidRDefault="00B31F7E" w:rsidP="002B7DA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23F5F015" w14:textId="24B181DF" w:rsidR="00B31F7E" w:rsidRPr="00664EDD" w:rsidRDefault="00B31F7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bude vybavena antišokovou vrstvou.</w:t>
            </w:r>
          </w:p>
        </w:tc>
        <w:tc>
          <w:tcPr>
            <w:tcW w:w="999" w:type="dxa"/>
          </w:tcPr>
          <w:p w14:paraId="2D081C36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B2F2181" w14:textId="77777777" w:rsidR="00B31F7E" w:rsidRPr="00664EDD" w:rsidRDefault="00B31F7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E76FD5" w:rsidRPr="00664EDD" w14:paraId="326B6CA1" w14:textId="77777777" w:rsidTr="00DB6577">
        <w:tc>
          <w:tcPr>
            <w:tcW w:w="1865" w:type="dxa"/>
            <w:vMerge w:val="restart"/>
          </w:tcPr>
          <w:p w14:paraId="2D651667" w14:textId="77777777" w:rsidR="00E76FD5" w:rsidRPr="00664EDD" w:rsidRDefault="00E76FD5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64EDD">
              <w:rPr>
                <w:rFonts w:ascii="Arial" w:hAnsi="Arial" w:cs="Arial"/>
                <w:b/>
                <w:bCs/>
              </w:rPr>
              <w:t>Oblasti balistické ochrany těla v požadované třídě</w:t>
            </w:r>
          </w:p>
        </w:tc>
        <w:tc>
          <w:tcPr>
            <w:tcW w:w="4990" w:type="dxa"/>
          </w:tcPr>
          <w:p w14:paraId="1A194024" w14:textId="2F0AFAC8" w:rsidR="00E76FD5" w:rsidRPr="00664EDD" w:rsidRDefault="00E76FD5" w:rsidP="004F2F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musí poskytovat</w:t>
            </w:r>
            <w:r w:rsidR="004F2FBE" w:rsidRPr="00664EDD">
              <w:rPr>
                <w:rFonts w:ascii="Arial" w:hAnsi="Arial" w:cs="Arial"/>
              </w:rPr>
              <w:t xml:space="preserve"> </w:t>
            </w:r>
            <w:r w:rsidRPr="00664EDD">
              <w:rPr>
                <w:rFonts w:ascii="Arial" w:hAnsi="Arial" w:cs="Arial"/>
              </w:rPr>
              <w:t>balistickou ochranu trupu (životně důležitých orgánů) a umožňovat úpravu obvodové velikosti. Současně musí být zajištěna konspirativnost vesty</w:t>
            </w:r>
            <w:r w:rsidR="00575031"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55BE6CEF" w14:textId="77777777" w:rsidR="00E76FD5" w:rsidRPr="00664EDD" w:rsidRDefault="00E76FD5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565EE16" w14:textId="77777777" w:rsidR="00E76FD5" w:rsidRPr="00664EDD" w:rsidRDefault="00DB657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E76FD5" w:rsidRPr="00664EDD" w14:paraId="6588FE23" w14:textId="77777777" w:rsidTr="00DB6577">
        <w:tc>
          <w:tcPr>
            <w:tcW w:w="1865" w:type="dxa"/>
            <w:vMerge/>
          </w:tcPr>
          <w:p w14:paraId="5E331D86" w14:textId="77777777" w:rsidR="00E76FD5" w:rsidRPr="00664EDD" w:rsidRDefault="00E76FD5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6A0090FE" w14:textId="77777777" w:rsidR="00E76FD5" w:rsidRPr="00664EDD" w:rsidRDefault="00E76FD5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Zavírání (zapínání) vesty musí být provedeno tak, aby bylo zabráněno vyčnívání konstrukčních částí, které jednak omezují skryté nošení a také umožňují jejich nežádoucí zachycení. Konstrukce zapínaní musí být řešena zezadu dopředu. Spojení předního a zadního dílu vesty na bocích musí být pevné a řešené tak, aby části na bocích přilnuly na tělo a zároveň, aby byly v jedné, plynule přecházející linii, bez viditelných nerovností nebo výstupků</w:t>
            </w:r>
            <w:r w:rsidR="00575031"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32C74F05" w14:textId="77777777" w:rsidR="00E76FD5" w:rsidRPr="00664EDD" w:rsidRDefault="00E76FD5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32F3821" w14:textId="77777777" w:rsidR="00E76FD5" w:rsidRPr="00664EDD" w:rsidRDefault="00DB657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00CC65E0" w14:textId="77777777" w:rsidTr="00DB6577">
        <w:tc>
          <w:tcPr>
            <w:tcW w:w="1865" w:type="dxa"/>
            <w:vMerge w:val="restart"/>
          </w:tcPr>
          <w:p w14:paraId="538A6EBD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64EDD">
              <w:rPr>
                <w:rFonts w:ascii="Arial" w:hAnsi="Arial" w:cs="Arial"/>
                <w:b/>
                <w:bCs/>
              </w:rPr>
              <w:lastRenderedPageBreak/>
              <w:t>Obecná specifikace vesty</w:t>
            </w:r>
          </w:p>
        </w:tc>
        <w:tc>
          <w:tcPr>
            <w:tcW w:w="4990" w:type="dxa"/>
          </w:tcPr>
          <w:p w14:paraId="00C72354" w14:textId="77777777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bude složena z předního a zadního dílu.</w:t>
            </w:r>
          </w:p>
        </w:tc>
        <w:tc>
          <w:tcPr>
            <w:tcW w:w="999" w:type="dxa"/>
          </w:tcPr>
          <w:p w14:paraId="72A2F8BF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12DB02B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771BB6EE" w14:textId="77777777" w:rsidTr="00DB6577">
        <w:tc>
          <w:tcPr>
            <w:tcW w:w="1865" w:type="dxa"/>
            <w:vMerge/>
          </w:tcPr>
          <w:p w14:paraId="3C6CE66B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38D05883" w14:textId="77777777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Spojení obou dílů bude provedeno v oblasti ramen a pasu kombinací gum a suchého zipu umožňující pružné spojení a bezproblémové nastavení požadované velikosti.</w:t>
            </w:r>
          </w:p>
        </w:tc>
        <w:tc>
          <w:tcPr>
            <w:tcW w:w="999" w:type="dxa"/>
          </w:tcPr>
          <w:p w14:paraId="2BE05D07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95D9B4D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63248063" w14:textId="77777777" w:rsidTr="00DB6577">
        <w:tc>
          <w:tcPr>
            <w:tcW w:w="1865" w:type="dxa"/>
            <w:vMerge/>
          </w:tcPr>
          <w:p w14:paraId="0660C5EF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499627E2" w14:textId="0A5E5113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Konstrukce vesty bude anatomického tvaru a bude uživateli poskytovat maximální komfort při nošení po celou dobu výkonu služby v rozdílných klimatických podmínkách (celoroční použití), musí umožňovat snadné oblečení, pevné, přesné a stabilní upnutí podle tělesných parametrů v rozsahu celého velikostního sortimentu.</w:t>
            </w:r>
          </w:p>
        </w:tc>
        <w:tc>
          <w:tcPr>
            <w:tcW w:w="999" w:type="dxa"/>
          </w:tcPr>
          <w:p w14:paraId="2084DC93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40EB438" w14:textId="32163A13" w:rsidR="007E075E" w:rsidRPr="00664EDD" w:rsidRDefault="00EF1F5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371974" w:rsidRPr="00664EDD" w14:paraId="75C1C706" w14:textId="77777777" w:rsidTr="00213244">
        <w:tc>
          <w:tcPr>
            <w:tcW w:w="1865" w:type="dxa"/>
            <w:vMerge/>
          </w:tcPr>
          <w:p w14:paraId="5BF46DA3" w14:textId="77777777" w:rsidR="00371974" w:rsidRPr="00664EDD" w:rsidRDefault="0037197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  <w:shd w:val="clear" w:color="auto" w:fill="auto"/>
          </w:tcPr>
          <w:p w14:paraId="5A0D0E77" w14:textId="77777777" w:rsidR="00371974" w:rsidRPr="00664EDD" w:rsidRDefault="00371974" w:rsidP="00371974">
            <w:pPr>
              <w:spacing w:after="5" w:line="268" w:lineRule="auto"/>
              <w:ind w:left="-5" w:hanging="1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64EDD">
              <w:rPr>
                <w:rFonts w:ascii="Arial" w:eastAsia="Times New Roman" w:hAnsi="Arial" w:cs="Arial"/>
                <w:color w:val="000000"/>
                <w:lang w:eastAsia="cs-CZ"/>
              </w:rPr>
              <w:t xml:space="preserve">Konstrukce vesty musí zajišťovat v celkovém provedení (vrchový materiál, švy apod.) při standardním používání mechanickou stabilitu. </w:t>
            </w:r>
          </w:p>
          <w:p w14:paraId="4B1EE42D" w14:textId="5CC65E0C" w:rsidR="00371974" w:rsidRPr="00664EDD" w:rsidRDefault="00371974" w:rsidP="003719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eastAsia="Times New Roman" w:hAnsi="Arial" w:cs="Arial"/>
                <w:color w:val="000000"/>
                <w:lang w:eastAsia="cs-CZ"/>
              </w:rPr>
              <w:t>Šití musí být rovné, nepřerušované, počet stehů 3-4 na 1 cm, ukončení šití zajistit</w:t>
            </w:r>
            <w:r w:rsidR="00786711" w:rsidRPr="00664EDD">
              <w:rPr>
                <w:rFonts w:ascii="Arial" w:eastAsia="Times New Roman" w:hAnsi="Arial" w:cs="Arial"/>
                <w:color w:val="000000"/>
                <w:lang w:eastAsia="cs-CZ"/>
              </w:rPr>
              <w:t xml:space="preserve"> zpětným zapošitím proti párání</w:t>
            </w:r>
            <w:r w:rsidRPr="00664EDD">
              <w:rPr>
                <w:rFonts w:ascii="Arial" w:eastAsia="Times New Roman" w:hAnsi="Arial" w:cs="Arial"/>
                <w:color w:val="000000"/>
                <w:lang w:eastAsia="cs-CZ"/>
              </w:rPr>
              <w:t xml:space="preserve"> (min. 10 mm).</w:t>
            </w:r>
          </w:p>
        </w:tc>
        <w:tc>
          <w:tcPr>
            <w:tcW w:w="999" w:type="dxa"/>
            <w:shd w:val="clear" w:color="auto" w:fill="auto"/>
          </w:tcPr>
          <w:p w14:paraId="7B2463A4" w14:textId="77777777" w:rsidR="00371974" w:rsidRPr="00664EDD" w:rsidRDefault="0037197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  <w:shd w:val="clear" w:color="auto" w:fill="auto"/>
          </w:tcPr>
          <w:p w14:paraId="3E0F8DDA" w14:textId="4C15BD19" w:rsidR="00371974" w:rsidRPr="00664EDD" w:rsidRDefault="0037197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0B1CDA08" w14:textId="77777777" w:rsidTr="00DB6577">
        <w:tc>
          <w:tcPr>
            <w:tcW w:w="1865" w:type="dxa"/>
            <w:vMerge/>
          </w:tcPr>
          <w:p w14:paraId="3D5C1316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055093D" w14:textId="34C56DFE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Při výkonu kontrolně dohledových činností musí i s požadovanou balistickou ochranou poskytovat dostatečnou volnost pohybu, neomezovat uživatele při řízení motorových dopravních prostředků, odběrech vzorků, kontrolních činnostech nákladových prostor dopravních prostředků, používání donucovacích prostředků, administrativní činnosti.</w:t>
            </w:r>
          </w:p>
        </w:tc>
        <w:tc>
          <w:tcPr>
            <w:tcW w:w="999" w:type="dxa"/>
          </w:tcPr>
          <w:p w14:paraId="29501F43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1CC065D" w14:textId="63EDBA70" w:rsidR="007E075E" w:rsidRPr="00664EDD" w:rsidRDefault="00EF1F5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523F3962" w14:textId="77777777" w:rsidTr="00DB6577">
        <w:tc>
          <w:tcPr>
            <w:tcW w:w="1865" w:type="dxa"/>
            <w:vMerge/>
          </w:tcPr>
          <w:p w14:paraId="7D45C01E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77E8423F" w14:textId="0392A9FB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nebude svou konstrukcí omezovat uživatele ve střelbě z krátkých a dlouhých zbraní</w:t>
            </w:r>
            <w:r w:rsidR="00D367CA" w:rsidRPr="00664EDD">
              <w:rPr>
                <w:rFonts w:ascii="Arial" w:hAnsi="Arial" w:cs="Arial"/>
              </w:rPr>
              <w:t>.</w:t>
            </w:r>
          </w:p>
        </w:tc>
        <w:tc>
          <w:tcPr>
            <w:tcW w:w="999" w:type="dxa"/>
          </w:tcPr>
          <w:p w14:paraId="244254C3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FBA89A5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3F99DF4B" w14:textId="77777777" w:rsidTr="00DB6577">
        <w:tc>
          <w:tcPr>
            <w:tcW w:w="1865" w:type="dxa"/>
            <w:vMerge/>
          </w:tcPr>
          <w:p w14:paraId="3916B30F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36E02708" w14:textId="227787EB" w:rsidR="007E075E" w:rsidRPr="00664EDD" w:rsidRDefault="009F2165" w:rsidP="009F2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m</w:t>
            </w:r>
            <w:r w:rsidR="007E075E" w:rsidRPr="00664EDD">
              <w:rPr>
                <w:rFonts w:ascii="Arial" w:hAnsi="Arial" w:cs="Arial"/>
              </w:rPr>
              <w:t xml:space="preserve">usí odolávat podmínkám dlouhodobého nošení při vysokých a nízkých teplotách, odolávat vlhkosti, povětrnostním a ostatním vlivům, které mohou negativně </w:t>
            </w:r>
            <w:r w:rsidR="00A20EDA" w:rsidRPr="00664EDD">
              <w:rPr>
                <w:rFonts w:ascii="Arial" w:hAnsi="Arial" w:cs="Arial"/>
              </w:rPr>
              <w:t>působit na balistickou</w:t>
            </w:r>
            <w:r w:rsidR="007E075E" w:rsidRPr="00664EDD">
              <w:rPr>
                <w:rFonts w:ascii="Arial" w:hAnsi="Arial" w:cs="Arial"/>
              </w:rPr>
              <w:t xml:space="preserve"> vložku a tím snížit její požadované vlastnosti.</w:t>
            </w:r>
            <w:r w:rsidR="00A20EDA" w:rsidRPr="00664EDD">
              <w:rPr>
                <w:rFonts w:ascii="Arial" w:hAnsi="Arial" w:cs="Arial"/>
              </w:rPr>
              <w:t xml:space="preserve"> Balistická vložka musí být vhodným způsobem chráněna před těmito vlivy např. zatavením.</w:t>
            </w:r>
          </w:p>
        </w:tc>
        <w:tc>
          <w:tcPr>
            <w:tcW w:w="999" w:type="dxa"/>
          </w:tcPr>
          <w:p w14:paraId="50463CEA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19BC323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4CA32CA3" w14:textId="77777777" w:rsidTr="00DB6577">
        <w:tc>
          <w:tcPr>
            <w:tcW w:w="1865" w:type="dxa"/>
            <w:vMerge/>
          </w:tcPr>
          <w:p w14:paraId="0D182853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72CFB717" w14:textId="35BF696F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Maximální přípustná hmotnost balistické ochranné vesty velikosti L nesmí překročit 3 kg v požadované třídě balistické odolnosti.</w:t>
            </w:r>
          </w:p>
        </w:tc>
        <w:tc>
          <w:tcPr>
            <w:tcW w:w="999" w:type="dxa"/>
          </w:tcPr>
          <w:p w14:paraId="25AFDD60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66CC74A1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100B83C6" w14:textId="77777777" w:rsidTr="005D089B">
        <w:tc>
          <w:tcPr>
            <w:tcW w:w="1865" w:type="dxa"/>
            <w:vMerge/>
          </w:tcPr>
          <w:p w14:paraId="2AF4557D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3B0F225D" w14:textId="30081CD0" w:rsidR="003261C5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Celková plocha balistické ochrany požadována min. dle hodnot uvedených v následující tabulce</w:t>
            </w:r>
          </w:p>
          <w:tbl>
            <w:tblPr>
              <w:tblpPr w:leftFromText="141" w:rightFromText="141" w:vertAnchor="text" w:horzAnchor="margin" w:tblpY="-1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2"/>
              <w:gridCol w:w="2908"/>
            </w:tblGrid>
            <w:tr w:rsidR="00FA52CE" w:rsidRPr="00664EDD" w14:paraId="2C5C52C1" w14:textId="77777777" w:rsidTr="00FA52CE">
              <w:trPr>
                <w:trHeight w:val="585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DF865" w14:textId="77777777" w:rsidR="00FA52CE" w:rsidRPr="00664EDD" w:rsidRDefault="00FA52CE" w:rsidP="00FA52CE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 xml:space="preserve">velikost 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F047F" w14:textId="77777777" w:rsidR="00FA52CE" w:rsidRPr="00664EDD" w:rsidRDefault="00FA52CE" w:rsidP="00FA52CE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 xml:space="preserve">Plocha balistické ochrany vesty v cm2 </w:t>
                  </w:r>
                </w:p>
              </w:tc>
            </w:tr>
            <w:tr w:rsidR="00FA52CE" w:rsidRPr="00664EDD" w14:paraId="5E62C0EA" w14:textId="77777777" w:rsidTr="00FA52CE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F8F0D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FD6DD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2280</w:t>
                  </w:r>
                </w:p>
              </w:tc>
            </w:tr>
            <w:tr w:rsidR="00FA52CE" w:rsidRPr="00664EDD" w14:paraId="43B0E76C" w14:textId="77777777" w:rsidTr="00FA52CE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FA8AD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6BC41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2600</w:t>
                  </w:r>
                </w:p>
              </w:tc>
            </w:tr>
            <w:tr w:rsidR="00FA52CE" w:rsidRPr="00664EDD" w14:paraId="71BCE7C2" w14:textId="77777777" w:rsidTr="00FA52CE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B03F5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3B328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3100</w:t>
                  </w:r>
                </w:p>
              </w:tc>
            </w:tr>
            <w:tr w:rsidR="00FA52CE" w:rsidRPr="00664EDD" w14:paraId="1E15A6FC" w14:textId="77777777" w:rsidTr="00FA52CE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402B2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XL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655E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3420</w:t>
                  </w:r>
                </w:p>
              </w:tc>
            </w:tr>
            <w:tr w:rsidR="00FA52CE" w:rsidRPr="00664EDD" w14:paraId="66BF18C3" w14:textId="77777777" w:rsidTr="00FA52CE">
              <w:trPr>
                <w:trHeight w:val="109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3D13C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XXL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ED3C5" w14:textId="77777777" w:rsidR="00FA52CE" w:rsidRPr="00664EDD" w:rsidRDefault="00FA52CE" w:rsidP="00FA52CE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4EDD">
                    <w:rPr>
                      <w:rFonts w:ascii="Arial" w:hAnsi="Arial" w:cs="Arial"/>
                      <w:sz w:val="22"/>
                      <w:szCs w:val="22"/>
                    </w:rPr>
                    <w:t>3960</w:t>
                  </w:r>
                </w:p>
              </w:tc>
            </w:tr>
          </w:tbl>
          <w:p w14:paraId="7A8061F1" w14:textId="01D40D51" w:rsidR="00FA52CE" w:rsidRPr="00664EDD" w:rsidRDefault="00FA52C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A3A49F9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9348CD5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0EDCEF65" w14:textId="77777777" w:rsidTr="00DB6577">
        <w:tc>
          <w:tcPr>
            <w:tcW w:w="1865" w:type="dxa"/>
            <w:vMerge/>
          </w:tcPr>
          <w:p w14:paraId="1F304A04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A943839" w14:textId="2E4D12D0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Vesta bude vyrobena bez kovových komponentů.</w:t>
            </w:r>
          </w:p>
        </w:tc>
        <w:tc>
          <w:tcPr>
            <w:tcW w:w="999" w:type="dxa"/>
          </w:tcPr>
          <w:p w14:paraId="433DA219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E80662F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5C38C1AF" w14:textId="77777777" w:rsidTr="00DB6577">
        <w:tc>
          <w:tcPr>
            <w:tcW w:w="1865" w:type="dxa"/>
            <w:vMerge/>
          </w:tcPr>
          <w:p w14:paraId="18E963CE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4CA69201" w14:textId="7DDC8D3E" w:rsidR="007E075E" w:rsidRPr="00664EDD" w:rsidRDefault="007E075E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Zadavatel požaduje, aby všechny dodané balistické vesty byly vyrobeny z nových, dosud nepoužitých materiálů.</w:t>
            </w:r>
            <w:r w:rsidR="00371974" w:rsidRPr="00664EDD">
              <w:rPr>
                <w:rFonts w:ascii="Arial" w:hAnsi="Arial" w:cs="Arial"/>
              </w:rPr>
              <w:t xml:space="preserve"> Vesty musí být vyrobeny maximálně 12 měsíců před dodáním a to včetně komponent.</w:t>
            </w:r>
          </w:p>
        </w:tc>
        <w:tc>
          <w:tcPr>
            <w:tcW w:w="999" w:type="dxa"/>
          </w:tcPr>
          <w:p w14:paraId="2D3C04BC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28E6800" w14:textId="4194D3D4" w:rsidR="007E075E" w:rsidRPr="00664EDD" w:rsidRDefault="00EF1F5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7E075E" w:rsidRPr="00664EDD" w14:paraId="12154267" w14:textId="77777777" w:rsidTr="00DB6577">
        <w:tc>
          <w:tcPr>
            <w:tcW w:w="1865" w:type="dxa"/>
            <w:vMerge/>
          </w:tcPr>
          <w:p w14:paraId="793E7D0F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6D50AFEB" w14:textId="05F6F7EC" w:rsidR="007E075E" w:rsidRPr="00664EDD" w:rsidRDefault="007E075E" w:rsidP="007E07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Součástí každé vesty bude přepravní obal, který bude opatřen zipem a úchyty pro snadné přenášení vesty.</w:t>
            </w:r>
            <w:r w:rsidR="00371974" w:rsidRPr="00664EDD">
              <w:rPr>
                <w:rFonts w:ascii="Arial" w:hAnsi="Arial" w:cs="Arial"/>
              </w:rPr>
              <w:t xml:space="preserve"> Ke každé vestě bude přiložen návod k použití a záruční list.</w:t>
            </w:r>
          </w:p>
        </w:tc>
        <w:tc>
          <w:tcPr>
            <w:tcW w:w="999" w:type="dxa"/>
          </w:tcPr>
          <w:p w14:paraId="4B79B3CB" w14:textId="77777777" w:rsidR="007E075E" w:rsidRPr="00664EDD" w:rsidRDefault="007E075E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6F36278" w14:textId="058F4243" w:rsidR="007E075E" w:rsidRPr="00664EDD" w:rsidRDefault="00EF1F57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1C92670A" w14:textId="77777777" w:rsidTr="00DB6577">
        <w:tc>
          <w:tcPr>
            <w:tcW w:w="1865" w:type="dxa"/>
            <w:vMerge w:val="restart"/>
          </w:tcPr>
          <w:p w14:paraId="4CD8B2C2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64EDD">
              <w:rPr>
                <w:rFonts w:ascii="Arial" w:hAnsi="Arial" w:cs="Arial"/>
                <w:b/>
                <w:bCs/>
              </w:rPr>
              <w:t>Specifikace povlaku vesty</w:t>
            </w:r>
          </w:p>
        </w:tc>
        <w:tc>
          <w:tcPr>
            <w:tcW w:w="4990" w:type="dxa"/>
          </w:tcPr>
          <w:p w14:paraId="304E97BE" w14:textId="251CD59B" w:rsidR="00213244" w:rsidRPr="00664EDD" w:rsidRDefault="00213244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Barva povlaků vesty – 1 ks v barvě tmavě modré (kód barvy Pantone 19-4110 TPX, Midnight Navy), 1 ks v barvě tělové.</w:t>
            </w:r>
          </w:p>
        </w:tc>
        <w:tc>
          <w:tcPr>
            <w:tcW w:w="999" w:type="dxa"/>
          </w:tcPr>
          <w:p w14:paraId="522010A4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32B3B65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7E59B385" w14:textId="77777777" w:rsidTr="00DB6577">
        <w:tc>
          <w:tcPr>
            <w:tcW w:w="1865" w:type="dxa"/>
            <w:vMerge/>
          </w:tcPr>
          <w:p w14:paraId="378799D7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68259137" w14:textId="2D1A9E03" w:rsidR="00213244" w:rsidRPr="00664EDD" w:rsidRDefault="00213244" w:rsidP="009F21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Vnější materiál (včetně švů) vesty bude přizpůsoben z hlediska pevnosti materiálu požadovaným nárokům, pro které je vesta určena, bude vysoce odolný proti otěru a bude umožňovat snadné čištění.</w:t>
            </w:r>
          </w:p>
        </w:tc>
        <w:tc>
          <w:tcPr>
            <w:tcW w:w="999" w:type="dxa"/>
          </w:tcPr>
          <w:p w14:paraId="0440C918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46F5697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74C6F173" w14:textId="77777777" w:rsidTr="00DB6577">
        <w:tc>
          <w:tcPr>
            <w:tcW w:w="1865" w:type="dxa"/>
            <w:vMerge/>
          </w:tcPr>
          <w:p w14:paraId="5248FF42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55757040" w14:textId="5A4824D3" w:rsidR="00213244" w:rsidRPr="00664EDD" w:rsidRDefault="00213244" w:rsidP="005819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Povlak v tmavě modré barvě bude na zádech opatřen suchým zipem pro umístění označení velkého nápisu "CELNÍ SPRÁVA" (rozměr suchého zipu 37 x 14 cm) a v přední části, vlevo nahoře, dvěma nad sebou umístěnými, suchými zipy pro umístění služebního čísla a malého nápisu "CELNÍ SPRÁVA" - rozměry obou suchých zipů 12,5 x 3 cm). Provedení všech suchých zipů bude s čnějícími vlákny - háčky. Umístění všech suchých zipů na vestě bude provedeno obdobně jako na bundě pracovního stejnokroje 97, dle vyhlášky č. 286/2012 Sb. o vnějším označení, odznacích, služebních stejnokrojích a zvláštním barevném provedení a označení služebních vozidel celní správy (příloha č. 2, obrázek stejnokroje 5).</w:t>
            </w:r>
          </w:p>
        </w:tc>
        <w:tc>
          <w:tcPr>
            <w:tcW w:w="999" w:type="dxa"/>
          </w:tcPr>
          <w:p w14:paraId="156028F6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5101373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4C433A6C" w14:textId="77777777" w:rsidTr="00DB6577">
        <w:tc>
          <w:tcPr>
            <w:tcW w:w="1865" w:type="dxa"/>
            <w:vMerge/>
          </w:tcPr>
          <w:p w14:paraId="0F29BE58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4F77E94B" w14:textId="3706CD07" w:rsidR="00213244" w:rsidRPr="00664EDD" w:rsidRDefault="00213244" w:rsidP="00DB65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Vnitřek vesty bude zhotoven z 3D síťoviny pro lepší odvětrání a komfort uživatele.</w:t>
            </w:r>
          </w:p>
        </w:tc>
        <w:tc>
          <w:tcPr>
            <w:tcW w:w="999" w:type="dxa"/>
          </w:tcPr>
          <w:p w14:paraId="463DCC58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BD52D9A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5B54F986" w14:textId="77777777" w:rsidTr="00DB6577">
        <w:tc>
          <w:tcPr>
            <w:tcW w:w="1865" w:type="dxa"/>
            <w:vMerge/>
          </w:tcPr>
          <w:p w14:paraId="4A251408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0B7E45BC" w14:textId="340EE304" w:rsidR="00213244" w:rsidRPr="00664EDD" w:rsidRDefault="00213244" w:rsidP="00923D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Povlaky budou pratelné s podmínkou zachování původního tvaru, barvy a velikosti povlaku dle </w:t>
            </w:r>
            <w:r w:rsidRPr="00664EDD">
              <w:rPr>
                <w:rFonts w:ascii="Arial" w:eastAsia="Calibri" w:hAnsi="Arial" w:cs="Arial"/>
              </w:rPr>
              <w:t>ČSN EN ISO 6330 a ČSN EN ISO 5077.</w:t>
            </w:r>
          </w:p>
        </w:tc>
        <w:tc>
          <w:tcPr>
            <w:tcW w:w="999" w:type="dxa"/>
          </w:tcPr>
          <w:p w14:paraId="0645F413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4B127E9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72ABC043" w14:textId="77777777" w:rsidTr="00DB6577">
        <w:tc>
          <w:tcPr>
            <w:tcW w:w="1865" w:type="dxa"/>
            <w:vMerge/>
          </w:tcPr>
          <w:p w14:paraId="65F56863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12B28E96" w14:textId="5CF65ED0" w:rsidR="00213244" w:rsidRPr="00664EDD" w:rsidRDefault="00213244" w:rsidP="004B3C3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 xml:space="preserve">Povlaky a balistické vložky vesty budou opatřeny informačním štítkem v českém jazyce, kde budou uvedeny údaje: </w:t>
            </w:r>
            <w:r w:rsidR="004B3C30" w:rsidRPr="00664EDD">
              <w:rPr>
                <w:rFonts w:ascii="Arial" w:hAnsi="Arial" w:cs="Arial"/>
                <w:sz w:val="22"/>
                <w:szCs w:val="22"/>
              </w:rPr>
              <w:t xml:space="preserve">materiálové složení v plném znění, </w:t>
            </w:r>
            <w:r w:rsidRPr="00664EDD">
              <w:rPr>
                <w:rFonts w:ascii="Arial" w:hAnsi="Arial" w:cs="Arial"/>
                <w:sz w:val="22"/>
                <w:szCs w:val="22"/>
              </w:rPr>
              <w:t>norma a třída balistické o</w:t>
            </w:r>
            <w:r w:rsidR="004B3C30" w:rsidRPr="00664EDD">
              <w:rPr>
                <w:rFonts w:ascii="Arial" w:hAnsi="Arial" w:cs="Arial"/>
                <w:sz w:val="22"/>
                <w:szCs w:val="22"/>
              </w:rPr>
              <w:t>dolnosti</w:t>
            </w:r>
            <w:r w:rsidRPr="00664EDD">
              <w:rPr>
                <w:rFonts w:ascii="Arial" w:hAnsi="Arial" w:cs="Arial"/>
                <w:sz w:val="22"/>
                <w:szCs w:val="22"/>
              </w:rPr>
              <w:t>, velikost, výrobní série a pořadové číslo vesty, počátek záruční doby (měsíc/rok), konec záruční doby (měsíc/rok), symboly vztahující se k údržbě a ošetření dle ČSN EN ISO 3758. Údaje budou běžným způsobem, a po celou dobu užívání vesty, neodstranitelné.</w:t>
            </w:r>
          </w:p>
        </w:tc>
        <w:tc>
          <w:tcPr>
            <w:tcW w:w="999" w:type="dxa"/>
          </w:tcPr>
          <w:p w14:paraId="6714C431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2B77261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213244" w:rsidRPr="00664EDD" w14:paraId="752004D5" w14:textId="77777777" w:rsidTr="00DB6577">
        <w:tc>
          <w:tcPr>
            <w:tcW w:w="1865" w:type="dxa"/>
            <w:vMerge/>
          </w:tcPr>
          <w:p w14:paraId="1CEFA017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3D3B1817" w14:textId="48D0403D" w:rsidR="00DB7A3A" w:rsidRPr="00664EDD" w:rsidRDefault="00DB7A3A" w:rsidP="00DB7A3A">
            <w:pPr>
              <w:pStyle w:val="Zkladntextodsazen2"/>
              <w:ind w:left="0"/>
              <w:rPr>
                <w:rFonts w:ascii="Arial" w:hAnsi="Arial" w:cs="Arial"/>
                <w:szCs w:val="22"/>
              </w:rPr>
            </w:pPr>
            <w:r w:rsidRPr="00664EDD">
              <w:rPr>
                <w:rFonts w:ascii="Arial" w:hAnsi="Arial" w:cs="Arial"/>
                <w:szCs w:val="22"/>
              </w:rPr>
              <w:t xml:space="preserve">Použitá tkanina svrchního materiálu vnitřní části povlaku balistické vesty musí splňovat všechny níže uvedené parametry hygienické (zdravotní) nezávadnosti: </w:t>
            </w:r>
          </w:p>
          <w:p w14:paraId="1F1801E0" w14:textId="77777777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obsah volného a hydrolýzou uvolněného formaldehydu (mg.kg</w:t>
            </w:r>
            <w:r w:rsidRPr="00664EDD">
              <w:rPr>
                <w:rFonts w:ascii="Arial" w:hAnsi="Arial" w:cs="Arial"/>
                <w:vertAlign w:val="superscript"/>
              </w:rPr>
              <w:t>-1</w:t>
            </w:r>
            <w:r w:rsidRPr="00664EDD">
              <w:rPr>
                <w:rFonts w:ascii="Arial" w:hAnsi="Arial" w:cs="Arial"/>
              </w:rPr>
              <w:t>),</w:t>
            </w:r>
            <w:r w:rsidRPr="00664EDD">
              <w:rPr>
                <w:rFonts w:ascii="Arial" w:hAnsi="Arial" w:cs="Arial"/>
                <w:vertAlign w:val="superscript"/>
              </w:rPr>
              <w:t xml:space="preserve">  </w:t>
            </w:r>
            <w:r w:rsidRPr="00664EDD">
              <w:rPr>
                <w:rFonts w:ascii="Arial" w:hAnsi="Arial" w:cs="Arial"/>
              </w:rPr>
              <w:t xml:space="preserve">max. – 75 (ČSN </w:t>
            </w:r>
            <w:r w:rsidRPr="00664EDD">
              <w:rPr>
                <w:rFonts w:ascii="Arial" w:hAnsi="Arial" w:cs="Arial"/>
              </w:rPr>
              <w:lastRenderedPageBreak/>
              <w:t xml:space="preserve">EN ISO 14184-1), </w:t>
            </w:r>
          </w:p>
          <w:p w14:paraId="770CA7D8" w14:textId="77777777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pH vodného výluhu - 4,5 - 7,5 (ČSN EN ISO 3071), </w:t>
            </w:r>
          </w:p>
          <w:p w14:paraId="3B8FEF86" w14:textId="01DA08F8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obsah těžkých kovů (mg.kg</w:t>
            </w:r>
            <w:r w:rsidRPr="00664EDD">
              <w:rPr>
                <w:rFonts w:ascii="Arial" w:hAnsi="Arial" w:cs="Arial"/>
                <w:vertAlign w:val="superscript"/>
              </w:rPr>
              <w:t>-1</w:t>
            </w:r>
            <w:r w:rsidRPr="00664EDD">
              <w:rPr>
                <w:rFonts w:ascii="Arial" w:hAnsi="Arial" w:cs="Arial"/>
              </w:rPr>
              <w:t>)</w:t>
            </w:r>
            <w:r w:rsidR="005533B3" w:rsidRPr="00664EDD">
              <w:rPr>
                <w:rFonts w:ascii="Arial" w:hAnsi="Arial" w:cs="Arial"/>
                <w:vertAlign w:val="superscript"/>
              </w:rPr>
              <w:t xml:space="preserve"> </w:t>
            </w:r>
            <w:r w:rsidRPr="00664EDD">
              <w:rPr>
                <w:rFonts w:ascii="Arial" w:hAnsi="Arial" w:cs="Arial"/>
              </w:rPr>
              <w:t xml:space="preserve">max. (Extrakce v roztoku kyselého potu dle ČSN EN ISO 105-E04, stanovení metodou AAS/metodou ICP-OES) </w:t>
            </w:r>
          </w:p>
          <w:p w14:paraId="1BE4AA71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arsen - 1,0</w:t>
            </w:r>
          </w:p>
          <w:p w14:paraId="2E6B84D2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kadmium - 0,1</w:t>
            </w:r>
          </w:p>
          <w:p w14:paraId="6DD348F9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olovo - 1,0</w:t>
            </w:r>
          </w:p>
          <w:p w14:paraId="5DA36CBF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rtuť - 0,0</w:t>
            </w:r>
          </w:p>
          <w:p w14:paraId="618FB1A1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chrom celkový - 2,0</w:t>
            </w:r>
          </w:p>
          <w:p w14:paraId="609E49F3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chrom šestimocný – pod detekčním limitem</w:t>
            </w:r>
          </w:p>
          <w:p w14:paraId="3387CEAA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kobalt – 4,0</w:t>
            </w:r>
          </w:p>
          <w:p w14:paraId="7C100BFF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měď – 50,0</w:t>
            </w:r>
          </w:p>
          <w:p w14:paraId="2FDD4D40" w14:textId="0ED15652" w:rsidR="00213244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nikl – 4,0</w:t>
            </w:r>
          </w:p>
        </w:tc>
        <w:tc>
          <w:tcPr>
            <w:tcW w:w="999" w:type="dxa"/>
          </w:tcPr>
          <w:p w14:paraId="57E9613F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F44954A" w14:textId="77777777" w:rsidR="00213244" w:rsidRPr="00664EDD" w:rsidRDefault="00213244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EE5459" w:rsidRPr="00664EDD" w14:paraId="37C4DBE9" w14:textId="77777777" w:rsidTr="00DB6577">
        <w:tc>
          <w:tcPr>
            <w:tcW w:w="1865" w:type="dxa"/>
            <w:vMerge w:val="restart"/>
          </w:tcPr>
          <w:p w14:paraId="6FDF5C0F" w14:textId="7C52B1CF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64EDD">
              <w:rPr>
                <w:rFonts w:ascii="Arial" w:hAnsi="Arial" w:cs="Arial"/>
                <w:b/>
                <w:bCs/>
              </w:rPr>
              <w:t>Specifikace funkčního trika</w:t>
            </w:r>
          </w:p>
        </w:tc>
        <w:tc>
          <w:tcPr>
            <w:tcW w:w="4990" w:type="dxa"/>
          </w:tcPr>
          <w:p w14:paraId="66DB97CB" w14:textId="5E04B0AC" w:rsidR="00EE5459" w:rsidRPr="00664EDD" w:rsidRDefault="00EE5459" w:rsidP="00E149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Funkční trika budou s krátkým rukávem, v antibakteriálním provedení, budou mít rychleschnoucí efekt a budou vyrobená technologií plochých švů.</w:t>
            </w:r>
          </w:p>
        </w:tc>
        <w:tc>
          <w:tcPr>
            <w:tcW w:w="999" w:type="dxa"/>
          </w:tcPr>
          <w:p w14:paraId="115B39C4" w14:textId="77777777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3C3C0B5" w14:textId="7CB55A7C" w:rsidR="00EE5459" w:rsidRPr="00664EDD" w:rsidRDefault="00EE5459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EE5459" w:rsidRPr="00664EDD" w14:paraId="31FB1542" w14:textId="77777777" w:rsidTr="00DB6577">
        <w:tc>
          <w:tcPr>
            <w:tcW w:w="1865" w:type="dxa"/>
            <w:vMerge/>
          </w:tcPr>
          <w:p w14:paraId="74D0DBEA" w14:textId="77777777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0B918816" w14:textId="3537C501" w:rsidR="00EE5459" w:rsidRPr="00664EDD" w:rsidRDefault="00EE5459" w:rsidP="005756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Funkční trika budou ze směsové pleteniny zajišťující regulaci teploty, vysoký odvod vlhkosti směrem od pokožky, dobrou tvarovou a barevnou stálost v nošení i v údržbě a prodyšnost. Materiálové složení funkčních trik bude 90% profilované polyesterové vlákno s obsahem stříbrných iontů a 10% antistatické vlákno. Funkční triko bude v souladu se zkušební normou Nařízení Evropského parlamentu a Rady (EU) č. 1007/2011.</w:t>
            </w:r>
          </w:p>
        </w:tc>
        <w:tc>
          <w:tcPr>
            <w:tcW w:w="999" w:type="dxa"/>
          </w:tcPr>
          <w:p w14:paraId="691E7301" w14:textId="77777777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02EE459" w14:textId="545D356A" w:rsidR="00EE5459" w:rsidRPr="00664EDD" w:rsidRDefault="00EE5459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EE5459" w:rsidRPr="00664EDD" w14:paraId="19160472" w14:textId="77777777" w:rsidTr="00DB6577">
        <w:tc>
          <w:tcPr>
            <w:tcW w:w="1865" w:type="dxa"/>
            <w:vMerge/>
          </w:tcPr>
          <w:p w14:paraId="76CAB868" w14:textId="77777777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0" w:type="dxa"/>
          </w:tcPr>
          <w:p w14:paraId="5A1153C2" w14:textId="00E00314" w:rsidR="00EE5459" w:rsidRPr="00664EDD" w:rsidRDefault="00EE5459" w:rsidP="005756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Plošná hmotnost na funkční triko </w:t>
            </w:r>
            <w:r w:rsidRPr="00664EDD">
              <w:rPr>
                <w:rFonts w:ascii="Arial" w:eastAsia="Calibri" w:hAnsi="Arial" w:cs="Arial"/>
              </w:rPr>
              <w:t>(g/m</w:t>
            </w:r>
            <w:r w:rsidRPr="00664EDD">
              <w:rPr>
                <w:rFonts w:ascii="Arial" w:eastAsia="Calibri" w:hAnsi="Arial" w:cs="Arial"/>
                <w:vertAlign w:val="superscript"/>
              </w:rPr>
              <w:t xml:space="preserve">2 </w:t>
            </w:r>
            <w:r w:rsidRPr="00664EDD">
              <w:rPr>
                <w:rFonts w:ascii="Arial" w:eastAsia="Calibri" w:hAnsi="Arial" w:cs="Arial"/>
              </w:rPr>
              <w:t xml:space="preserve">) bude v rozmezí min. 180 – max. 280 dle </w:t>
            </w:r>
            <w:r w:rsidRPr="00664EDD">
              <w:rPr>
                <w:rFonts w:ascii="Arial" w:hAnsi="Arial" w:cs="Arial"/>
              </w:rPr>
              <w:t>ČSN EN 12127.</w:t>
            </w:r>
          </w:p>
        </w:tc>
        <w:tc>
          <w:tcPr>
            <w:tcW w:w="999" w:type="dxa"/>
          </w:tcPr>
          <w:p w14:paraId="65C71B8E" w14:textId="77777777" w:rsidR="00EE5459" w:rsidRPr="00664EDD" w:rsidRDefault="00EE5459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2790DE0" w14:textId="16D712C7" w:rsidR="00EE5459" w:rsidRPr="00664EDD" w:rsidRDefault="00EE5459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DB7A3A" w:rsidRPr="00664EDD" w14:paraId="38587268" w14:textId="77777777" w:rsidTr="00DB7A3A">
        <w:tc>
          <w:tcPr>
            <w:tcW w:w="1865" w:type="dxa"/>
          </w:tcPr>
          <w:p w14:paraId="68CADEA5" w14:textId="77777777" w:rsidR="00DB7A3A" w:rsidRPr="00664EDD" w:rsidRDefault="00DB7A3A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9" w:type="dxa"/>
          </w:tcPr>
          <w:p w14:paraId="3429CED5" w14:textId="3126BCD9" w:rsidR="00DB7A3A" w:rsidRPr="00664EDD" w:rsidRDefault="00DB7A3A" w:rsidP="00DB7A3A">
            <w:pPr>
              <w:pStyle w:val="Zkladntextodsazen2"/>
              <w:ind w:left="0"/>
              <w:rPr>
                <w:rFonts w:ascii="Arial" w:hAnsi="Arial" w:cs="Arial"/>
                <w:szCs w:val="22"/>
              </w:rPr>
            </w:pPr>
            <w:r w:rsidRPr="00664EDD">
              <w:rPr>
                <w:rFonts w:ascii="Arial" w:hAnsi="Arial" w:cs="Arial"/>
                <w:szCs w:val="22"/>
              </w:rPr>
              <w:t xml:space="preserve">Použitý materiál na funkční trika musí splňovat všechny níže uvedené parametry hygienické (zdravotní) nezávadnosti: </w:t>
            </w:r>
          </w:p>
          <w:p w14:paraId="42F08D0E" w14:textId="77777777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obsah volného a hydrolýzou uvolněného formaldehydu (mg.kg</w:t>
            </w:r>
            <w:r w:rsidRPr="00664EDD">
              <w:rPr>
                <w:rFonts w:ascii="Arial" w:hAnsi="Arial" w:cs="Arial"/>
                <w:vertAlign w:val="superscript"/>
              </w:rPr>
              <w:t>-1</w:t>
            </w:r>
            <w:r w:rsidRPr="00664EDD">
              <w:rPr>
                <w:rFonts w:ascii="Arial" w:hAnsi="Arial" w:cs="Arial"/>
              </w:rPr>
              <w:t>),</w:t>
            </w:r>
            <w:r w:rsidRPr="00664EDD">
              <w:rPr>
                <w:rFonts w:ascii="Arial" w:hAnsi="Arial" w:cs="Arial"/>
                <w:vertAlign w:val="superscript"/>
              </w:rPr>
              <w:t xml:space="preserve">  </w:t>
            </w:r>
            <w:r w:rsidRPr="00664EDD">
              <w:rPr>
                <w:rFonts w:ascii="Arial" w:hAnsi="Arial" w:cs="Arial"/>
              </w:rPr>
              <w:t xml:space="preserve">max. – 75 (ČSN EN ISO 14184-1), </w:t>
            </w:r>
          </w:p>
          <w:p w14:paraId="21603D76" w14:textId="77777777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pH vodného výluhu - 4,5 - 7,5 (ČSN EN ISO 3071), </w:t>
            </w:r>
          </w:p>
          <w:p w14:paraId="04229683" w14:textId="498A882B" w:rsidR="00DB7A3A" w:rsidRPr="00664EDD" w:rsidRDefault="00DB7A3A" w:rsidP="00DB7A3A">
            <w:pPr>
              <w:widowControl w:val="0"/>
              <w:numPr>
                <w:ilvl w:val="0"/>
                <w:numId w:val="1"/>
              </w:numPr>
              <w:ind w:left="574" w:hanging="567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obsah těžkých kovů (mg.kg</w:t>
            </w:r>
            <w:r w:rsidRPr="00664EDD">
              <w:rPr>
                <w:rFonts w:ascii="Arial" w:hAnsi="Arial" w:cs="Arial"/>
                <w:vertAlign w:val="superscript"/>
              </w:rPr>
              <w:t>-1</w:t>
            </w:r>
            <w:r w:rsidRPr="00664EDD">
              <w:rPr>
                <w:rFonts w:ascii="Arial" w:hAnsi="Arial" w:cs="Arial"/>
              </w:rPr>
              <w:t>)</w:t>
            </w:r>
            <w:r w:rsidR="005533B3" w:rsidRPr="00664EDD">
              <w:rPr>
                <w:rFonts w:ascii="Arial" w:hAnsi="Arial" w:cs="Arial"/>
                <w:vertAlign w:val="superscript"/>
              </w:rPr>
              <w:t xml:space="preserve"> </w:t>
            </w:r>
            <w:r w:rsidRPr="00664EDD">
              <w:rPr>
                <w:rFonts w:ascii="Arial" w:hAnsi="Arial" w:cs="Arial"/>
              </w:rPr>
              <w:t xml:space="preserve">max. (Extrakce v roztoku kyselého potu dle ČSN EN ISO 105-E04, stanovení metodou AAS/metodou ICP-OES) </w:t>
            </w:r>
          </w:p>
          <w:p w14:paraId="3DF4CD5F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arsen - 1,0</w:t>
            </w:r>
          </w:p>
          <w:p w14:paraId="73778EAC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kadmium - 0,1</w:t>
            </w:r>
          </w:p>
          <w:p w14:paraId="4CA96288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olovo - 1,0</w:t>
            </w:r>
          </w:p>
          <w:p w14:paraId="1935D399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rtuť - 0,0</w:t>
            </w:r>
          </w:p>
          <w:p w14:paraId="41036667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chrom celkový - 2,0</w:t>
            </w:r>
          </w:p>
          <w:p w14:paraId="3A7C64BF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 xml:space="preserve">chrom šestimocný – pod detekčním </w:t>
            </w:r>
            <w:r w:rsidRPr="00664EDD">
              <w:rPr>
                <w:rFonts w:ascii="Arial" w:hAnsi="Arial" w:cs="Arial"/>
              </w:rPr>
              <w:lastRenderedPageBreak/>
              <w:t>limitem</w:t>
            </w:r>
          </w:p>
          <w:p w14:paraId="5131B95E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kobalt – 4,0</w:t>
            </w:r>
          </w:p>
          <w:p w14:paraId="7BA13E03" w14:textId="77777777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měď – 50,0</w:t>
            </w:r>
          </w:p>
          <w:p w14:paraId="49CC41DF" w14:textId="73D4E462" w:rsidR="00DB7A3A" w:rsidRPr="00664EDD" w:rsidRDefault="00DB7A3A" w:rsidP="00DB7A3A">
            <w:pPr>
              <w:pStyle w:val="Odstavecseseznamem"/>
              <w:widowControl w:val="0"/>
              <w:numPr>
                <w:ilvl w:val="0"/>
                <w:numId w:val="2"/>
              </w:numPr>
              <w:ind w:left="1141" w:hanging="567"/>
              <w:contextualSpacing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nikl – 4,0</w:t>
            </w:r>
          </w:p>
        </w:tc>
        <w:tc>
          <w:tcPr>
            <w:tcW w:w="1127" w:type="dxa"/>
          </w:tcPr>
          <w:p w14:paraId="3C07F15D" w14:textId="77777777" w:rsidR="00DB7A3A" w:rsidRPr="00664EDD" w:rsidRDefault="00DB7A3A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7C33F19" w14:textId="362792EB" w:rsidR="00DB7A3A" w:rsidRPr="00664EDD" w:rsidRDefault="00DB7A3A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3F1C8F" w:rsidRPr="00664EDD" w14:paraId="4C84C51F" w14:textId="77777777" w:rsidTr="00DB7A3A">
        <w:tc>
          <w:tcPr>
            <w:tcW w:w="1865" w:type="dxa"/>
            <w:vMerge w:val="restart"/>
          </w:tcPr>
          <w:p w14:paraId="61D76BA7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664EDD">
              <w:rPr>
                <w:rFonts w:ascii="Arial" w:hAnsi="Arial" w:cs="Arial"/>
                <w:b/>
                <w:bCs/>
              </w:rPr>
              <w:t>Předpokládané velikosti vest</w:t>
            </w:r>
          </w:p>
        </w:tc>
        <w:tc>
          <w:tcPr>
            <w:tcW w:w="4879" w:type="dxa"/>
          </w:tcPr>
          <w:p w14:paraId="2049C9D9" w14:textId="5F424865" w:rsidR="003F1C8F" w:rsidRPr="00664EDD" w:rsidRDefault="003F1C8F" w:rsidP="000720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64EDD">
              <w:rPr>
                <w:rFonts w:ascii="Arial" w:hAnsi="Arial" w:cs="Arial"/>
                <w:color w:val="000000" w:themeColor="text1"/>
              </w:rPr>
              <w:t xml:space="preserve">Zadavatel požaduje, aby </w:t>
            </w:r>
            <w:r w:rsidR="003C2728" w:rsidRPr="00664EDD">
              <w:rPr>
                <w:rFonts w:ascii="Arial" w:hAnsi="Arial" w:cs="Arial"/>
                <w:iCs/>
                <w:color w:val="000000" w:themeColor="text1"/>
              </w:rPr>
              <w:t>dodavatel</w:t>
            </w:r>
            <w:r w:rsidRPr="00664EDD">
              <w:rPr>
                <w:rFonts w:ascii="Arial" w:hAnsi="Arial" w:cs="Arial"/>
                <w:color w:val="000000" w:themeColor="text1"/>
              </w:rPr>
              <w:t xml:space="preserve"> garantoval možnost dodání nabízené vesty v níže uvedené tabulce velikostí</w:t>
            </w:r>
            <w:r w:rsidR="007241E7" w:rsidRPr="00664ED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27" w:type="dxa"/>
          </w:tcPr>
          <w:p w14:paraId="49D15E0D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011F8DC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  <w:tr w:rsidR="003F1C8F" w:rsidRPr="00664EDD" w14:paraId="4288CA30" w14:textId="77777777" w:rsidTr="00DB7A3A">
        <w:tc>
          <w:tcPr>
            <w:tcW w:w="1865" w:type="dxa"/>
            <w:vMerge/>
          </w:tcPr>
          <w:p w14:paraId="1C8B0EC2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9" w:type="dxa"/>
          </w:tcPr>
          <w:p w14:paraId="1DC1D716" w14:textId="740C752E" w:rsidR="003F1C8F" w:rsidRPr="00664EDD" w:rsidRDefault="003F1C8F" w:rsidP="009F21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64EDD">
              <w:rPr>
                <w:rFonts w:ascii="Arial" w:hAnsi="Arial" w:cs="Arial"/>
                <w:color w:val="000000" w:themeColor="text1"/>
              </w:rPr>
              <w:t xml:space="preserve">Zadavatel požaduje, aby vítězný </w:t>
            </w:r>
            <w:r w:rsidR="003C2728" w:rsidRPr="00664EDD">
              <w:rPr>
                <w:rFonts w:ascii="Arial" w:hAnsi="Arial" w:cs="Arial"/>
                <w:iCs/>
                <w:color w:val="000000" w:themeColor="text1"/>
              </w:rPr>
              <w:t>dodavatel</w:t>
            </w:r>
            <w:r w:rsidRPr="00664ED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6484" w:rsidRPr="00664EDD">
              <w:rPr>
                <w:rFonts w:ascii="Arial" w:hAnsi="Arial" w:cs="Arial"/>
                <w:color w:val="000000" w:themeColor="text1"/>
              </w:rPr>
              <w:t>v případě potřeby upravil max. 10</w:t>
            </w:r>
            <w:r w:rsidRPr="00664EDD">
              <w:rPr>
                <w:rFonts w:ascii="Arial" w:hAnsi="Arial" w:cs="Arial"/>
                <w:color w:val="000000" w:themeColor="text1"/>
              </w:rPr>
              <w:t>% z dodaného objemu vest individuálně dle potřeb jednotlivých uživatelů bez navýšení ceny</w:t>
            </w:r>
            <w:r w:rsidR="00EF1F57" w:rsidRPr="00664EDD">
              <w:rPr>
                <w:rFonts w:ascii="Arial" w:hAnsi="Arial" w:cs="Arial"/>
                <w:color w:val="000000" w:themeColor="text1"/>
              </w:rPr>
              <w:t>.</w:t>
            </w:r>
            <w:r w:rsidR="009F2165" w:rsidRPr="00664EDD">
              <w:rPr>
                <w:rFonts w:ascii="Arial" w:hAnsi="Arial" w:cs="Arial"/>
                <w:color w:val="000000" w:themeColor="text1"/>
              </w:rPr>
              <w:t xml:space="preserve"> Případné úpravy vest budou spočívat v úpravě </w:t>
            </w:r>
            <w:r w:rsidR="000D132A" w:rsidRPr="00664EDD">
              <w:rPr>
                <w:rFonts w:ascii="Arial" w:hAnsi="Arial" w:cs="Arial"/>
                <w:color w:val="000000" w:themeColor="text1"/>
              </w:rPr>
              <w:t>velikosti.</w:t>
            </w:r>
          </w:p>
        </w:tc>
        <w:tc>
          <w:tcPr>
            <w:tcW w:w="1127" w:type="dxa"/>
          </w:tcPr>
          <w:p w14:paraId="306519B8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198808F" w14:textId="77777777" w:rsidR="003F1C8F" w:rsidRPr="00664EDD" w:rsidRDefault="003F1C8F" w:rsidP="008A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EDD">
              <w:rPr>
                <w:rFonts w:ascii="Arial" w:hAnsi="Arial" w:cs="Arial"/>
              </w:rPr>
              <w:t>ANO</w:t>
            </w:r>
          </w:p>
        </w:tc>
      </w:tr>
    </w:tbl>
    <w:p w14:paraId="6EF080D3" w14:textId="77777777" w:rsidR="00371974" w:rsidRPr="00664EDD" w:rsidRDefault="00371974" w:rsidP="00C9038E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1B8B0BC0" w14:textId="77777777" w:rsidR="00371974" w:rsidRPr="00664EDD" w:rsidRDefault="00371974" w:rsidP="00C9038E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14C15DEB" w14:textId="77777777" w:rsidR="00C9038E" w:rsidRPr="00664EDD" w:rsidRDefault="006908AA" w:rsidP="00C903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64EDD">
        <w:rPr>
          <w:rFonts w:ascii="Arial" w:hAnsi="Arial" w:cs="Arial"/>
          <w:i/>
          <w:iCs/>
          <w:sz w:val="22"/>
          <w:szCs w:val="22"/>
        </w:rPr>
        <w:t>Tabulka velikostí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864"/>
        <w:gridCol w:w="1864"/>
        <w:gridCol w:w="1864"/>
        <w:gridCol w:w="1864"/>
      </w:tblGrid>
      <w:tr w:rsidR="00C9038E" w:rsidRPr="00664EDD" w14:paraId="442F6186" w14:textId="77777777" w:rsidTr="009771D4">
        <w:trPr>
          <w:trHeight w:val="259"/>
          <w:jc w:val="center"/>
        </w:trPr>
        <w:tc>
          <w:tcPr>
            <w:tcW w:w="1864" w:type="dxa"/>
          </w:tcPr>
          <w:p w14:paraId="593CC8FA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Označení velikosti </w:t>
            </w:r>
          </w:p>
        </w:tc>
        <w:tc>
          <w:tcPr>
            <w:tcW w:w="1864" w:type="dxa"/>
          </w:tcPr>
          <w:p w14:paraId="0BF6F90A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Evropské značení </w:t>
            </w:r>
          </w:p>
        </w:tc>
        <w:tc>
          <w:tcPr>
            <w:tcW w:w="1864" w:type="dxa"/>
          </w:tcPr>
          <w:p w14:paraId="1CBC9C6C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Výška </w:t>
            </w:r>
          </w:p>
          <w:p w14:paraId="0AC9A006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postavy cm </w:t>
            </w:r>
          </w:p>
        </w:tc>
        <w:tc>
          <w:tcPr>
            <w:tcW w:w="1864" w:type="dxa"/>
          </w:tcPr>
          <w:p w14:paraId="740CAFE9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Obvod hrudníku cm </w:t>
            </w:r>
          </w:p>
        </w:tc>
        <w:tc>
          <w:tcPr>
            <w:tcW w:w="1864" w:type="dxa"/>
          </w:tcPr>
          <w:p w14:paraId="25C58484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Obvod </w:t>
            </w:r>
          </w:p>
          <w:p w14:paraId="257993FF" w14:textId="77777777" w:rsidR="00C9038E" w:rsidRPr="00664EDD" w:rsidRDefault="00C9038E" w:rsidP="004057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pasu cm </w:t>
            </w:r>
          </w:p>
        </w:tc>
      </w:tr>
      <w:tr w:rsidR="00C06E86" w:rsidRPr="00664EDD" w14:paraId="512AE5E7" w14:textId="77777777" w:rsidTr="009771D4">
        <w:trPr>
          <w:trHeight w:val="259"/>
          <w:jc w:val="center"/>
        </w:trPr>
        <w:tc>
          <w:tcPr>
            <w:tcW w:w="1864" w:type="dxa"/>
            <w:vMerge w:val="restart"/>
          </w:tcPr>
          <w:p w14:paraId="68BD1AE2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S</w:t>
            </w:r>
          </w:p>
        </w:tc>
        <w:tc>
          <w:tcPr>
            <w:tcW w:w="1864" w:type="dxa"/>
          </w:tcPr>
          <w:p w14:paraId="39BD3BB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1864" w:type="dxa"/>
          </w:tcPr>
          <w:p w14:paraId="2BA8159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166 – 170</w:t>
            </w:r>
          </w:p>
        </w:tc>
        <w:tc>
          <w:tcPr>
            <w:tcW w:w="1864" w:type="dxa"/>
          </w:tcPr>
          <w:p w14:paraId="6A50702E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86 – 90</w:t>
            </w:r>
          </w:p>
        </w:tc>
        <w:tc>
          <w:tcPr>
            <w:tcW w:w="1864" w:type="dxa"/>
          </w:tcPr>
          <w:p w14:paraId="2AEC955D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74 – 78</w:t>
            </w:r>
          </w:p>
        </w:tc>
      </w:tr>
      <w:tr w:rsidR="00C06E86" w:rsidRPr="00664EDD" w14:paraId="1943488C" w14:textId="77777777" w:rsidTr="009771D4">
        <w:trPr>
          <w:trHeight w:val="259"/>
          <w:jc w:val="center"/>
        </w:trPr>
        <w:tc>
          <w:tcPr>
            <w:tcW w:w="1864" w:type="dxa"/>
            <w:vMerge/>
          </w:tcPr>
          <w:p w14:paraId="75C2B5F1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49CAD56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1864" w:type="dxa"/>
          </w:tcPr>
          <w:p w14:paraId="0569141B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168 – 173</w:t>
            </w:r>
          </w:p>
        </w:tc>
        <w:tc>
          <w:tcPr>
            <w:tcW w:w="1864" w:type="dxa"/>
          </w:tcPr>
          <w:p w14:paraId="2B34FAD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90 – 94</w:t>
            </w:r>
          </w:p>
        </w:tc>
        <w:tc>
          <w:tcPr>
            <w:tcW w:w="1864" w:type="dxa"/>
          </w:tcPr>
          <w:p w14:paraId="2A8707CF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78 – 82</w:t>
            </w:r>
          </w:p>
        </w:tc>
      </w:tr>
      <w:tr w:rsidR="00C06E86" w:rsidRPr="00664EDD" w14:paraId="0F86FE2F" w14:textId="77777777" w:rsidTr="009771D4">
        <w:trPr>
          <w:trHeight w:val="259"/>
          <w:jc w:val="center"/>
        </w:trPr>
        <w:tc>
          <w:tcPr>
            <w:tcW w:w="1864" w:type="dxa"/>
            <w:vMerge w:val="restart"/>
          </w:tcPr>
          <w:p w14:paraId="4542ED1D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M</w:t>
            </w:r>
          </w:p>
        </w:tc>
        <w:tc>
          <w:tcPr>
            <w:tcW w:w="1864" w:type="dxa"/>
          </w:tcPr>
          <w:p w14:paraId="338F4B9A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1864" w:type="dxa"/>
          </w:tcPr>
          <w:p w14:paraId="1B541329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171 – 176</w:t>
            </w:r>
          </w:p>
        </w:tc>
        <w:tc>
          <w:tcPr>
            <w:tcW w:w="1864" w:type="dxa"/>
          </w:tcPr>
          <w:p w14:paraId="036FD8ED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94 – 98</w:t>
            </w:r>
          </w:p>
        </w:tc>
        <w:tc>
          <w:tcPr>
            <w:tcW w:w="1864" w:type="dxa"/>
          </w:tcPr>
          <w:p w14:paraId="74E1A515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82 – 86</w:t>
            </w:r>
          </w:p>
        </w:tc>
      </w:tr>
      <w:tr w:rsidR="00C06E86" w:rsidRPr="00664EDD" w14:paraId="6E5BE60A" w14:textId="77777777" w:rsidTr="009771D4">
        <w:trPr>
          <w:trHeight w:val="259"/>
          <w:jc w:val="center"/>
        </w:trPr>
        <w:tc>
          <w:tcPr>
            <w:tcW w:w="1864" w:type="dxa"/>
            <w:vMerge/>
          </w:tcPr>
          <w:p w14:paraId="48D205C0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3C3364D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864" w:type="dxa"/>
          </w:tcPr>
          <w:p w14:paraId="1AAFD6D6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174 – 179</w:t>
            </w:r>
          </w:p>
        </w:tc>
        <w:tc>
          <w:tcPr>
            <w:tcW w:w="1864" w:type="dxa"/>
          </w:tcPr>
          <w:p w14:paraId="66D17D99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98 – 102</w:t>
            </w:r>
          </w:p>
        </w:tc>
        <w:tc>
          <w:tcPr>
            <w:tcW w:w="1864" w:type="dxa"/>
          </w:tcPr>
          <w:p w14:paraId="0DCC36B8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86 – 90</w:t>
            </w:r>
          </w:p>
        </w:tc>
      </w:tr>
      <w:tr w:rsidR="00C06E86" w:rsidRPr="00664EDD" w14:paraId="28670F2D" w14:textId="77777777" w:rsidTr="009771D4">
        <w:trPr>
          <w:trHeight w:val="259"/>
          <w:jc w:val="center"/>
        </w:trPr>
        <w:tc>
          <w:tcPr>
            <w:tcW w:w="1864" w:type="dxa"/>
            <w:vMerge w:val="restart"/>
          </w:tcPr>
          <w:p w14:paraId="56950C7C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L</w:t>
            </w:r>
          </w:p>
        </w:tc>
        <w:tc>
          <w:tcPr>
            <w:tcW w:w="1864" w:type="dxa"/>
          </w:tcPr>
          <w:p w14:paraId="2F0CDED1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52</w:t>
            </w:r>
          </w:p>
        </w:tc>
        <w:tc>
          <w:tcPr>
            <w:tcW w:w="1864" w:type="dxa"/>
          </w:tcPr>
          <w:p w14:paraId="1BCCD5BD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177 – 182</w:t>
            </w:r>
          </w:p>
        </w:tc>
        <w:tc>
          <w:tcPr>
            <w:tcW w:w="1864" w:type="dxa"/>
          </w:tcPr>
          <w:p w14:paraId="1C307706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102 – 106</w:t>
            </w:r>
          </w:p>
        </w:tc>
        <w:tc>
          <w:tcPr>
            <w:tcW w:w="1864" w:type="dxa"/>
          </w:tcPr>
          <w:p w14:paraId="0A52DFF9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90 - 95</w:t>
            </w:r>
          </w:p>
        </w:tc>
      </w:tr>
      <w:tr w:rsidR="00C06E86" w:rsidRPr="00664EDD" w14:paraId="449D5672" w14:textId="77777777" w:rsidTr="009771D4">
        <w:trPr>
          <w:trHeight w:val="259"/>
          <w:jc w:val="center"/>
        </w:trPr>
        <w:tc>
          <w:tcPr>
            <w:tcW w:w="1864" w:type="dxa"/>
            <w:vMerge/>
          </w:tcPr>
          <w:p w14:paraId="14BE0246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69F17F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54</w:t>
            </w:r>
          </w:p>
        </w:tc>
        <w:tc>
          <w:tcPr>
            <w:tcW w:w="1864" w:type="dxa"/>
          </w:tcPr>
          <w:p w14:paraId="73628C9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180 – 186</w:t>
            </w:r>
          </w:p>
        </w:tc>
        <w:tc>
          <w:tcPr>
            <w:tcW w:w="1864" w:type="dxa"/>
          </w:tcPr>
          <w:p w14:paraId="26B7AB69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106 – 110</w:t>
            </w:r>
          </w:p>
        </w:tc>
        <w:tc>
          <w:tcPr>
            <w:tcW w:w="1864" w:type="dxa"/>
          </w:tcPr>
          <w:p w14:paraId="6F37A40C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95 - 100</w:t>
            </w:r>
          </w:p>
        </w:tc>
      </w:tr>
      <w:tr w:rsidR="00C06E86" w:rsidRPr="00664EDD" w14:paraId="40852175" w14:textId="77777777" w:rsidTr="009771D4">
        <w:trPr>
          <w:trHeight w:val="259"/>
          <w:jc w:val="center"/>
        </w:trPr>
        <w:tc>
          <w:tcPr>
            <w:tcW w:w="1864" w:type="dxa"/>
            <w:vMerge w:val="restart"/>
          </w:tcPr>
          <w:p w14:paraId="630A3771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XL</w:t>
            </w:r>
          </w:p>
        </w:tc>
        <w:tc>
          <w:tcPr>
            <w:tcW w:w="1864" w:type="dxa"/>
          </w:tcPr>
          <w:p w14:paraId="19FDD6B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1864" w:type="dxa"/>
          </w:tcPr>
          <w:p w14:paraId="3A22530A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182 – 186</w:t>
            </w:r>
          </w:p>
        </w:tc>
        <w:tc>
          <w:tcPr>
            <w:tcW w:w="1864" w:type="dxa"/>
          </w:tcPr>
          <w:p w14:paraId="51D8817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110 – 114</w:t>
            </w:r>
          </w:p>
        </w:tc>
        <w:tc>
          <w:tcPr>
            <w:tcW w:w="1864" w:type="dxa"/>
          </w:tcPr>
          <w:p w14:paraId="79EAD1F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100 – 105</w:t>
            </w:r>
          </w:p>
        </w:tc>
      </w:tr>
      <w:tr w:rsidR="00C06E86" w:rsidRPr="00664EDD" w14:paraId="322ED9B5" w14:textId="77777777" w:rsidTr="009771D4">
        <w:trPr>
          <w:trHeight w:val="259"/>
          <w:jc w:val="center"/>
        </w:trPr>
        <w:tc>
          <w:tcPr>
            <w:tcW w:w="1864" w:type="dxa"/>
            <w:vMerge/>
          </w:tcPr>
          <w:p w14:paraId="4E6158C0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07969006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1864" w:type="dxa"/>
          </w:tcPr>
          <w:p w14:paraId="361FFA97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184 – 188</w:t>
            </w:r>
          </w:p>
        </w:tc>
        <w:tc>
          <w:tcPr>
            <w:tcW w:w="1864" w:type="dxa"/>
          </w:tcPr>
          <w:p w14:paraId="03DD467B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114 – 118</w:t>
            </w:r>
          </w:p>
        </w:tc>
        <w:tc>
          <w:tcPr>
            <w:tcW w:w="1864" w:type="dxa"/>
          </w:tcPr>
          <w:p w14:paraId="5AE5851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105 – 110</w:t>
            </w:r>
          </w:p>
        </w:tc>
      </w:tr>
      <w:tr w:rsidR="00C06E86" w:rsidRPr="00664EDD" w14:paraId="66B1AF26" w14:textId="77777777" w:rsidTr="009771D4">
        <w:trPr>
          <w:trHeight w:val="259"/>
          <w:jc w:val="center"/>
        </w:trPr>
        <w:tc>
          <w:tcPr>
            <w:tcW w:w="1864" w:type="dxa"/>
            <w:vMerge w:val="restart"/>
          </w:tcPr>
          <w:p w14:paraId="4A62CA3F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XXL</w:t>
            </w:r>
          </w:p>
        </w:tc>
        <w:tc>
          <w:tcPr>
            <w:tcW w:w="1864" w:type="dxa"/>
          </w:tcPr>
          <w:p w14:paraId="4AF5B664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864" w:type="dxa"/>
          </w:tcPr>
          <w:p w14:paraId="4F62FC8F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185 – 189</w:t>
            </w:r>
          </w:p>
        </w:tc>
        <w:tc>
          <w:tcPr>
            <w:tcW w:w="1864" w:type="dxa"/>
          </w:tcPr>
          <w:p w14:paraId="237FD8CF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118 – 122</w:t>
            </w:r>
          </w:p>
        </w:tc>
        <w:tc>
          <w:tcPr>
            <w:tcW w:w="1864" w:type="dxa"/>
          </w:tcPr>
          <w:p w14:paraId="7AAD5563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110 – 115</w:t>
            </w:r>
          </w:p>
        </w:tc>
      </w:tr>
      <w:tr w:rsidR="00C06E86" w:rsidRPr="00664EDD" w14:paraId="13AB8AEC" w14:textId="77777777" w:rsidTr="009771D4">
        <w:trPr>
          <w:trHeight w:val="259"/>
          <w:jc w:val="center"/>
        </w:trPr>
        <w:tc>
          <w:tcPr>
            <w:tcW w:w="1864" w:type="dxa"/>
            <w:vMerge/>
          </w:tcPr>
          <w:p w14:paraId="49992C21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143EDA56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1864" w:type="dxa"/>
          </w:tcPr>
          <w:p w14:paraId="4A4AE1BE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187 – 191</w:t>
            </w:r>
          </w:p>
        </w:tc>
        <w:tc>
          <w:tcPr>
            <w:tcW w:w="1864" w:type="dxa"/>
          </w:tcPr>
          <w:p w14:paraId="35C32152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122 – 129</w:t>
            </w:r>
          </w:p>
        </w:tc>
        <w:tc>
          <w:tcPr>
            <w:tcW w:w="1864" w:type="dxa"/>
          </w:tcPr>
          <w:p w14:paraId="19E224D4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115 – 120</w:t>
            </w:r>
          </w:p>
        </w:tc>
      </w:tr>
      <w:tr w:rsidR="00C06E86" w:rsidRPr="00664EDD" w14:paraId="467C5D4E" w14:textId="77777777" w:rsidTr="009771D4">
        <w:trPr>
          <w:trHeight w:val="259"/>
          <w:jc w:val="center"/>
        </w:trPr>
        <w:tc>
          <w:tcPr>
            <w:tcW w:w="1864" w:type="dxa"/>
          </w:tcPr>
          <w:p w14:paraId="36FD3229" w14:textId="77777777" w:rsidR="00C06E86" w:rsidRPr="00664EDD" w:rsidRDefault="00C06E86" w:rsidP="004057A1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64EDD">
              <w:rPr>
                <w:rFonts w:ascii="Arial" w:hAnsi="Arial" w:cs="Arial"/>
                <w:iCs/>
                <w:sz w:val="22"/>
                <w:szCs w:val="22"/>
              </w:rPr>
              <w:t>Dámská</w:t>
            </w:r>
          </w:p>
        </w:tc>
        <w:tc>
          <w:tcPr>
            <w:tcW w:w="1864" w:type="dxa"/>
          </w:tcPr>
          <w:p w14:paraId="2A7A321A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EDD">
              <w:rPr>
                <w:rFonts w:ascii="Arial" w:hAnsi="Arial" w:cs="Arial"/>
                <w:bCs/>
                <w:sz w:val="22"/>
                <w:szCs w:val="22"/>
              </w:rPr>
              <w:t>40 - 42</w:t>
            </w:r>
          </w:p>
        </w:tc>
        <w:tc>
          <w:tcPr>
            <w:tcW w:w="1864" w:type="dxa"/>
          </w:tcPr>
          <w:p w14:paraId="2CE0D5CE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do 166</w:t>
            </w:r>
          </w:p>
        </w:tc>
        <w:tc>
          <w:tcPr>
            <w:tcW w:w="1864" w:type="dxa"/>
          </w:tcPr>
          <w:p w14:paraId="487708D1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78 – 86</w:t>
            </w:r>
          </w:p>
        </w:tc>
        <w:tc>
          <w:tcPr>
            <w:tcW w:w="1864" w:type="dxa"/>
          </w:tcPr>
          <w:p w14:paraId="199A109F" w14:textId="77777777" w:rsidR="00C06E86" w:rsidRPr="00664EDD" w:rsidRDefault="00C06E86" w:rsidP="00C06E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EDD">
              <w:rPr>
                <w:rFonts w:ascii="Arial" w:hAnsi="Arial" w:cs="Arial"/>
                <w:sz w:val="22"/>
                <w:szCs w:val="22"/>
              </w:rPr>
              <w:t>do 74</w:t>
            </w:r>
          </w:p>
        </w:tc>
      </w:tr>
    </w:tbl>
    <w:p w14:paraId="18DD12CC" w14:textId="77777777" w:rsidR="00371974" w:rsidRPr="00664EDD" w:rsidRDefault="00371974" w:rsidP="00371974">
      <w:pPr>
        <w:ind w:left="-5"/>
        <w:rPr>
          <w:rFonts w:ascii="Arial" w:hAnsi="Arial" w:cs="Arial"/>
        </w:rPr>
      </w:pPr>
    </w:p>
    <w:p w14:paraId="102E5086" w14:textId="77777777" w:rsidR="009771D4" w:rsidRPr="00664EDD" w:rsidRDefault="009771D4" w:rsidP="009771D4">
      <w:pPr>
        <w:pStyle w:val="Zkladntextodsazen2"/>
        <w:ind w:left="0"/>
        <w:rPr>
          <w:rFonts w:ascii="Arial" w:hAnsi="Arial" w:cs="Arial"/>
          <w:szCs w:val="22"/>
        </w:rPr>
      </w:pPr>
      <w:r w:rsidRPr="00664EDD">
        <w:rPr>
          <w:rFonts w:ascii="Arial" w:hAnsi="Arial" w:cs="Arial"/>
          <w:color w:val="000000"/>
          <w:szCs w:val="22"/>
        </w:rPr>
        <w:t>Poznámka zadavatele: Pokud jsou v tomto dokumentu uvedeny konkrétní materiály nebo materiálové poměry složení, připouští zadavatel použití i jiných obdobných materiálů a jejich poměrů, které budou garantovat přinejmenším stejné technické parametry a užitné vlastnosti poptávaného plnění.</w:t>
      </w:r>
    </w:p>
    <w:p w14:paraId="54C0D561" w14:textId="77777777" w:rsidR="00371974" w:rsidRPr="00CF6FE5" w:rsidRDefault="00371974" w:rsidP="00BA3B2A">
      <w:pPr>
        <w:pStyle w:val="Default"/>
        <w:jc w:val="both"/>
        <w:rPr>
          <w:rFonts w:ascii="Arial" w:hAnsi="Arial" w:cs="Arial"/>
          <w:sz w:val="23"/>
          <w:szCs w:val="23"/>
        </w:rPr>
      </w:pPr>
    </w:p>
    <w:sectPr w:rsidR="00371974" w:rsidRPr="00CF6F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2FD2C" w14:textId="77777777" w:rsidR="00CD5331" w:rsidRDefault="00CD5331" w:rsidP="00443217">
      <w:r>
        <w:separator/>
      </w:r>
    </w:p>
  </w:endnote>
  <w:endnote w:type="continuationSeparator" w:id="0">
    <w:p w14:paraId="5CDC64D7" w14:textId="77777777" w:rsidR="00CD5331" w:rsidRDefault="00CD5331" w:rsidP="0044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695012"/>
      <w:docPartObj>
        <w:docPartGallery w:val="Page Numbers (Bottom of Page)"/>
        <w:docPartUnique/>
      </w:docPartObj>
    </w:sdtPr>
    <w:sdtEndPr/>
    <w:sdtContent>
      <w:p w14:paraId="77769E12" w14:textId="0295BF6E" w:rsidR="007C06CF" w:rsidRDefault="007C06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EDD">
          <w:rPr>
            <w:noProof/>
          </w:rPr>
          <w:t>5</w:t>
        </w:r>
        <w:r>
          <w:fldChar w:fldCharType="end"/>
        </w:r>
      </w:p>
    </w:sdtContent>
  </w:sdt>
  <w:p w14:paraId="1744BFD8" w14:textId="77777777" w:rsidR="007C06CF" w:rsidRDefault="007C06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CF4D2" w14:textId="77777777" w:rsidR="00CD5331" w:rsidRDefault="00CD5331" w:rsidP="00443217">
      <w:r>
        <w:separator/>
      </w:r>
    </w:p>
  </w:footnote>
  <w:footnote w:type="continuationSeparator" w:id="0">
    <w:p w14:paraId="6B8F44E4" w14:textId="77777777" w:rsidR="00CD5331" w:rsidRDefault="00CD5331" w:rsidP="0044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0489C" w14:textId="25891E8B" w:rsidR="00443217" w:rsidRPr="00443217" w:rsidRDefault="00443217" w:rsidP="00443217">
    <w:pPr>
      <w:pStyle w:val="Zhlav"/>
      <w:jc w:val="right"/>
      <w:rPr>
        <w:rFonts w:ascii="Arial" w:hAnsi="Arial" w:cs="Arial"/>
      </w:rPr>
    </w:pPr>
    <w:r w:rsidRPr="00443217">
      <w:rPr>
        <w:rFonts w:ascii="Arial" w:hAnsi="Arial" w:cs="Arial"/>
      </w:rPr>
      <w:t>Přílo</w:t>
    </w:r>
    <w:r w:rsidR="00A0264E">
      <w:rPr>
        <w:rFonts w:ascii="Arial" w:hAnsi="Arial" w:cs="Arial"/>
      </w:rPr>
      <w:t>ha č. 2</w:t>
    </w:r>
    <w:r>
      <w:rPr>
        <w:rFonts w:ascii="Arial" w:hAnsi="Arial" w:cs="Arial"/>
      </w:rPr>
      <w:t xml:space="preserve"> - Specifikace balistick</w:t>
    </w:r>
    <w:r w:rsidRPr="00443217">
      <w:rPr>
        <w:rFonts w:ascii="Arial" w:hAnsi="Arial" w:cs="Arial"/>
      </w:rPr>
      <w:t>ý</w:t>
    </w:r>
    <w:r>
      <w:rPr>
        <w:rFonts w:ascii="Arial" w:hAnsi="Arial" w:cs="Arial"/>
      </w:rPr>
      <w:t>c</w:t>
    </w:r>
    <w:r w:rsidRPr="00443217">
      <w:rPr>
        <w:rFonts w:ascii="Arial" w:hAnsi="Arial" w:cs="Arial"/>
      </w:rPr>
      <w:t>h vest</w:t>
    </w:r>
    <w:r w:rsidR="001D41A6">
      <w:rPr>
        <w:rFonts w:ascii="Arial" w:hAnsi="Arial" w:cs="Arial"/>
      </w:rPr>
      <w:t xml:space="preserve"> pro útvary dohledu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BE2"/>
    <w:multiLevelType w:val="hybridMultilevel"/>
    <w:tmpl w:val="5866D67E"/>
    <w:lvl w:ilvl="0" w:tplc="04050001">
      <w:start w:val="1"/>
      <w:numFmt w:val="bullet"/>
      <w:lvlText w:val=""/>
      <w:lvlJc w:val="left"/>
      <w:pPr>
        <w:ind w:left="120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7562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22FF6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8971E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6B51A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6387E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AD376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E762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83146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E1FA8"/>
    <w:multiLevelType w:val="hybridMultilevel"/>
    <w:tmpl w:val="39700A12"/>
    <w:lvl w:ilvl="0" w:tplc="8EB438E2">
      <w:start w:val="1"/>
      <w:numFmt w:val="bullet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7562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22FF6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8971E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6B51A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6387E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AD376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E762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83146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1A"/>
    <w:rsid w:val="00042593"/>
    <w:rsid w:val="0004420B"/>
    <w:rsid w:val="0005400C"/>
    <w:rsid w:val="000720D3"/>
    <w:rsid w:val="000C42E3"/>
    <w:rsid w:val="000D132A"/>
    <w:rsid w:val="000E20C3"/>
    <w:rsid w:val="000F0796"/>
    <w:rsid w:val="0012239C"/>
    <w:rsid w:val="00162D2A"/>
    <w:rsid w:val="00167A34"/>
    <w:rsid w:val="001D41A6"/>
    <w:rsid w:val="001D4C6A"/>
    <w:rsid w:val="001F5AFE"/>
    <w:rsid w:val="0020216D"/>
    <w:rsid w:val="00213244"/>
    <w:rsid w:val="00242B84"/>
    <w:rsid w:val="00257D7A"/>
    <w:rsid w:val="00297F30"/>
    <w:rsid w:val="002B28DD"/>
    <w:rsid w:val="002B7DA1"/>
    <w:rsid w:val="002C302B"/>
    <w:rsid w:val="003261C5"/>
    <w:rsid w:val="00326484"/>
    <w:rsid w:val="00347D6A"/>
    <w:rsid w:val="00371974"/>
    <w:rsid w:val="0037754F"/>
    <w:rsid w:val="003B08CA"/>
    <w:rsid w:val="003C2728"/>
    <w:rsid w:val="003C3E2B"/>
    <w:rsid w:val="003E17B9"/>
    <w:rsid w:val="003F1C8F"/>
    <w:rsid w:val="00443217"/>
    <w:rsid w:val="00446F41"/>
    <w:rsid w:val="00451823"/>
    <w:rsid w:val="0049686D"/>
    <w:rsid w:val="004B3C30"/>
    <w:rsid w:val="004B6CE6"/>
    <w:rsid w:val="004F2FBE"/>
    <w:rsid w:val="00512D45"/>
    <w:rsid w:val="005533B3"/>
    <w:rsid w:val="00560619"/>
    <w:rsid w:val="00575031"/>
    <w:rsid w:val="005756A2"/>
    <w:rsid w:val="00581955"/>
    <w:rsid w:val="005B1619"/>
    <w:rsid w:val="006446CB"/>
    <w:rsid w:val="00664EDD"/>
    <w:rsid w:val="006908AA"/>
    <w:rsid w:val="006F7AE8"/>
    <w:rsid w:val="00722D34"/>
    <w:rsid w:val="007241E7"/>
    <w:rsid w:val="0077163A"/>
    <w:rsid w:val="00784D18"/>
    <w:rsid w:val="00786711"/>
    <w:rsid w:val="007C06CF"/>
    <w:rsid w:val="007C0B1C"/>
    <w:rsid w:val="007E075E"/>
    <w:rsid w:val="00830464"/>
    <w:rsid w:val="00837E33"/>
    <w:rsid w:val="0085060F"/>
    <w:rsid w:val="008572F8"/>
    <w:rsid w:val="008A1996"/>
    <w:rsid w:val="008A501A"/>
    <w:rsid w:val="008B0299"/>
    <w:rsid w:val="00923D1F"/>
    <w:rsid w:val="00930190"/>
    <w:rsid w:val="00951DBF"/>
    <w:rsid w:val="009771D4"/>
    <w:rsid w:val="009B42D9"/>
    <w:rsid w:val="009D59FD"/>
    <w:rsid w:val="009E1A79"/>
    <w:rsid w:val="009F2165"/>
    <w:rsid w:val="00A0264E"/>
    <w:rsid w:val="00A20EDA"/>
    <w:rsid w:val="00A55134"/>
    <w:rsid w:val="00A8500D"/>
    <w:rsid w:val="00A976C9"/>
    <w:rsid w:val="00B003FC"/>
    <w:rsid w:val="00B2795F"/>
    <w:rsid w:val="00B31F7E"/>
    <w:rsid w:val="00B47E7E"/>
    <w:rsid w:val="00B55184"/>
    <w:rsid w:val="00BA340B"/>
    <w:rsid w:val="00BA3B2A"/>
    <w:rsid w:val="00C05212"/>
    <w:rsid w:val="00C06E86"/>
    <w:rsid w:val="00C1287C"/>
    <w:rsid w:val="00C1658A"/>
    <w:rsid w:val="00C229DE"/>
    <w:rsid w:val="00C561CD"/>
    <w:rsid w:val="00C9038E"/>
    <w:rsid w:val="00CA2F69"/>
    <w:rsid w:val="00CC5795"/>
    <w:rsid w:val="00CD5331"/>
    <w:rsid w:val="00CE2ACD"/>
    <w:rsid w:val="00CF6FE5"/>
    <w:rsid w:val="00D040C6"/>
    <w:rsid w:val="00D05F14"/>
    <w:rsid w:val="00D24A52"/>
    <w:rsid w:val="00D366FA"/>
    <w:rsid w:val="00D367CA"/>
    <w:rsid w:val="00D4286A"/>
    <w:rsid w:val="00D5314C"/>
    <w:rsid w:val="00D93A55"/>
    <w:rsid w:val="00DB6577"/>
    <w:rsid w:val="00DB7A3A"/>
    <w:rsid w:val="00E00399"/>
    <w:rsid w:val="00E03ED8"/>
    <w:rsid w:val="00E1490C"/>
    <w:rsid w:val="00E42291"/>
    <w:rsid w:val="00E74275"/>
    <w:rsid w:val="00E76FD5"/>
    <w:rsid w:val="00EE5459"/>
    <w:rsid w:val="00EF1F57"/>
    <w:rsid w:val="00F228B9"/>
    <w:rsid w:val="00F5507B"/>
    <w:rsid w:val="00F84592"/>
    <w:rsid w:val="00F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A959"/>
  <w15:chartTrackingRefBased/>
  <w15:docId w15:val="{9A01C878-72CC-4C5F-A7EA-9185000C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FD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0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07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2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2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2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2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2D2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3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217"/>
  </w:style>
  <w:style w:type="paragraph" w:styleId="Zpat">
    <w:name w:val="footer"/>
    <w:basedOn w:val="Normln"/>
    <w:link w:val="ZpatChar"/>
    <w:uiPriority w:val="99"/>
    <w:unhideWhenUsed/>
    <w:rsid w:val="00443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217"/>
  </w:style>
  <w:style w:type="table" w:customStyle="1" w:styleId="TableGrid">
    <w:name w:val="TableGrid"/>
    <w:rsid w:val="00371974"/>
    <w:pPr>
      <w:jc w:val="left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odsazen2">
    <w:name w:val="Body Text Indent 2"/>
    <w:basedOn w:val="Normln"/>
    <w:link w:val="Zkladntextodsazen2Char"/>
    <w:rsid w:val="009771D4"/>
    <w:pPr>
      <w:ind w:left="360"/>
    </w:pPr>
    <w:rPr>
      <w:rFonts w:ascii="Times New Roman" w:eastAsia="Times New Roman" w:hAnsi="Times New Roman" w:cs="Times New Roman"/>
      <w:bCs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771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7A3A"/>
    <w:pPr>
      <w:ind w:left="720"/>
      <w:jc w:val="left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0653-D9F4-4D04-AFC9-2146710F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1330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Žižka Petr Ing.</dc:creator>
  <cp:keywords/>
  <dc:description/>
  <cp:lastModifiedBy>Polák Petr Mgr.</cp:lastModifiedBy>
  <cp:revision>29</cp:revision>
  <cp:lastPrinted>2017-07-04T06:13:00Z</cp:lastPrinted>
  <dcterms:created xsi:type="dcterms:W3CDTF">2017-10-11T12:45:00Z</dcterms:created>
  <dcterms:modified xsi:type="dcterms:W3CDTF">2017-12-20T14:13:00Z</dcterms:modified>
</cp:coreProperties>
</file>