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:rsidTr="004839BF">
        <w:tc>
          <w:tcPr>
            <w:tcW w:w="3581" w:type="dxa"/>
            <w:vAlign w:val="center"/>
            <w:hideMark/>
          </w:tcPr>
          <w:p w:rsidR="006C20AF" w:rsidRPr="00467913" w:rsidRDefault="006C20AF" w:rsidP="004839B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C20AF" w:rsidRPr="00467913" w:rsidRDefault="00EC43D7" w:rsidP="004839BF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:rsidR="006C20AF" w:rsidRPr="00467913" w:rsidRDefault="006C20AF" w:rsidP="006C20AF">
      <w:pPr>
        <w:rPr>
          <w:szCs w:val="18"/>
        </w:rPr>
      </w:pPr>
      <w:bookmarkStart w:id="0" w:name="_Toc325009595"/>
    </w:p>
    <w:bookmarkEnd w:id="0"/>
    <w:p w:rsidR="00C1199D" w:rsidRPr="006C20AF" w:rsidRDefault="00C1199D" w:rsidP="00C1199D">
      <w:pPr>
        <w:spacing w:before="60" w:after="60" w:line="240" w:lineRule="auto"/>
        <w:contextualSpacing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tímto za účelem prokázání splnění technického kvalifikačního předpokladu dle zadávací dokumentace k veřejné zakázce s</w:t>
      </w:r>
      <w:r>
        <w:rPr>
          <w:rFonts w:eastAsia="Times New Roman" w:cs="Segoe UI"/>
          <w:bCs/>
          <w:szCs w:val="18"/>
          <w:lang w:eastAsia="cs-CZ"/>
        </w:rPr>
        <w:t> </w:t>
      </w:r>
      <w:r w:rsidRPr="006C20AF">
        <w:rPr>
          <w:rFonts w:eastAsia="Times New Roman" w:cs="Segoe UI"/>
          <w:bCs/>
          <w:szCs w:val="18"/>
          <w:lang w:eastAsia="cs-CZ"/>
        </w:rPr>
        <w:t>názvem</w:t>
      </w:r>
      <w:r>
        <w:rPr>
          <w:rFonts w:eastAsia="Times New Roman" w:cs="Segoe UI"/>
          <w:bCs/>
          <w:szCs w:val="18"/>
          <w:lang w:eastAsia="cs-CZ"/>
        </w:rPr>
        <w:t xml:space="preserve"> </w:t>
      </w:r>
      <w:r w:rsidRPr="006C20AF">
        <w:rPr>
          <w:rFonts w:eastAsia="Times New Roman" w:cs="Segoe UI"/>
          <w:b/>
          <w:bCs/>
          <w:i/>
          <w:szCs w:val="18"/>
          <w:lang w:eastAsia="cs-CZ"/>
        </w:rPr>
        <w:t>„</w:t>
      </w:r>
      <w:r w:rsidRPr="00BD567E">
        <w:rPr>
          <w:rFonts w:eastAsia="Times New Roman" w:cs="Segoe UI"/>
          <w:b/>
          <w:i/>
          <w:szCs w:val="18"/>
          <w:lang w:eastAsia="cs-CZ"/>
        </w:rPr>
        <w:t>Zajištění podpory provozu Integrovaného informačního systému státní pokladny</w:t>
      </w:r>
      <w:r w:rsidRPr="006C20AF">
        <w:rPr>
          <w:rFonts w:eastAsia="Times New Roman" w:cs="Segoe UI"/>
          <w:b/>
          <w:i/>
          <w:szCs w:val="18"/>
          <w:lang w:eastAsia="cs-CZ"/>
        </w:rPr>
        <w:t>“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/>
          <w:bCs/>
          <w:i/>
          <w:szCs w:val="18"/>
          <w:lang w:eastAsia="cs-CZ"/>
        </w:rPr>
      </w:pP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 a současně čestně prohlašuje, že veškeré údaje uvedené v tomto jmenném seznamu realizačního týmu jsou pravdivé.</w:t>
      </w:r>
    </w:p>
    <w:p w:rsidR="006C20AF" w:rsidRPr="006C20AF" w:rsidRDefault="006C20AF" w:rsidP="006C20AF">
      <w:pPr>
        <w:widowControl w:val="0"/>
        <w:spacing w:before="60" w:after="60" w:line="240" w:lineRule="auto"/>
        <w:contextualSpacing/>
        <w:rPr>
          <w:rFonts w:eastAsia="Times New Roman" w:cs="Segoe UI"/>
          <w:bCs/>
          <w:szCs w:val="18"/>
          <w:lang w:eastAsia="cs-CZ"/>
        </w:rPr>
      </w:pPr>
    </w:p>
    <w:p w:rsidR="006C20AF" w:rsidRPr="006C20AF" w:rsidRDefault="006C20AF" w:rsidP="006C20AF">
      <w:pPr>
        <w:spacing w:before="60" w:after="60" w:line="240" w:lineRule="auto"/>
        <w:contextualSpacing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seznam členů realizačního týmu </w:t>
      </w: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214"/>
        <w:gridCol w:w="3556"/>
      </w:tblGrid>
      <w:tr w:rsidR="006C20AF" w:rsidRPr="006C20AF" w:rsidTr="00926DEC">
        <w:trPr>
          <w:cantSplit/>
          <w:tblHeader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AF" w:rsidRPr="006C20AF" w:rsidRDefault="006C20AF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EC43D7" w:rsidRPr="006C20AF" w:rsidTr="00926DEC">
        <w:trPr>
          <w:cantSplit/>
        </w:trPr>
        <w:tc>
          <w:tcPr>
            <w:tcW w:w="2960" w:type="dxa"/>
            <w:vMerge w:val="restart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1B3856">
              <w:rPr>
                <w:b/>
              </w:rPr>
              <w:t xml:space="preserve">Vedoucí projektu </w:t>
            </w:r>
            <w:r w:rsidR="00E06F93">
              <w:rPr>
                <w:b/>
              </w:rPr>
              <w:t>RISRE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Jméno a příjmení: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EC43D7" w:rsidRPr="006C20AF" w:rsidRDefault="00EC43D7" w:rsidP="00926DEC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  <w:vAlign w:val="center"/>
          </w:tcPr>
          <w:p w:rsidR="00EC43D7" w:rsidRPr="00926DEC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 w:rsid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EC43D7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53D7C">
              <w:rPr>
                <w:bCs/>
                <w:szCs w:val="18"/>
              </w:rPr>
              <w:t xml:space="preserve">Má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praxi</w:t>
            </w:r>
            <w:r w:rsidRPr="00053D7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minimálně 5 let v oblasti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ICT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EC43D7" w:rsidRPr="00926DEC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doplní délku praxe: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>v oblasti ICT</w:t>
            </w:r>
          </w:p>
        </w:tc>
      </w:tr>
      <w:tr w:rsidR="00EC43D7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1E3804" w:rsidRDefault="00E06F93" w:rsidP="00E06F93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BB04B3">
              <w:rPr>
                <w:rFonts w:eastAsia="Calibri"/>
                <w:bCs/>
                <w:szCs w:val="18"/>
              </w:rPr>
              <w:t xml:space="preserve">Podílel se v roli vedoucího projektu na minimálně 3 </w:t>
            </w:r>
            <w:r w:rsidRPr="00E06F93">
              <w:rPr>
                <w:bCs/>
                <w:szCs w:val="18"/>
              </w:rPr>
              <w:t>projektech</w:t>
            </w:r>
            <w:r w:rsidRPr="00BB04B3">
              <w:rPr>
                <w:rFonts w:eastAsia="Calibri"/>
                <w:bCs/>
                <w:szCs w:val="18"/>
              </w:rPr>
              <w:t>, jejichž předmětem byla implementace a/nebo podpora a údržba informačního systému na platformě SAP, přičemž finanční hodnota alespoň jednoho projektu činila nejméně 40 mil. Kč bez DPH a finanční hodnota každého z alespoň 2 dalších projektů činila nejméně 20 mil. Kč bez DPH.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3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EC43D7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06F93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E06F93">
              <w:rPr>
                <w:bCs/>
                <w:szCs w:val="18"/>
              </w:rPr>
              <w:t>Podílel se v roli vedoucí projektu na minimálně 1 projektu, jehož předmětem byla implementace a/nebo podpora systému na platformě SAP pro více jak 1500 uživatelů s finančním objemem alespoň 80 mil. Kč bez DPH pro zadavatele, který je v rámci své činnosti vázán zákonem č. 218/2000 Sb., o rozpočtových pravidlech a o změně některých souvisejících zákonů, ve znění pozdějších předpisů.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  <w:tr w:rsidR="00EC43D7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EC43D7">
              <w:rPr>
                <w:bCs/>
                <w:szCs w:val="18"/>
              </w:rPr>
              <w:t>Má znalost principu vývoje SW a projektového řízení v IT.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EC43D7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EC43D7" w:rsidRPr="00EC43D7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Je držitelem mezinárodně uznávaného certifikátu v oblasti projektového řízení – PMP</w:t>
            </w:r>
            <w:r>
              <w:t xml:space="preserve"> (Project Management Professional), PRINCE2 nebo ekvivalentu uvedených certifikátů od jiné akreditované osoby</w:t>
            </w:r>
            <w:r w:rsidR="00926DEC">
              <w:t>.</w:t>
            </w:r>
          </w:p>
        </w:tc>
        <w:tc>
          <w:tcPr>
            <w:tcW w:w="3556" w:type="dxa"/>
            <w:vAlign w:val="center"/>
          </w:tcPr>
          <w:p w:rsidR="00EC43D7" w:rsidRPr="006C20AF" w:rsidRDefault="00EC43D7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EC43D7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předložením kopie požadovaného certifikátu.</w:t>
            </w:r>
          </w:p>
        </w:tc>
      </w:tr>
      <w:tr w:rsidR="00926DEC" w:rsidRPr="006C20AF" w:rsidTr="00926DEC">
        <w:trPr>
          <w:cantSplit/>
        </w:trPr>
        <w:tc>
          <w:tcPr>
            <w:tcW w:w="2960" w:type="dxa"/>
            <w:vMerge w:val="restart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bookmarkStart w:id="1" w:name="_Hlk509392295"/>
            <w:r>
              <w:rPr>
                <w:b/>
                <w:szCs w:val="18"/>
              </w:rPr>
              <w:t xml:space="preserve">Procesní architekt </w:t>
            </w:r>
            <w:r w:rsidR="00E06F93">
              <w:rPr>
                <w:b/>
                <w:szCs w:val="18"/>
              </w:rPr>
              <w:t>RISRE</w:t>
            </w:r>
            <w:r>
              <w:rPr>
                <w:b/>
                <w:szCs w:val="18"/>
              </w:rPr>
              <w:t xml:space="preserve"> 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1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1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1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t xml:space="preserve">Má vysokoškolské vzdělání. 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926DEC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53D7C">
              <w:rPr>
                <w:bCs/>
                <w:szCs w:val="18"/>
              </w:rPr>
              <w:t xml:space="preserve">Má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praxi</w:t>
            </w:r>
            <w:r w:rsidRPr="00053D7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minimálně 5 let v oblasti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ICT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Dodavatel 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doplní</w:t>
            </w: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 délku praxe: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>v oblasti ICT</w:t>
            </w:r>
          </w:p>
        </w:tc>
      </w:tr>
      <w:tr w:rsidR="00926DEC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E06F93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E06F93">
              <w:rPr>
                <w:bCs/>
                <w:szCs w:val="18"/>
              </w:rPr>
              <w:t>Podílel se v roli procesního architekta (metodika, procesního specialisty, konzultanta) na minimálně 3 projektech, jejichž předmětem byla implementace a/nebo podpora a údržba informačního systému na platformě SAP, přičemž finanční hodnota alespoň 1 takového projektu činila nejméně 40 mil. Kč bez DPH a finanční hodnota každého z alespoň 2 dalších projektů činila nejméně 20 mil. Kč bez DPH.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3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926DEC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3B634B" w:rsidRDefault="00E06F93" w:rsidP="00E06F93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t>Podílel se v roli procesního architekta (metodika, procesního specialisty, konzultanta) na minimálně 1 projektu, který byl realizován na platformě SAP a jehož součástí bylo řešení procesů rozpočetnictví pro zadavatele, který je v rámci své činnosti vázán zákonem č. 218/2000 Sb., o rozpočtových pravidlech a o změně některých souvisejících zákonů, ve znění pozdějších předpisů.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EC43D7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  <w:tr w:rsidR="001E3804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1E3804" w:rsidRPr="006C20AF" w:rsidRDefault="001E3804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1E3804" w:rsidRPr="003B634B" w:rsidRDefault="00E06F93" w:rsidP="003B634B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 xml:space="preserve">Podílel se v roli procesního architekta </w:t>
            </w:r>
            <w:r w:rsidRPr="00BB04B3">
              <w:t>(metodika, procesního specialisty, konzultanta)</w:t>
            </w:r>
            <w:r w:rsidRPr="00BB04B3">
              <w:rPr>
                <w:bCs/>
                <w:szCs w:val="18"/>
              </w:rPr>
              <w:t xml:space="preserve"> na minimálně 1 projektu, jehož předmětem byla implementace a/nebo podpora systému na platformě SAP pro více jak 1500 uživatelů s finančním objemem alespoň 80 mil. Kč bez DPH pro zadavatele, který je v rámci své činnosti vázán zákonem č. 218/2000 Sb., o rozpočtových pravidlech a o změně některých souvisejících zákonů, ve znění pozdějších předpisů.</w:t>
            </w:r>
          </w:p>
        </w:tc>
        <w:tc>
          <w:tcPr>
            <w:tcW w:w="3556" w:type="dxa"/>
            <w:vAlign w:val="center"/>
          </w:tcPr>
          <w:p w:rsidR="001E3804" w:rsidRPr="006C20AF" w:rsidRDefault="001E3804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1E3804" w:rsidRPr="006C20AF" w:rsidRDefault="001E3804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1E3804" w:rsidRPr="006C20AF" w:rsidRDefault="001E3804" w:rsidP="001E380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926DEC" w:rsidRPr="006C20AF" w:rsidTr="00926DEC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D</w:t>
            </w:r>
            <w:r w:rsidRPr="00926DEC">
              <w:rPr>
                <w:bCs/>
                <w:szCs w:val="18"/>
              </w:rPr>
              <w:t>isponuje znalostí procesů účetnictví a rozpočetnictví organizací, které jsou v rámci své činnosti vázány zákonem č. 218/2000 Sb., o rozpočtových pravidlech a o změně některých souvisejících zákonů, ve znění pozdějších předpisů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26DEC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bookmarkEnd w:id="1"/>
      <w:tr w:rsidR="00926DEC" w:rsidRPr="00926DEC" w:rsidTr="009F385B">
        <w:trPr>
          <w:cantSplit/>
        </w:trPr>
        <w:tc>
          <w:tcPr>
            <w:tcW w:w="2960" w:type="dxa"/>
            <w:vMerge w:val="restart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>
              <w:rPr>
                <w:b/>
                <w:szCs w:val="18"/>
              </w:rPr>
              <w:t xml:space="preserve">Metodik rozpočtu </w:t>
            </w:r>
            <w:r w:rsidR="00E06F93">
              <w:rPr>
                <w:b/>
                <w:szCs w:val="18"/>
              </w:rPr>
              <w:t>RISRE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Jméno a příjmení: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Datum narození: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Státní občanství: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lastRenderedPageBreak/>
              <w:t>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:rsidR="00926DEC" w:rsidRPr="006C20AF" w:rsidRDefault="00926DEC" w:rsidP="00926DEC">
            <w:pPr>
              <w:widowControl w:val="0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highlight w:val="yellow"/>
                <w:lang w:eastAsia="cs-CZ"/>
              </w:rPr>
              <w:t>________________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lang w:eastAsia="cs-CZ"/>
              </w:rPr>
              <w:lastRenderedPageBreak/>
              <w:t xml:space="preserve">Má vysokoškolské vzdělání. 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Dodavatel prokazuje kopií dokladu o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nejvýše dosaženém vzdělání (např. maturitní vysvědčení; VŠ diplom).</w:t>
            </w:r>
          </w:p>
        </w:tc>
      </w:tr>
      <w:tr w:rsidR="00926DEC" w:rsidRPr="006C20AF" w:rsidTr="009F385B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053D7C">
              <w:rPr>
                <w:bCs/>
                <w:szCs w:val="18"/>
              </w:rPr>
              <w:t xml:space="preserve">Má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praxi</w:t>
            </w:r>
            <w:r w:rsidRPr="00053D7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minimálně 5 let v oblasti </w:t>
            </w:r>
            <w:r w:rsidRPr="00EC43D7">
              <w:rPr>
                <w:rFonts w:eastAsia="Times New Roman" w:cs="Segoe UI"/>
                <w:bCs/>
                <w:szCs w:val="18"/>
                <w:lang w:eastAsia="cs-CZ"/>
              </w:rPr>
              <w:t>ICT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926DEC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Dodavatel </w:t>
            </w:r>
            <w:r w:rsidRPr="00926DEC">
              <w:rPr>
                <w:rFonts w:eastAsia="Times New Roman" w:cs="Segoe UI"/>
                <w:bCs/>
                <w:i/>
                <w:szCs w:val="18"/>
                <w:lang w:eastAsia="cs-CZ"/>
              </w:rPr>
              <w:t>doplní</w:t>
            </w:r>
            <w:r w:rsidRPr="00926DEC">
              <w:rPr>
                <w:rFonts w:eastAsia="Times New Roman" w:cs="Segoe UI"/>
                <w:i/>
                <w:szCs w:val="18"/>
                <w:lang w:eastAsia="cs-CZ"/>
              </w:rPr>
              <w:t xml:space="preserve"> délku praxe: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szCs w:val="18"/>
                <w:lang w:eastAsia="cs-CZ"/>
              </w:rPr>
              <w:t>v oblasti ICT</w:t>
            </w:r>
          </w:p>
        </w:tc>
      </w:tr>
      <w:tr w:rsidR="00926DEC" w:rsidRPr="006C20AF" w:rsidTr="009F385B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6C20AF" w:rsidRDefault="00C010E9" w:rsidP="00C010E9">
            <w:pPr>
              <w:widowControl w:val="0"/>
              <w:spacing w:before="60" w:after="60" w:line="240" w:lineRule="auto"/>
              <w:contextualSpacing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B04B3">
              <w:rPr>
                <w:bCs/>
                <w:szCs w:val="18"/>
              </w:rPr>
              <w:t xml:space="preserve">Podílel se v roli metodika rozpočtu (popř. business architekta, procesního specialisty, konzultanta) na minimálně 2 projektech, jejichž předmětem byla implementace a/nebo podpora a údržba informačního systému na platformě SAP, přičemž finanční hodnota alespoň 1 takového projektu činila nejméně 40 mil. Kč bez DPH a finanční hodnota dalšího projektu činila nejméně 20 mil. Kč bez DPH. 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2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</w:p>
        </w:tc>
      </w:tr>
      <w:tr w:rsidR="00926DEC" w:rsidRPr="00EC43D7" w:rsidTr="009F385B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C010E9" w:rsidP="00C010E9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>Podílel se v roli metodika rozpočtu (popř. business architekta, procesního specialisty, konzultanta) na minimálně 1 projektu, který byl realizován na platformě SAP a jehož součástí bylo řešení problematiky rozpočtu organizací, které jsou v rámci své činnosti vázány zákonem č. 218/2000 Sb. o rozpočtových pravidlech a o změně některých souvisejících zákonů, ve znění pozdějších předpisů.</w:t>
            </w:r>
            <w:bookmarkStart w:id="2" w:name="_GoBack"/>
            <w:bookmarkEnd w:id="2"/>
          </w:p>
        </w:tc>
        <w:tc>
          <w:tcPr>
            <w:tcW w:w="3556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 xml:space="preserve"> doplní stručný popis referenčního projektu v rozsahu minimálně (odběratel, předmět projektu, role člena realizačního týmu, tel. číslo nebo e-mail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kontaktní osobu odběratele za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účelem ověření účasti na</w:t>
            </w:r>
            <w:r>
              <w:rPr>
                <w:rFonts w:eastAsia="Times New Roman" w:cs="Segoe UI"/>
                <w:bCs/>
                <w:i/>
                <w:szCs w:val="18"/>
                <w:lang w:eastAsia="cs-CZ"/>
              </w:rPr>
              <w:t> </w:t>
            </w:r>
            <w:r w:rsidRPr="006C20AF">
              <w:rPr>
                <w:rFonts w:eastAsia="Times New Roman" w:cs="Segoe UI"/>
                <w:bCs/>
                <w:i/>
                <w:szCs w:val="18"/>
                <w:lang w:eastAsia="cs-CZ"/>
              </w:rPr>
              <w:t>referenčním projektu)</w:t>
            </w:r>
          </w:p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Projekt 1</w:t>
            </w:r>
          </w:p>
          <w:p w:rsidR="00926DEC" w:rsidRPr="00EC43D7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highlight w:val="yellow"/>
                <w:lang w:eastAsia="cs-CZ"/>
              </w:rPr>
              <w:t>____________________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 xml:space="preserve"> </w:t>
            </w:r>
          </w:p>
        </w:tc>
      </w:tr>
      <w:tr w:rsidR="00926DEC" w:rsidRPr="006C20AF" w:rsidTr="009F385B">
        <w:trPr>
          <w:cantSplit/>
        </w:trPr>
        <w:tc>
          <w:tcPr>
            <w:tcW w:w="2960" w:type="dxa"/>
            <w:vMerge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3214" w:type="dxa"/>
            <w:vAlign w:val="center"/>
          </w:tcPr>
          <w:p w:rsidR="00926DEC" w:rsidRPr="00EC43D7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Disponuje prokazatelnou znalostí</w:t>
            </w:r>
            <w:r w:rsidRPr="00FD6F79">
              <w:rPr>
                <w:rFonts w:ascii="Calibri" w:eastAsia="Calibri" w:hAnsi="Calibri" w:cs="Calibri"/>
                <w:color w:val="000000"/>
                <w:sz w:val="22"/>
                <w:lang w:eastAsia="cs-CZ"/>
              </w:rPr>
              <w:t xml:space="preserve"> </w:t>
            </w:r>
            <w:r w:rsidRPr="00FD6F79">
              <w:rPr>
                <w:bCs/>
                <w:szCs w:val="18"/>
              </w:rPr>
              <w:t>metodiky rozpočetnictví organizací, které jsou v rámci své činnosti vázány zákonem č. 218/2000 Sb., o rozpočtových pravidlech a o změně některých souvisejících zákonů, ve znění pozdějších předpisů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3556" w:type="dxa"/>
            <w:vAlign w:val="center"/>
          </w:tcPr>
          <w:p w:rsidR="00926DEC" w:rsidRPr="006C20AF" w:rsidRDefault="00926DEC" w:rsidP="009F385B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:rsidTr="004839BF">
        <w:tc>
          <w:tcPr>
            <w:tcW w:w="401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:rsidTr="004839BF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:rsidTr="004839BF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6C20AF" w:rsidRPr="006C20AF" w:rsidRDefault="006C20AF" w:rsidP="006C20AF">
      <w:pPr>
        <w:spacing w:before="60" w:after="60" w:line="240" w:lineRule="auto"/>
        <w:contextualSpacing/>
        <w:rPr>
          <w:szCs w:val="18"/>
        </w:rPr>
      </w:pPr>
    </w:p>
    <w:p w:rsidR="0053700F" w:rsidRPr="006C20AF" w:rsidRDefault="0053700F" w:rsidP="006C20AF">
      <w:pPr>
        <w:spacing w:before="60" w:after="60" w:line="240" w:lineRule="auto"/>
        <w:contextualSpacing/>
        <w:rPr>
          <w:szCs w:val="18"/>
        </w:rPr>
      </w:pPr>
    </w:p>
    <w:sectPr w:rsidR="0053700F" w:rsidRPr="006C20AF" w:rsidSect="006C20AF">
      <w:headerReference w:type="default" r:id="rId7"/>
      <w:footerReference w:type="default" r:id="rId8"/>
      <w:footerReference w:type="firs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AF" w:rsidRDefault="006C20AF" w:rsidP="006C20AF">
      <w:pPr>
        <w:spacing w:line="240" w:lineRule="auto"/>
      </w:pPr>
      <w:r>
        <w:separator/>
      </w:r>
    </w:p>
  </w:endnote>
  <w:endnote w:type="continuationSeparator" w:id="0">
    <w:p w:rsidR="006C20AF" w:rsidRDefault="006C20AF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C010E9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AF" w:rsidRDefault="006C20AF" w:rsidP="006C20AF">
      <w:pPr>
        <w:spacing w:line="240" w:lineRule="auto"/>
      </w:pPr>
      <w:r>
        <w:separator/>
      </w:r>
    </w:p>
  </w:footnote>
  <w:footnote w:type="continuationSeparator" w:id="0">
    <w:p w:rsidR="006C20AF" w:rsidRDefault="006C20AF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6C20AF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5316815" wp14:editId="6372D361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F53D9A" w:rsidRDefault="00F53D9A" w:rsidP="006B218F">
          <w:pPr>
            <w:spacing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53D9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Zadávací dokumentace </w:t>
          </w:r>
        </w:p>
        <w:p w:rsidR="000A68B6" w:rsidRPr="006C20AF" w:rsidRDefault="006C20AF" w:rsidP="006B218F">
          <w:pPr>
            <w:spacing w:line="240" w:lineRule="auto"/>
            <w:ind w:left="454"/>
            <w:jc w:val="left"/>
            <w:rPr>
              <w:rFonts w:ascii="Verdana" w:hAnsi="Verdana"/>
              <w:b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proofErr w:type="gramStart"/>
          <w:r w:rsidR="001E380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  <w:r w:rsidR="00E06F9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b</w:t>
          </w:r>
          <w:proofErr w:type="gramEnd"/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Formulář realizačního týmu</w:t>
          </w:r>
          <w:r w:rsidR="00EC43D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část 1 </w:t>
          </w:r>
          <w:r w:rsidR="00EC43D7" w:rsidRPr="00EC43D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Zajištění služeb podpory provozu IISSP v oblasti </w:t>
          </w:r>
          <w:r w:rsidR="00E06F9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RISRE</w:t>
          </w: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</w:p>
      </w:tc>
      <w:tc>
        <w:tcPr>
          <w:tcW w:w="1758" w:type="dxa"/>
          <w:vMerge w:val="restart"/>
          <w:vAlign w:val="center"/>
        </w:tcPr>
        <w:p w:rsidR="000A68B6" w:rsidRPr="006C20AF" w:rsidRDefault="006C20AF" w:rsidP="006C20AF">
          <w:pPr>
            <w:spacing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6C20A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</w:t>
          </w:r>
          <w:r w:rsidR="00F53D9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8_0011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C010E9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C20AF" w:rsidRDefault="00F53D9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1D07D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podpory provozu Integrovaného informačního systému státní pokladny</w:t>
          </w:r>
        </w:p>
      </w:tc>
      <w:tc>
        <w:tcPr>
          <w:tcW w:w="1758" w:type="dxa"/>
          <w:vMerge/>
          <w:vAlign w:val="center"/>
        </w:tcPr>
        <w:p w:rsidR="000A68B6" w:rsidRPr="00D10A6F" w:rsidRDefault="00C010E9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C010E9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2"/>
  </w:num>
  <w:num w:numId="5">
    <w:abstractNumId w:val="15"/>
  </w:num>
  <w:num w:numId="6">
    <w:abstractNumId w:val="6"/>
  </w:num>
  <w:num w:numId="7">
    <w:abstractNumId w:val="28"/>
  </w:num>
  <w:num w:numId="8">
    <w:abstractNumId w:val="9"/>
  </w:num>
  <w:num w:numId="9">
    <w:abstractNumId w:val="31"/>
  </w:num>
  <w:num w:numId="10">
    <w:abstractNumId w:val="29"/>
  </w:num>
  <w:num w:numId="11">
    <w:abstractNumId w:val="1"/>
  </w:num>
  <w:num w:numId="12">
    <w:abstractNumId w:val="23"/>
  </w:num>
  <w:num w:numId="13">
    <w:abstractNumId w:val="26"/>
  </w:num>
  <w:num w:numId="14">
    <w:abstractNumId w:val="24"/>
  </w:num>
  <w:num w:numId="15">
    <w:abstractNumId w:val="14"/>
  </w:num>
  <w:num w:numId="16">
    <w:abstractNumId w:val="12"/>
  </w:num>
  <w:num w:numId="17">
    <w:abstractNumId w:val="7"/>
  </w:num>
  <w:num w:numId="18">
    <w:abstractNumId w:val="19"/>
  </w:num>
  <w:num w:numId="19">
    <w:abstractNumId w:val="27"/>
  </w:num>
  <w:num w:numId="20">
    <w:abstractNumId w:val="18"/>
  </w:num>
  <w:num w:numId="21">
    <w:abstractNumId w:val="13"/>
  </w:num>
  <w:num w:numId="22">
    <w:abstractNumId w:val="21"/>
  </w:num>
  <w:num w:numId="23">
    <w:abstractNumId w:val="5"/>
  </w:num>
  <w:num w:numId="24">
    <w:abstractNumId w:val="10"/>
  </w:num>
  <w:num w:numId="25">
    <w:abstractNumId w:val="4"/>
  </w:num>
  <w:num w:numId="26">
    <w:abstractNumId w:val="30"/>
  </w:num>
  <w:num w:numId="27">
    <w:abstractNumId w:val="11"/>
  </w:num>
  <w:num w:numId="28">
    <w:abstractNumId w:val="16"/>
  </w:num>
  <w:num w:numId="29">
    <w:abstractNumId w:val="3"/>
  </w:num>
  <w:num w:numId="30">
    <w:abstractNumId w:val="17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1E3804"/>
    <w:rsid w:val="002511E2"/>
    <w:rsid w:val="0034652B"/>
    <w:rsid w:val="003B634B"/>
    <w:rsid w:val="003C5305"/>
    <w:rsid w:val="004F2991"/>
    <w:rsid w:val="00530B19"/>
    <w:rsid w:val="0053700F"/>
    <w:rsid w:val="006A3DA4"/>
    <w:rsid w:val="006C20AF"/>
    <w:rsid w:val="0072243E"/>
    <w:rsid w:val="0076032B"/>
    <w:rsid w:val="00926DEC"/>
    <w:rsid w:val="00934100"/>
    <w:rsid w:val="00BB3630"/>
    <w:rsid w:val="00C010E9"/>
    <w:rsid w:val="00C1199D"/>
    <w:rsid w:val="00CE53C5"/>
    <w:rsid w:val="00E06F93"/>
    <w:rsid w:val="00EC43D7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527F8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Špačková Helena</cp:lastModifiedBy>
  <cp:revision>4</cp:revision>
  <dcterms:created xsi:type="dcterms:W3CDTF">2018-03-26T08:32:00Z</dcterms:created>
  <dcterms:modified xsi:type="dcterms:W3CDTF">2018-03-26T13:28:00Z</dcterms:modified>
</cp:coreProperties>
</file>