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C9A16" w14:textId="2045F093" w:rsidR="002D6D16" w:rsidRPr="009F75AE" w:rsidRDefault="002D6D16" w:rsidP="008A6CA4">
      <w:pPr>
        <w:pStyle w:val="Nzev"/>
        <w:jc w:val="right"/>
        <w:rPr>
          <w:sz w:val="56"/>
          <w:szCs w:val="56"/>
        </w:rPr>
      </w:pPr>
      <w:r w:rsidRPr="009F75AE">
        <w:rPr>
          <w:sz w:val="56"/>
          <w:szCs w:val="56"/>
        </w:rPr>
        <w:t>P</w:t>
      </w:r>
      <w:r w:rsidR="00B9468C" w:rsidRPr="009F75AE">
        <w:rPr>
          <w:sz w:val="56"/>
          <w:szCs w:val="56"/>
        </w:rPr>
        <w:t xml:space="preserve">říloha </w:t>
      </w:r>
      <w:r w:rsidR="008B4039" w:rsidRPr="009F75AE">
        <w:rPr>
          <w:sz w:val="56"/>
          <w:szCs w:val="56"/>
        </w:rPr>
        <w:t>č.</w:t>
      </w:r>
      <w:r w:rsidR="002754E0" w:rsidRPr="009F75AE">
        <w:rPr>
          <w:sz w:val="56"/>
          <w:szCs w:val="56"/>
        </w:rPr>
        <w:t xml:space="preserve"> </w:t>
      </w:r>
      <w:r w:rsidR="003C7965" w:rsidRPr="009F75AE">
        <w:rPr>
          <w:sz w:val="56"/>
          <w:szCs w:val="56"/>
        </w:rPr>
        <w:t>5</w:t>
      </w:r>
    </w:p>
    <w:p w14:paraId="4B100C24" w14:textId="590A56AA" w:rsidR="002D6D16" w:rsidRPr="009F75AE" w:rsidRDefault="002D6D16" w:rsidP="008A6CA4">
      <w:pPr>
        <w:pStyle w:val="Nzev"/>
        <w:numPr>
          <w:ilvl w:val="1"/>
          <w:numId w:val="0"/>
        </w:numPr>
        <w:jc w:val="right"/>
        <w:rPr>
          <w:sz w:val="44"/>
        </w:rPr>
      </w:pPr>
    </w:p>
    <w:p w14:paraId="41AEAC3A" w14:textId="77508533" w:rsidR="00E07317" w:rsidRPr="009F75AE" w:rsidRDefault="001C2457" w:rsidP="008A6CA4">
      <w:pPr>
        <w:pStyle w:val="Zkladntext"/>
        <w:spacing w:after="0"/>
        <w:jc w:val="right"/>
        <w:rPr>
          <w:rFonts w:asciiTheme="majorHAnsi" w:eastAsiaTheme="majorEastAsia" w:hAnsiTheme="majorHAnsi" w:cstheme="majorBidi"/>
          <w:spacing w:val="5"/>
          <w:kern w:val="28"/>
          <w:sz w:val="44"/>
          <w:szCs w:val="52"/>
        </w:rPr>
      </w:pPr>
      <w:r w:rsidRPr="009F75AE">
        <w:rPr>
          <w:rFonts w:asciiTheme="majorHAnsi" w:eastAsiaTheme="majorEastAsia" w:hAnsiTheme="majorHAnsi" w:cstheme="majorBidi"/>
          <w:spacing w:val="5"/>
          <w:kern w:val="28"/>
          <w:sz w:val="44"/>
          <w:szCs w:val="52"/>
        </w:rPr>
        <w:t>Servisní služby a Služby rozvoje</w:t>
      </w:r>
    </w:p>
    <w:p w14:paraId="6712EC70" w14:textId="453CA12E" w:rsidR="002B3D70" w:rsidRPr="009F75AE" w:rsidRDefault="002B3D70">
      <w:pPr>
        <w:rPr>
          <w:rFonts w:asciiTheme="majorHAnsi" w:eastAsiaTheme="majorEastAsia" w:hAnsiTheme="majorHAnsi" w:cstheme="majorBidi"/>
          <w:spacing w:val="5"/>
          <w:kern w:val="28"/>
          <w:sz w:val="44"/>
          <w:szCs w:val="52"/>
        </w:rPr>
      </w:pPr>
      <w:r w:rsidRPr="009F75AE">
        <w:rPr>
          <w:rFonts w:asciiTheme="majorHAnsi" w:eastAsiaTheme="majorEastAsia" w:hAnsiTheme="majorHAnsi" w:cstheme="majorBidi"/>
          <w:spacing w:val="5"/>
          <w:kern w:val="28"/>
          <w:sz w:val="44"/>
          <w:szCs w:val="52"/>
        </w:rPr>
        <w:br w:type="page"/>
      </w:r>
    </w:p>
    <w:p w14:paraId="420039C0" w14:textId="77777777" w:rsidR="002B3D70" w:rsidRPr="009F75AE" w:rsidRDefault="002B3D70" w:rsidP="008A6CA4">
      <w:pPr>
        <w:pStyle w:val="Zkladntext"/>
        <w:spacing w:after="0"/>
        <w:jc w:val="right"/>
        <w:rPr>
          <w:rFonts w:asciiTheme="majorHAnsi" w:eastAsiaTheme="majorEastAsia" w:hAnsiTheme="majorHAnsi" w:cstheme="majorBidi"/>
          <w:spacing w:val="5"/>
          <w:kern w:val="28"/>
          <w:sz w:val="44"/>
          <w:szCs w:val="52"/>
        </w:rPr>
      </w:pPr>
    </w:p>
    <w:p w14:paraId="6511FD2B" w14:textId="6F208FEF" w:rsidR="00E07317" w:rsidRPr="009F75AE" w:rsidRDefault="00E07317" w:rsidP="008A6CA4">
      <w:pPr>
        <w:jc w:val="right"/>
        <w:sectPr w:rsidR="00E07317" w:rsidRPr="009F75AE" w:rsidSect="00E3099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438" w:right="1021" w:bottom="1474" w:left="1021" w:header="567" w:footer="567" w:gutter="0"/>
          <w:cols w:space="708"/>
          <w:titlePg/>
          <w:docGrid w:linePitch="360"/>
        </w:sectPr>
      </w:pPr>
    </w:p>
    <w:sdt>
      <w:sdtPr>
        <w:rPr>
          <w:rFonts w:ascii="Georgia" w:eastAsiaTheme="minorHAnsi" w:hAnsi="Georgia" w:cstheme="minorBidi"/>
          <w:b w:val="0"/>
          <w:bCs w:val="0"/>
          <w:i w:val="0"/>
          <w:sz w:val="20"/>
          <w:szCs w:val="20"/>
          <w:lang w:val="cs-CZ"/>
        </w:rPr>
        <w:id w:val="582500169"/>
        <w:docPartObj>
          <w:docPartGallery w:val="Table of Contents"/>
          <w:docPartUnique/>
        </w:docPartObj>
      </w:sdtPr>
      <w:sdtEndPr/>
      <w:sdtContent>
        <w:p w14:paraId="7E2A3B20" w14:textId="77777777" w:rsidR="00977728" w:rsidRPr="009F75AE" w:rsidRDefault="00977728" w:rsidP="00DE297D">
          <w:pPr>
            <w:pStyle w:val="Nadpisobsahu"/>
            <w:numPr>
              <w:ilvl w:val="0"/>
              <w:numId w:val="0"/>
            </w:numPr>
            <w:rPr>
              <w:lang w:val="cs-CZ"/>
            </w:rPr>
          </w:pPr>
          <w:r w:rsidRPr="009F75AE">
            <w:rPr>
              <w:lang w:val="cs-CZ"/>
            </w:rPr>
            <w:t>Obsah</w:t>
          </w:r>
        </w:p>
        <w:p w14:paraId="613F5CAC" w14:textId="12D8C8A9" w:rsidR="00386E6B" w:rsidRDefault="00977728">
          <w:pPr>
            <w:pStyle w:val="Obsah1"/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r w:rsidRPr="009F75AE">
            <w:fldChar w:fldCharType="begin"/>
          </w:r>
          <w:r w:rsidRPr="009F75AE">
            <w:instrText xml:space="preserve"> TOC \o "1-3" \h \z \u </w:instrText>
          </w:r>
          <w:r w:rsidRPr="009F75AE">
            <w:fldChar w:fldCharType="separate"/>
          </w:r>
          <w:hyperlink w:anchor="_Toc510348658" w:history="1">
            <w:r w:rsidR="00386E6B" w:rsidRPr="00FF059D">
              <w:rPr>
                <w:rStyle w:val="Hypertextovodkaz"/>
                <w:noProof/>
              </w:rPr>
              <w:t>1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Servisní služby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_Toc510348658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3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56D326EC" w14:textId="3EF096E9" w:rsidR="00386E6B" w:rsidRDefault="006073E5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59" w:history="1">
            <w:r w:rsidR="00386E6B" w:rsidRPr="00FF059D">
              <w:rPr>
                <w:rStyle w:val="Hypertextovodkaz"/>
                <w:noProof/>
              </w:rPr>
              <w:t>1.1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Řízení provozu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_Toc510348659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3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7D890FE9" w14:textId="2B102130" w:rsidR="00386E6B" w:rsidRDefault="006073E5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60" w:history="1">
            <w:r w:rsidR="00386E6B" w:rsidRPr="00FF059D">
              <w:rPr>
                <w:rStyle w:val="Hypertextovodkaz"/>
                <w:noProof/>
              </w:rPr>
              <w:t>1.1.1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Organizační struktura a procesy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_Toc510348660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3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0E34583B" w14:textId="3B050224" w:rsidR="00386E6B" w:rsidRDefault="006073E5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61" w:history="1">
            <w:r w:rsidR="00386E6B" w:rsidRPr="00FF059D">
              <w:rPr>
                <w:rStyle w:val="Hypertextovodkaz"/>
                <w:noProof/>
              </w:rPr>
              <w:t>1.1.2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Řídící dokumentace provozu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_Toc510348661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4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09298935" w14:textId="38994469" w:rsidR="00386E6B" w:rsidRDefault="006073E5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62" w:history="1">
            <w:r w:rsidR="00386E6B" w:rsidRPr="00FF059D">
              <w:rPr>
                <w:rStyle w:val="Hypertextovodkaz"/>
                <w:noProof/>
              </w:rPr>
              <w:t>1.1.3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ServiceDesk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_Toc510348662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4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19816B75" w14:textId="6390FCB8" w:rsidR="00386E6B" w:rsidRDefault="006073E5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63" w:history="1">
            <w:r w:rsidR="00386E6B" w:rsidRPr="00FF059D">
              <w:rPr>
                <w:rStyle w:val="Hypertextovodkaz"/>
                <w:noProof/>
              </w:rPr>
              <w:t>1.1.4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Definice úrovní technické podpory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_Toc510348663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5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150419A2" w14:textId="3AABB852" w:rsidR="00386E6B" w:rsidRDefault="006073E5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64" w:history="1">
            <w:r w:rsidR="00386E6B" w:rsidRPr="00FF059D">
              <w:rPr>
                <w:rStyle w:val="Hypertextovodkaz"/>
                <w:noProof/>
              </w:rPr>
              <w:t>1.2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Vymezení odpovědností Dodavatele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_Toc510348664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5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5958232F" w14:textId="451741FF" w:rsidR="00386E6B" w:rsidRDefault="006073E5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65" w:history="1">
            <w:r w:rsidR="00386E6B" w:rsidRPr="00FF059D">
              <w:rPr>
                <w:rStyle w:val="Hypertextovodkaz"/>
                <w:noProof/>
              </w:rPr>
              <w:t>1.3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Řízení incidentů a SLA parametry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_Toc510348665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7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254A98EB" w14:textId="2733ED1F" w:rsidR="00386E6B" w:rsidRDefault="006073E5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66" w:history="1">
            <w:r w:rsidR="00386E6B" w:rsidRPr="00FF059D">
              <w:rPr>
                <w:rStyle w:val="Hypertextovodkaz"/>
                <w:noProof/>
              </w:rPr>
              <w:t>1.3.1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Řešení incidentů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_Toc510348666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7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39D936DA" w14:textId="289D155D" w:rsidR="00386E6B" w:rsidRDefault="006073E5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67" w:history="1">
            <w:r w:rsidR="00386E6B" w:rsidRPr="00FF059D">
              <w:rPr>
                <w:rStyle w:val="Hypertextovodkaz"/>
                <w:noProof/>
              </w:rPr>
              <w:t>1.3.2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Klasifikace incidentů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_Toc510348667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8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5D1A2DF9" w14:textId="5CAF59E3" w:rsidR="00386E6B" w:rsidRDefault="006073E5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68" w:history="1">
            <w:r w:rsidR="00386E6B" w:rsidRPr="00FF059D">
              <w:rPr>
                <w:rStyle w:val="Hypertextovodkaz"/>
                <w:noProof/>
              </w:rPr>
              <w:t>1.3.3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Definice SLA parametrů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_Toc510348668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9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50628F0F" w14:textId="21363807" w:rsidR="00386E6B" w:rsidRDefault="006073E5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69" w:history="1">
            <w:r w:rsidR="00386E6B" w:rsidRPr="00FF059D">
              <w:rPr>
                <w:rStyle w:val="Hypertextovodkaz"/>
                <w:noProof/>
              </w:rPr>
              <w:t>1.3.4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Hodnoty SLA parametrů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_Toc510348669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9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701717F9" w14:textId="4F34380D" w:rsidR="00386E6B" w:rsidRDefault="006073E5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70" w:history="1">
            <w:r w:rsidR="00386E6B" w:rsidRPr="00FF059D">
              <w:rPr>
                <w:rStyle w:val="Hypertextovodkaz"/>
                <w:noProof/>
              </w:rPr>
              <w:t>1.4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Řízení požadavků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_Toc510348670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11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40FFB061" w14:textId="1C7A100A" w:rsidR="00386E6B" w:rsidRDefault="006073E5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71" w:history="1">
            <w:r w:rsidR="00386E6B" w:rsidRPr="00FF059D">
              <w:rPr>
                <w:rStyle w:val="Hypertextovodkaz"/>
                <w:noProof/>
              </w:rPr>
              <w:t>1.5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Pravidelné a proaktivní činnosti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_Toc510348671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12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2C1E5C12" w14:textId="411C970D" w:rsidR="00386E6B" w:rsidRDefault="006073E5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72" w:history="1">
            <w:r w:rsidR="00386E6B" w:rsidRPr="00FF059D">
              <w:rPr>
                <w:rStyle w:val="Hypertextovodkaz"/>
                <w:noProof/>
              </w:rPr>
              <w:t>1.6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Řízení změn a konfigurací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_Toc510348672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13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23BEE86C" w14:textId="293FC9C2" w:rsidR="00386E6B" w:rsidRDefault="006073E5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73" w:history="1">
            <w:r w:rsidR="00386E6B" w:rsidRPr="00FF059D">
              <w:rPr>
                <w:rStyle w:val="Hypertextovodkaz"/>
                <w:noProof/>
              </w:rPr>
              <w:t>1.6.1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Provozní změny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_Toc510348673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13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6DE72E74" w14:textId="364B515C" w:rsidR="00386E6B" w:rsidRDefault="006073E5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74" w:history="1">
            <w:r w:rsidR="00386E6B" w:rsidRPr="00FF059D">
              <w:rPr>
                <w:rStyle w:val="Hypertextovodkaz"/>
                <w:noProof/>
              </w:rPr>
              <w:t>1.6.2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Změnové požadavky a Služby rozvoje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_Toc510348674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13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58EE1352" w14:textId="25105F6F" w:rsidR="00386E6B" w:rsidRDefault="006073E5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75" w:history="1">
            <w:r w:rsidR="00386E6B" w:rsidRPr="00FF059D">
              <w:rPr>
                <w:rStyle w:val="Hypertextovodkaz"/>
                <w:noProof/>
              </w:rPr>
              <w:t>1.6.3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Řízení přechodu do produktivního provozu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_Toc510348675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14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4068224E" w14:textId="292BA007" w:rsidR="00386E6B" w:rsidRDefault="006073E5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76" w:history="1">
            <w:r w:rsidR="00386E6B" w:rsidRPr="00FF059D">
              <w:rPr>
                <w:rStyle w:val="Hypertextovodkaz"/>
                <w:noProof/>
              </w:rPr>
              <w:t>1.7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Řízení problémů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_Toc510348676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14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75F8EB4A" w14:textId="45CB8F8A" w:rsidR="00386E6B" w:rsidRDefault="006073E5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77" w:history="1">
            <w:r w:rsidR="00386E6B" w:rsidRPr="00FF059D">
              <w:rPr>
                <w:rStyle w:val="Hypertextovodkaz"/>
                <w:noProof/>
              </w:rPr>
              <w:t>1.8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Řízení rizik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_Toc510348677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14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696777BB" w14:textId="7595C350" w:rsidR="00386E6B" w:rsidRDefault="006073E5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78" w:history="1">
            <w:r w:rsidR="00386E6B" w:rsidRPr="00FF059D">
              <w:rPr>
                <w:rStyle w:val="Hypertextovodkaz"/>
                <w:noProof/>
              </w:rPr>
              <w:t>1.9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Řízení kvality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_Toc510348678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15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416938E5" w14:textId="7BCC42AC" w:rsidR="00386E6B" w:rsidRDefault="006073E5">
          <w:pPr>
            <w:pStyle w:val="Obsah1"/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79" w:history="1">
            <w:r w:rsidR="00386E6B" w:rsidRPr="00FF059D">
              <w:rPr>
                <w:rStyle w:val="Hypertextovodkaz"/>
                <w:noProof/>
              </w:rPr>
              <w:t>2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Služby rozvoje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_Toc510348679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16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7CB87B9C" w14:textId="087C7D59" w:rsidR="00386E6B" w:rsidRDefault="006073E5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80" w:history="1">
            <w:r w:rsidR="00386E6B" w:rsidRPr="00FF059D">
              <w:rPr>
                <w:rStyle w:val="Hypertextovodkaz"/>
                <w:noProof/>
              </w:rPr>
              <w:t>2.1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Objednávání Služeb rozvoje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_Toc510348680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16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4C6B0862" w14:textId="4F2C08EA" w:rsidR="00386E6B" w:rsidRDefault="006073E5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81" w:history="1">
            <w:r w:rsidR="00386E6B" w:rsidRPr="00FF059D">
              <w:rPr>
                <w:rStyle w:val="Hypertextovodkaz"/>
                <w:rFonts w:cs="Times New Roman"/>
                <w:noProof/>
              </w:rPr>
              <w:t>2.2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rFonts w:cs="Times New Roman"/>
                <w:noProof/>
              </w:rPr>
              <w:t>Implementace Služeb rozvoje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_Toc510348681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16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412D630E" w14:textId="6A6BE6CE" w:rsidR="00386E6B" w:rsidRDefault="006073E5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48682" w:history="1">
            <w:r w:rsidR="00386E6B" w:rsidRPr="00FF059D">
              <w:rPr>
                <w:rStyle w:val="Hypertextovodkaz"/>
                <w:rFonts w:cs="Times New Roman"/>
                <w:noProof/>
              </w:rPr>
              <w:t>2.3</w:t>
            </w:r>
            <w:r w:rsidR="00386E6B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386E6B" w:rsidRPr="00FF059D">
              <w:rPr>
                <w:rStyle w:val="Hypertextovodkaz"/>
                <w:noProof/>
              </w:rPr>
              <w:t>Vypořádání Služeb rozvoje</w:t>
            </w:r>
            <w:r w:rsidR="00386E6B">
              <w:rPr>
                <w:noProof/>
                <w:webHidden/>
              </w:rPr>
              <w:tab/>
            </w:r>
            <w:r w:rsidR="00386E6B">
              <w:rPr>
                <w:noProof/>
                <w:webHidden/>
              </w:rPr>
              <w:fldChar w:fldCharType="begin"/>
            </w:r>
            <w:r w:rsidR="00386E6B">
              <w:rPr>
                <w:noProof/>
                <w:webHidden/>
              </w:rPr>
              <w:instrText xml:space="preserve"> PAGEREF _Toc510348682 \h </w:instrText>
            </w:r>
            <w:r w:rsidR="00386E6B">
              <w:rPr>
                <w:noProof/>
                <w:webHidden/>
              </w:rPr>
            </w:r>
            <w:r w:rsidR="00386E6B">
              <w:rPr>
                <w:noProof/>
                <w:webHidden/>
              </w:rPr>
              <w:fldChar w:fldCharType="separate"/>
            </w:r>
            <w:r w:rsidR="00386E6B">
              <w:rPr>
                <w:noProof/>
                <w:webHidden/>
              </w:rPr>
              <w:t>17</w:t>
            </w:r>
            <w:r w:rsidR="00386E6B">
              <w:rPr>
                <w:noProof/>
                <w:webHidden/>
              </w:rPr>
              <w:fldChar w:fldCharType="end"/>
            </w:r>
          </w:hyperlink>
        </w:p>
        <w:p w14:paraId="05D90B31" w14:textId="1182C800" w:rsidR="009C5BE4" w:rsidRPr="009F75AE" w:rsidRDefault="00977728" w:rsidP="00E973CC">
          <w:pPr>
            <w:pStyle w:val="Obsah1"/>
          </w:pPr>
          <w:r w:rsidRPr="009F75AE">
            <w:rPr>
              <w:b/>
              <w:bCs/>
            </w:rPr>
            <w:fldChar w:fldCharType="end"/>
          </w:r>
        </w:p>
      </w:sdtContent>
    </w:sdt>
    <w:p w14:paraId="2CD1B4CC" w14:textId="77777777" w:rsidR="00087664" w:rsidRPr="009F75AE" w:rsidRDefault="00087664">
      <w:r w:rsidRPr="009F75AE">
        <w:br w:type="page"/>
      </w:r>
    </w:p>
    <w:p w14:paraId="2028BB00" w14:textId="77777777" w:rsidR="00BD51DE" w:rsidRPr="009F75AE" w:rsidRDefault="00BD51DE" w:rsidP="00BD51DE">
      <w:pPr>
        <w:pStyle w:val="Zkladntext"/>
      </w:pPr>
      <w:r w:rsidRPr="009F75AE">
        <w:lastRenderedPageBreak/>
        <w:t>Tato příloha Smlouvy obsahuje požadavky na Servisní služby a Služby rozvoje v období provozu AISG.</w:t>
      </w:r>
    </w:p>
    <w:p w14:paraId="056DF14A" w14:textId="4401C617" w:rsidR="00087664" w:rsidRPr="009F75AE" w:rsidRDefault="00B46DDD" w:rsidP="00AA1532">
      <w:pPr>
        <w:pStyle w:val="Nadpis1"/>
      </w:pPr>
      <w:bookmarkStart w:id="0" w:name="_Toc510348658"/>
      <w:r w:rsidRPr="009F75AE">
        <w:t>Servisní služby</w:t>
      </w:r>
      <w:bookmarkEnd w:id="0"/>
      <w:r w:rsidR="003C7965" w:rsidRPr="009F75AE">
        <w:t xml:space="preserve"> </w:t>
      </w:r>
    </w:p>
    <w:p w14:paraId="5B6C9FF8" w14:textId="21DF9143" w:rsidR="008B1D83" w:rsidRPr="009F75AE" w:rsidRDefault="008B1D83" w:rsidP="008B1D83">
      <w:pPr>
        <w:pStyle w:val="Zkladntext"/>
      </w:pPr>
      <w:bookmarkStart w:id="1" w:name="_Hlk481258093"/>
      <w:r w:rsidRPr="009F75AE">
        <w:t xml:space="preserve">Tato </w:t>
      </w:r>
      <w:r w:rsidR="0090057D" w:rsidRPr="009F75AE">
        <w:t>kapitola</w:t>
      </w:r>
      <w:r w:rsidRPr="009F75AE">
        <w:t xml:space="preserve"> stanovuje rozsah a klíčové parametry Servisních služeb Dodavatele</w:t>
      </w:r>
      <w:bookmarkEnd w:id="1"/>
      <w:r w:rsidRPr="009F75AE">
        <w:t xml:space="preserve">. Servisní služby zahrnují služby technické podpory, správy a údržby AISG potřebné pro provoz AISG, tj. pro zajištění dostupnosti a správnosti všech funkcionalit AISG. </w:t>
      </w:r>
      <w:r w:rsidR="00A52D40" w:rsidRPr="009F75AE">
        <w:t>Servisní služby zahrnují</w:t>
      </w:r>
    </w:p>
    <w:p w14:paraId="61810042" w14:textId="63CBD315" w:rsidR="00B6635E" w:rsidRPr="009F75AE" w:rsidRDefault="00B6635E" w:rsidP="008C2D3C">
      <w:pPr>
        <w:pStyle w:val="Odstavecseseznamem"/>
        <w:numPr>
          <w:ilvl w:val="0"/>
          <w:numId w:val="41"/>
        </w:numPr>
        <w:jc w:val="both"/>
      </w:pPr>
      <w:r w:rsidRPr="009F75AE">
        <w:t xml:space="preserve">služby údržby </w:t>
      </w:r>
      <w:r w:rsidR="00C047E1" w:rsidRPr="009F75AE">
        <w:t>D</w:t>
      </w:r>
      <w:r w:rsidRPr="009F75AE">
        <w:t>íla - odstraňování vad Díla</w:t>
      </w:r>
      <w:r w:rsidR="009E17DD" w:rsidRPr="009F75AE">
        <w:t xml:space="preserve">, opravy dat </w:t>
      </w:r>
      <w:r w:rsidRPr="009F75AE">
        <w:t xml:space="preserve">a aktualizace SW produktů (poskytování a implementaci </w:t>
      </w:r>
      <w:r w:rsidR="009E17DD" w:rsidRPr="009F75AE">
        <w:t xml:space="preserve">oprav a </w:t>
      </w:r>
      <w:r w:rsidRPr="009F75AE">
        <w:t xml:space="preserve">nových verzí </w:t>
      </w:r>
      <w:r w:rsidR="00BF36CE" w:rsidRPr="009F75AE">
        <w:t xml:space="preserve">SW </w:t>
      </w:r>
      <w:r w:rsidRPr="009F75AE">
        <w:t>produktů</w:t>
      </w:r>
      <w:r w:rsidR="009E17DD" w:rsidRPr="009F75AE">
        <w:t>);</w:t>
      </w:r>
      <w:r w:rsidRPr="009F75AE">
        <w:t xml:space="preserve"> </w:t>
      </w:r>
    </w:p>
    <w:p w14:paraId="1CC0D153" w14:textId="4A5842C2" w:rsidR="00C047E1" w:rsidRPr="009F75AE" w:rsidRDefault="00C047E1" w:rsidP="008C2D3C">
      <w:pPr>
        <w:pStyle w:val="Odstavecseseznamem"/>
        <w:numPr>
          <w:ilvl w:val="0"/>
          <w:numId w:val="41"/>
        </w:numPr>
        <w:jc w:val="both"/>
      </w:pPr>
      <w:r w:rsidRPr="009F75AE">
        <w:t>služby správy Díla – vykonávání pravidelných a proak</w:t>
      </w:r>
      <w:bookmarkStart w:id="2" w:name="_GoBack"/>
      <w:bookmarkEnd w:id="2"/>
      <w:r w:rsidRPr="009F75AE">
        <w:t>tivních činností;</w:t>
      </w:r>
    </w:p>
    <w:p w14:paraId="6407F7B9" w14:textId="60C78F7A" w:rsidR="00A52D40" w:rsidRPr="009F75AE" w:rsidRDefault="009E17DD" w:rsidP="008C2D3C">
      <w:pPr>
        <w:pStyle w:val="Odstavecseseznamem"/>
        <w:numPr>
          <w:ilvl w:val="0"/>
          <w:numId w:val="41"/>
        </w:numPr>
        <w:jc w:val="both"/>
      </w:pPr>
      <w:r w:rsidRPr="009F75AE">
        <w:t>služby technické podpory</w:t>
      </w:r>
      <w:r w:rsidR="00B6635E" w:rsidRPr="009F75AE">
        <w:t xml:space="preserve"> </w:t>
      </w:r>
      <w:r w:rsidR="00C047E1" w:rsidRPr="009F75AE">
        <w:t>–</w:t>
      </w:r>
      <w:r w:rsidR="00B6635E" w:rsidRPr="009F75AE">
        <w:t xml:space="preserve"> </w:t>
      </w:r>
      <w:r w:rsidR="00C047E1" w:rsidRPr="009F75AE">
        <w:t xml:space="preserve">analýza a </w:t>
      </w:r>
      <w:r w:rsidR="00B6635E" w:rsidRPr="009F75AE">
        <w:t>řešení provozních incidentů</w:t>
      </w:r>
      <w:r w:rsidR="00E36E12" w:rsidRPr="009F75AE">
        <w:t xml:space="preserve"> v souladu s</w:t>
      </w:r>
      <w:r w:rsidR="00F84B03" w:rsidRPr="009F75AE">
        <w:t>e</w:t>
      </w:r>
      <w:r w:rsidR="00E36E12" w:rsidRPr="009F75AE">
        <w:t> SLA parametry</w:t>
      </w:r>
      <w:r w:rsidR="00B6635E" w:rsidRPr="009F75AE">
        <w:t xml:space="preserve">, </w:t>
      </w:r>
      <w:r w:rsidR="00C047E1" w:rsidRPr="009F75AE">
        <w:t>analýza a řešení problémů a</w:t>
      </w:r>
      <w:r w:rsidR="00B6635E" w:rsidRPr="009F75AE">
        <w:t xml:space="preserve"> rizik, </w:t>
      </w:r>
      <w:r w:rsidR="00C047E1" w:rsidRPr="009F75AE">
        <w:t xml:space="preserve">řešení </w:t>
      </w:r>
      <w:r w:rsidR="00B6635E" w:rsidRPr="009F75AE">
        <w:t>provozních požadavků Objednatele</w:t>
      </w:r>
      <w:r w:rsidR="00E36E12" w:rsidRPr="009F75AE">
        <w:t xml:space="preserve">, poskytování součinností pro </w:t>
      </w:r>
      <w:r w:rsidR="00C047E1" w:rsidRPr="009F75AE">
        <w:t xml:space="preserve">provozní </w:t>
      </w:r>
      <w:r w:rsidR="00E36E12" w:rsidRPr="009F75AE">
        <w:t xml:space="preserve">činnosti </w:t>
      </w:r>
      <w:r w:rsidR="00C047E1" w:rsidRPr="009F75AE">
        <w:t>Objednatele</w:t>
      </w:r>
      <w:r w:rsidR="00D87AC9" w:rsidRPr="009F75AE">
        <w:t>, zajištění školení při změnách Díla</w:t>
      </w:r>
      <w:r w:rsidR="00C047E1" w:rsidRPr="009F75AE">
        <w:t>;</w:t>
      </w:r>
    </w:p>
    <w:p w14:paraId="26D774F4" w14:textId="2A9C8811" w:rsidR="00D87AC9" w:rsidRPr="009F75AE" w:rsidRDefault="00D87AC9" w:rsidP="008C2D3C">
      <w:pPr>
        <w:pStyle w:val="Odstavecseseznamem"/>
        <w:numPr>
          <w:ilvl w:val="0"/>
          <w:numId w:val="41"/>
        </w:numPr>
        <w:jc w:val="both"/>
      </w:pPr>
      <w:r w:rsidRPr="009F75AE">
        <w:t xml:space="preserve">řízení </w:t>
      </w:r>
      <w:r w:rsidR="0054554E" w:rsidRPr="009F75AE">
        <w:t>provozních procesů</w:t>
      </w:r>
      <w:r w:rsidRPr="009F75AE">
        <w:t xml:space="preserve"> ve spolupráci s Objednatelem;</w:t>
      </w:r>
    </w:p>
    <w:p w14:paraId="0F0B7DC0" w14:textId="7CADD49A" w:rsidR="00D87AC9" w:rsidRPr="009F75AE" w:rsidRDefault="00D87AC9" w:rsidP="009E301A">
      <w:pPr>
        <w:pStyle w:val="Zkladntext"/>
      </w:pPr>
      <w:r w:rsidRPr="009F75AE">
        <w:t xml:space="preserve"> na základě </w:t>
      </w:r>
      <w:r w:rsidR="00257C96" w:rsidRPr="009F75AE">
        <w:t xml:space="preserve">definic, </w:t>
      </w:r>
      <w:r w:rsidRPr="009F75AE">
        <w:t>pravidel a procesů popsaných v této příloze Smlouvy.</w:t>
      </w:r>
    </w:p>
    <w:p w14:paraId="4A686776" w14:textId="51186382" w:rsidR="002F4A1A" w:rsidRPr="009F75AE" w:rsidRDefault="00383C97" w:rsidP="00383C97">
      <w:pPr>
        <w:pStyle w:val="Zkladntext"/>
      </w:pPr>
      <w:r w:rsidRPr="009F75AE">
        <w:t xml:space="preserve">Servisní služby bude Dodavatel </w:t>
      </w:r>
      <w:r w:rsidR="000A3978" w:rsidRPr="009F75AE">
        <w:t xml:space="preserve">poskytovat </w:t>
      </w:r>
      <w:r w:rsidRPr="009F75AE">
        <w:t>ve spolupráci s Objednatelem, který bude své provozní role a odpovědnosti zajišťovat prostřednictvím Odboru 34 MF (Správce AISG), Odboru 59 MF (Provozovatel AISG), resortního dodavatele služeb infrastruktury a provozu Státní pokladny Centra sdílených služeb, s. p. (dále jen „SPCSS“</w:t>
      </w:r>
      <w:r w:rsidR="00B12A38" w:rsidRPr="009F75AE">
        <w:t xml:space="preserve">). Objednatel prostřednictvím SPCSS </w:t>
      </w:r>
      <w:r w:rsidRPr="009F75AE">
        <w:t>zaji</w:t>
      </w:r>
      <w:r w:rsidR="00B12A38" w:rsidRPr="009F75AE">
        <w:t xml:space="preserve">stí služby údržby, správy a technické podpory </w:t>
      </w:r>
      <w:r w:rsidR="00246C37" w:rsidRPr="009F75AE">
        <w:t>Technické</w:t>
      </w:r>
      <w:r w:rsidRPr="009F75AE">
        <w:t xml:space="preserve"> infrastruktury, včetně služeb zálohování, provozního monitoringu, bezpečnostního monitoringu, správy operačních systémů a databází a služby ServiceDesk). </w:t>
      </w:r>
    </w:p>
    <w:p w14:paraId="06532225" w14:textId="397CA7F8" w:rsidR="002F4A1A" w:rsidRPr="009F75AE" w:rsidRDefault="00383C97" w:rsidP="002F4A1A">
      <w:pPr>
        <w:jc w:val="both"/>
      </w:pPr>
      <w:r w:rsidRPr="009F75AE">
        <w:t>Rozdělení provozních odpovědností odpovídá rozdělení odpovědností při dodávce a implementaci systému popsaných v </w:t>
      </w:r>
      <w:r w:rsidR="00AB5D14">
        <w:t>P</w:t>
      </w:r>
      <w:r w:rsidR="00AB5D14" w:rsidRPr="009F75AE">
        <w:t xml:space="preserve">říloze </w:t>
      </w:r>
      <w:r w:rsidRPr="009F75AE">
        <w:t>č. 1</w:t>
      </w:r>
      <w:r w:rsidR="006563A7" w:rsidRPr="009F75AE">
        <w:t xml:space="preserve"> Smlouvy</w:t>
      </w:r>
      <w:r w:rsidRPr="009F75AE">
        <w:t xml:space="preserve"> a </w:t>
      </w:r>
      <w:r w:rsidR="00AB5D14">
        <w:t>P</w:t>
      </w:r>
      <w:r w:rsidR="00AB5D14" w:rsidRPr="009F75AE">
        <w:t xml:space="preserve">říloze </w:t>
      </w:r>
      <w:r w:rsidRPr="009F75AE">
        <w:t>č. 4</w:t>
      </w:r>
      <w:r w:rsidR="006563A7" w:rsidRPr="009F75AE">
        <w:t xml:space="preserve"> Smlouvy</w:t>
      </w:r>
      <w:r w:rsidRPr="009F75AE">
        <w:t>, a je dále upřesněno v této příloze</w:t>
      </w:r>
      <w:r w:rsidR="006563A7" w:rsidRPr="009F75AE">
        <w:t xml:space="preserve"> Smlouvy</w:t>
      </w:r>
      <w:r w:rsidRPr="009F75AE">
        <w:t xml:space="preserve">. </w:t>
      </w:r>
      <w:r w:rsidR="002F4A1A" w:rsidRPr="009F75AE">
        <w:t>V této příloze Smlouvy jsou použity termíny def</w:t>
      </w:r>
      <w:r w:rsidR="005D555C" w:rsidRPr="009F75AE">
        <w:t>inované v </w:t>
      </w:r>
      <w:r w:rsidR="00AB5D14">
        <w:t>P</w:t>
      </w:r>
      <w:r w:rsidR="00AB5D14" w:rsidRPr="009F75AE">
        <w:t xml:space="preserve">říloze </w:t>
      </w:r>
      <w:r w:rsidR="005D555C" w:rsidRPr="009F75AE">
        <w:t>č. 1 Smlouvy:</w:t>
      </w:r>
      <w:r w:rsidR="002F4A1A" w:rsidRPr="009F75AE">
        <w:t xml:space="preserve"> „Technická infrastruktura“ (není součástí Díla), „SW produkty“ a „Aplikace“ (jsou součástí Díla) a</w:t>
      </w:r>
      <w:r w:rsidR="009F75AE">
        <w:t xml:space="preserve"> </w:t>
      </w:r>
      <w:r w:rsidR="002F4A1A" w:rsidRPr="009F75AE">
        <w:t xml:space="preserve">„Data“ (data Aplikace a SW produktů). Aplikace, SW produkty a Data </w:t>
      </w:r>
      <w:r w:rsidR="00A83BD9" w:rsidRPr="009F75AE">
        <w:t xml:space="preserve">jsou </w:t>
      </w:r>
      <w:r w:rsidR="002F4A1A" w:rsidRPr="009F75AE">
        <w:t>souhrnně označ</w:t>
      </w:r>
      <w:r w:rsidR="00A83BD9" w:rsidRPr="009F75AE">
        <w:t>ována</w:t>
      </w:r>
      <w:r w:rsidR="002F4A1A" w:rsidRPr="009F75AE">
        <w:t xml:space="preserve"> jako „aplikační komponenty“ nebo „aplikační úroveň“, jejich správ</w:t>
      </w:r>
      <w:r w:rsidR="00A83BD9" w:rsidRPr="009F75AE">
        <w:t>a</w:t>
      </w:r>
      <w:r w:rsidR="002F4A1A" w:rsidRPr="009F75AE">
        <w:t xml:space="preserve"> z pohledu provozu pak jako „aplikační správ</w:t>
      </w:r>
      <w:r w:rsidR="00A83BD9" w:rsidRPr="009F75AE">
        <w:t>a</w:t>
      </w:r>
      <w:r w:rsidR="002F4A1A" w:rsidRPr="009F75AE">
        <w:t>“.</w:t>
      </w:r>
    </w:p>
    <w:p w14:paraId="4CBDFC07" w14:textId="4E0D0794" w:rsidR="00DD52A6" w:rsidRPr="009F75AE" w:rsidRDefault="00DD52A6" w:rsidP="00DD52A6">
      <w:pPr>
        <w:pStyle w:val="Nadpis2"/>
      </w:pPr>
      <w:bookmarkStart w:id="3" w:name="_Toc446077233"/>
      <w:bookmarkStart w:id="4" w:name="_Toc510348659"/>
      <w:r w:rsidRPr="009F75AE">
        <w:t>Řízení provozu</w:t>
      </w:r>
      <w:bookmarkEnd w:id="3"/>
      <w:bookmarkEnd w:id="4"/>
    </w:p>
    <w:p w14:paraId="4655E413" w14:textId="77777777" w:rsidR="00F7355B" w:rsidRPr="009F75AE" w:rsidRDefault="00F7355B" w:rsidP="005D3F9C">
      <w:pPr>
        <w:pStyle w:val="Nadpis3"/>
      </w:pPr>
      <w:bookmarkStart w:id="5" w:name="_Toc510348660"/>
      <w:r w:rsidRPr="009F75AE">
        <w:t>Organizační struktura a procesy</w:t>
      </w:r>
      <w:bookmarkEnd w:id="5"/>
    </w:p>
    <w:p w14:paraId="4BD4EF25" w14:textId="298534B1" w:rsidR="00D22AB8" w:rsidRPr="009F75AE" w:rsidRDefault="008B1D83" w:rsidP="008B1D83">
      <w:pPr>
        <w:pStyle w:val="Zkladntext"/>
      </w:pPr>
      <w:r w:rsidRPr="009F75AE">
        <w:t xml:space="preserve">Řízení provozu AISG a Servisních služeb Dodavatele bude probíhat na základě </w:t>
      </w:r>
      <w:r w:rsidR="00F830CE" w:rsidRPr="009F75AE">
        <w:t>organizační</w:t>
      </w:r>
      <w:r w:rsidRPr="009F75AE">
        <w:t xml:space="preserve"> struktury a projektových postupů popsaných v </w:t>
      </w:r>
      <w:r w:rsidR="00AB5D14">
        <w:t>P</w:t>
      </w:r>
      <w:r w:rsidR="00AB5D14" w:rsidRPr="009F75AE">
        <w:t xml:space="preserve">říloze </w:t>
      </w:r>
      <w:r w:rsidRPr="009F75AE">
        <w:t xml:space="preserve">č. </w:t>
      </w:r>
      <w:r w:rsidR="00AF1BCC" w:rsidRPr="009F75AE">
        <w:t>4 Smlouvy</w:t>
      </w:r>
      <w:r w:rsidRPr="009F75AE">
        <w:t xml:space="preserve">, zjednodušených a upravených pro potřeby provozu a schválených </w:t>
      </w:r>
      <w:r w:rsidR="00AF1BCC" w:rsidRPr="009F75AE">
        <w:t xml:space="preserve">Objednatelem i Dodavatelem </w:t>
      </w:r>
      <w:r w:rsidRPr="009F75AE">
        <w:t>v Řídící dokumentaci</w:t>
      </w:r>
      <w:r w:rsidR="00F7355B" w:rsidRPr="009F75AE">
        <w:t xml:space="preserve"> provozu</w:t>
      </w:r>
      <w:r w:rsidRPr="009F75AE">
        <w:t xml:space="preserve">. </w:t>
      </w:r>
      <w:r w:rsidR="00D22AB8" w:rsidRPr="009F75AE">
        <w:t xml:space="preserve">V průběhu implementace Etapy 2 a souběžného poskytování Servisních služeb pro výstupy Etapy 1B bude organizační struktura realizace Díla a provozu sdílená. </w:t>
      </w:r>
    </w:p>
    <w:p w14:paraId="69634825" w14:textId="76432D5C" w:rsidR="008B1D83" w:rsidRPr="009F75AE" w:rsidRDefault="008B1D83" w:rsidP="008B1D83">
      <w:pPr>
        <w:pStyle w:val="Zkladntext"/>
      </w:pPr>
      <w:r w:rsidRPr="009F75AE">
        <w:t xml:space="preserve">Řízení provozu a poskytování Servisních služeb bude probíhat v souladu s ČSN ISO/IEC 20000. Detailní pravidla řízení provozu, včetně </w:t>
      </w:r>
      <w:r w:rsidR="00F830CE" w:rsidRPr="009F75AE">
        <w:t xml:space="preserve">detailního </w:t>
      </w:r>
      <w:r w:rsidRPr="009F75AE">
        <w:t>popisu provozních procesů budou zpracován</w:t>
      </w:r>
      <w:r w:rsidR="00F830CE" w:rsidRPr="009F75AE">
        <w:t>y</w:t>
      </w:r>
      <w:r w:rsidRPr="009F75AE">
        <w:t xml:space="preserve"> ve spolupráci Dodavatele a Objednatele v </w:t>
      </w:r>
      <w:r w:rsidR="00556511" w:rsidRPr="009F75AE">
        <w:t>p</w:t>
      </w:r>
      <w:r w:rsidRPr="009F75AE">
        <w:t>rovozní dokumentaci</w:t>
      </w:r>
      <w:r w:rsidR="005D555C" w:rsidRPr="009F75AE">
        <w:t xml:space="preserve"> (viz kapitolu 4.4 </w:t>
      </w:r>
      <w:r w:rsidR="00AB5D14">
        <w:t>P</w:t>
      </w:r>
      <w:r w:rsidR="00AB5D14" w:rsidRPr="009F75AE">
        <w:t xml:space="preserve">řílohy </w:t>
      </w:r>
      <w:r w:rsidR="005D555C" w:rsidRPr="009F75AE">
        <w:t>č. 4 Smlouvy)</w:t>
      </w:r>
      <w:r w:rsidRPr="009F75AE">
        <w:t xml:space="preserve"> jako součást </w:t>
      </w:r>
      <w:r w:rsidR="004D5921" w:rsidRPr="009F75AE">
        <w:t>Plnění</w:t>
      </w:r>
      <w:r w:rsidRPr="009F75AE">
        <w:t xml:space="preserve">. Provozní dokumentace bude zpracována na základě požadavků a informací uvedených ve Smlouvě </w:t>
      </w:r>
      <w:r w:rsidR="00AF1BCC" w:rsidRPr="009F75AE">
        <w:t xml:space="preserve">a jejích přílohách, </w:t>
      </w:r>
      <w:r w:rsidRPr="009F75AE">
        <w:t xml:space="preserve">v souladu s požadovanými provozními a bezpečnostními normami (zejména </w:t>
      </w:r>
      <w:r w:rsidR="002F36BB" w:rsidRPr="009F75AE">
        <w:t xml:space="preserve">ČSN </w:t>
      </w:r>
      <w:r w:rsidRPr="009F75AE">
        <w:t>ISO</w:t>
      </w:r>
      <w:r w:rsidR="002F36BB" w:rsidRPr="009F75AE">
        <w:t>/IEC</w:t>
      </w:r>
      <w:r w:rsidRPr="009F75AE">
        <w:t xml:space="preserve"> 20000 a </w:t>
      </w:r>
      <w:r w:rsidR="002F36BB" w:rsidRPr="009F75AE">
        <w:t xml:space="preserve">ČSN </w:t>
      </w:r>
      <w:r w:rsidRPr="009F75AE">
        <w:t>ISO</w:t>
      </w:r>
      <w:r w:rsidR="002F36BB" w:rsidRPr="009F75AE">
        <w:t>/IEC</w:t>
      </w:r>
      <w:r w:rsidRPr="009F75AE">
        <w:t xml:space="preserve"> 27000), v souladu s klíčovými </w:t>
      </w:r>
      <w:r w:rsidR="00AF1BCC" w:rsidRPr="009F75AE">
        <w:t xml:space="preserve">požadavky a </w:t>
      </w:r>
      <w:r w:rsidRPr="009F75AE">
        <w:t>parametry provozních procesů uvedenými v této příloze Smlouvy a na základě konkrétního technického řešení AISG navrženého Dodavatelem.</w:t>
      </w:r>
    </w:p>
    <w:p w14:paraId="225E0FB4" w14:textId="7131E286" w:rsidR="00005D26" w:rsidRPr="009F75AE" w:rsidRDefault="00005D26" w:rsidP="008B1D83">
      <w:pPr>
        <w:pStyle w:val="Zkladntext"/>
      </w:pPr>
      <w:r w:rsidRPr="009F75AE">
        <w:t>Popis jednotlivých provozních procesů v této příloze Smlouvy neslouží k vymeze</w:t>
      </w:r>
      <w:r w:rsidR="00834986" w:rsidRPr="009F75AE">
        <w:t>ní odpovědnosti Dodavatele a definici rozsahu činností v ceně Plnění, ale</w:t>
      </w:r>
      <w:r w:rsidRPr="009F75AE">
        <w:t xml:space="preserve"> je primárně koncipován jako jednotný popis provozních procesů </w:t>
      </w:r>
      <w:r w:rsidRPr="009F75AE">
        <w:lastRenderedPageBreak/>
        <w:t xml:space="preserve">systému jako celku, vykonávaných ve spolupráci Dodavatele a Objednatele. Vymezení odpovědnosti </w:t>
      </w:r>
      <w:r w:rsidR="00553967" w:rsidRPr="009F75AE">
        <w:t>a ur</w:t>
      </w:r>
      <w:r w:rsidR="00834986" w:rsidRPr="009F75AE">
        <w:t xml:space="preserve">čení rozsahu činností v ceně </w:t>
      </w:r>
      <w:r w:rsidR="00AB5D14">
        <w:t>P</w:t>
      </w:r>
      <w:r w:rsidR="00AB5D14" w:rsidRPr="009F75AE">
        <w:t xml:space="preserve">lnění </w:t>
      </w:r>
      <w:r w:rsidR="00834986" w:rsidRPr="009F75AE">
        <w:t xml:space="preserve">je </w:t>
      </w:r>
      <w:r w:rsidR="00AB5D14" w:rsidRPr="009F75AE">
        <w:t>po</w:t>
      </w:r>
      <w:r w:rsidR="00AB5D14">
        <w:t>ps</w:t>
      </w:r>
      <w:r w:rsidR="00AB5D14" w:rsidRPr="009F75AE">
        <w:t xml:space="preserve">áno </w:t>
      </w:r>
      <w:r w:rsidR="00834986" w:rsidRPr="009F75AE">
        <w:t xml:space="preserve">v kapitole 1.2 této přílohy Smlouvy. </w:t>
      </w:r>
    </w:p>
    <w:p w14:paraId="4E702A09" w14:textId="77777777" w:rsidR="00F7355B" w:rsidRPr="009F75AE" w:rsidRDefault="0007140C" w:rsidP="005D3F9C">
      <w:pPr>
        <w:pStyle w:val="Nadpis3"/>
      </w:pPr>
      <w:bookmarkStart w:id="6" w:name="_Toc510348661"/>
      <w:r w:rsidRPr="009F75AE">
        <w:t>Řídící dokumentace provozu</w:t>
      </w:r>
      <w:bookmarkEnd w:id="6"/>
      <w:r w:rsidRPr="009F75AE">
        <w:t xml:space="preserve"> </w:t>
      </w:r>
    </w:p>
    <w:p w14:paraId="69C09103" w14:textId="7CE13277" w:rsidR="00F7355B" w:rsidRPr="009F75AE" w:rsidRDefault="00F7355B" w:rsidP="005D3F9C">
      <w:pPr>
        <w:pStyle w:val="Zkladntext"/>
      </w:pPr>
      <w:r w:rsidRPr="009F75AE">
        <w:t xml:space="preserve">Řídící dokumentace provozu </w:t>
      </w:r>
      <w:r w:rsidR="0007140C" w:rsidRPr="009F75AE">
        <w:t>(</w:t>
      </w:r>
      <w:r w:rsidRPr="009F75AE">
        <w:t xml:space="preserve">pro </w:t>
      </w:r>
      <w:r w:rsidR="0007140C" w:rsidRPr="009F75AE">
        <w:t xml:space="preserve">Servisní služby a Služby rozvoje) bude vytvořena MF a SPCSS ve spolupráci s Dodavatelem na základě obsahu </w:t>
      </w:r>
      <w:r w:rsidR="00217919" w:rsidRPr="009F75AE">
        <w:t>této přílohy Smlouvy</w:t>
      </w:r>
      <w:r w:rsidR="00000EE0" w:rsidRPr="009F75AE">
        <w:t xml:space="preserve">, </w:t>
      </w:r>
      <w:r w:rsidR="0007140C" w:rsidRPr="009F75AE">
        <w:t>obecně platných norem řízení provozu IT služeb (ITIL, ČSN</w:t>
      </w:r>
      <w:r w:rsidR="00472F25" w:rsidRPr="009F75AE">
        <w:t xml:space="preserve"> </w:t>
      </w:r>
      <w:r w:rsidR="0007140C" w:rsidRPr="009F75AE">
        <w:t>ISO</w:t>
      </w:r>
      <w:r w:rsidR="00472F25" w:rsidRPr="009F75AE">
        <w:t>/IEC</w:t>
      </w:r>
      <w:r w:rsidR="0007140C" w:rsidRPr="009F75AE">
        <w:t xml:space="preserve"> 20000)</w:t>
      </w:r>
      <w:r w:rsidR="00000EE0" w:rsidRPr="009F75AE">
        <w:t xml:space="preserve"> a Řídící dokumentace projektu</w:t>
      </w:r>
      <w:r w:rsidR="0007140C" w:rsidRPr="009F75AE">
        <w:t xml:space="preserve"> před ukončením Etapy 1B a zahájením poskytování Servisních služeb. </w:t>
      </w:r>
      <w:bookmarkStart w:id="7" w:name="_Toc440994571"/>
      <w:bookmarkStart w:id="8" w:name="_Toc440994596"/>
      <w:bookmarkStart w:id="9" w:name="_Toc440996505"/>
      <w:bookmarkStart w:id="10" w:name="_Toc440994572"/>
      <w:bookmarkStart w:id="11" w:name="_Toc440994597"/>
      <w:bookmarkStart w:id="12" w:name="_Toc440996506"/>
      <w:bookmarkStart w:id="13" w:name="_Toc440994573"/>
      <w:bookmarkStart w:id="14" w:name="_Toc440994598"/>
      <w:bookmarkStart w:id="15" w:name="_Toc44099650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30B4084" w14:textId="34768193" w:rsidR="00F7355B" w:rsidRPr="009F75AE" w:rsidRDefault="00F7355B" w:rsidP="005D3F9C">
      <w:pPr>
        <w:pStyle w:val="Zkladntext"/>
      </w:pPr>
      <w:r w:rsidRPr="009F75AE">
        <w:t>Řídící dokumentace pro</w:t>
      </w:r>
      <w:r w:rsidR="00556511" w:rsidRPr="009F75AE">
        <w:t>vozu</w:t>
      </w:r>
      <w:r w:rsidRPr="009F75AE">
        <w:t xml:space="preserve"> bude obsahovat detailní pravidla řízení provozu v následující struktuře:</w:t>
      </w:r>
    </w:p>
    <w:p w14:paraId="51B6E670" w14:textId="51A7EB29" w:rsidR="00F7355B" w:rsidRPr="009F75AE" w:rsidRDefault="00F7355B" w:rsidP="00F7355B">
      <w:pPr>
        <w:pStyle w:val="Odstavecseseznamem"/>
        <w:numPr>
          <w:ilvl w:val="0"/>
          <w:numId w:val="23"/>
        </w:numPr>
        <w:spacing w:after="200" w:line="276" w:lineRule="auto"/>
        <w:jc w:val="both"/>
      </w:pPr>
      <w:r w:rsidRPr="009F75AE">
        <w:t>Procesy řízení provozu</w:t>
      </w:r>
    </w:p>
    <w:p w14:paraId="39F2A936" w14:textId="77777777" w:rsidR="00F7355B" w:rsidRPr="009F75AE" w:rsidRDefault="00F7355B" w:rsidP="00F7355B">
      <w:pPr>
        <w:pStyle w:val="Odstavecseseznamem"/>
        <w:numPr>
          <w:ilvl w:val="0"/>
          <w:numId w:val="23"/>
        </w:numPr>
        <w:spacing w:after="200" w:line="276" w:lineRule="auto"/>
        <w:jc w:val="both"/>
      </w:pPr>
      <w:r w:rsidRPr="009F75AE">
        <w:t>Metodiku řízení kvality, rizik a změn</w:t>
      </w:r>
    </w:p>
    <w:p w14:paraId="2D525B2E" w14:textId="21CC3268" w:rsidR="00F7355B" w:rsidRPr="009F75AE" w:rsidRDefault="00F7355B" w:rsidP="00F7355B">
      <w:pPr>
        <w:pStyle w:val="Odstavecseseznamem"/>
        <w:numPr>
          <w:ilvl w:val="0"/>
          <w:numId w:val="23"/>
        </w:numPr>
        <w:spacing w:after="200" w:line="276" w:lineRule="auto"/>
        <w:jc w:val="both"/>
      </w:pPr>
      <w:r w:rsidRPr="009F75AE">
        <w:t xml:space="preserve">Komunikační plán a </w:t>
      </w:r>
      <w:r w:rsidR="00BE154D">
        <w:t>provozní</w:t>
      </w:r>
      <w:r w:rsidR="00BE154D" w:rsidRPr="009F75AE">
        <w:t xml:space="preserve"> </w:t>
      </w:r>
      <w:r w:rsidRPr="009F75AE">
        <w:t>postupy (pravidla komunikace, reporting)</w:t>
      </w:r>
    </w:p>
    <w:p w14:paraId="4B80B007" w14:textId="77777777" w:rsidR="00F7355B" w:rsidRPr="009F75AE" w:rsidRDefault="00F7355B" w:rsidP="00F7355B">
      <w:pPr>
        <w:pStyle w:val="Odstavecseseznamem"/>
        <w:numPr>
          <w:ilvl w:val="0"/>
          <w:numId w:val="23"/>
        </w:numPr>
        <w:spacing w:after="200" w:line="276" w:lineRule="auto"/>
        <w:jc w:val="both"/>
      </w:pPr>
      <w:r w:rsidRPr="009F75AE">
        <w:t>Šablony a formáty dokumentů a výstupů</w:t>
      </w:r>
    </w:p>
    <w:p w14:paraId="22EDDEDA" w14:textId="77777777" w:rsidR="00F7355B" w:rsidRPr="009F75AE" w:rsidRDefault="00F7355B" w:rsidP="00F7355B">
      <w:pPr>
        <w:pStyle w:val="Odstavecseseznamem"/>
        <w:numPr>
          <w:ilvl w:val="0"/>
          <w:numId w:val="23"/>
        </w:numPr>
        <w:spacing w:after="200" w:line="276" w:lineRule="auto"/>
        <w:jc w:val="both"/>
      </w:pPr>
      <w:r w:rsidRPr="009F75AE">
        <w:t>Nominace členů organizačních a realizačních týmů</w:t>
      </w:r>
    </w:p>
    <w:p w14:paraId="089808E1" w14:textId="31B67FD9" w:rsidR="00F7355B" w:rsidRPr="009F75AE" w:rsidRDefault="00F7355B" w:rsidP="00F7355B">
      <w:pPr>
        <w:jc w:val="both"/>
      </w:pPr>
      <w:r w:rsidRPr="009F75AE">
        <w:t xml:space="preserve">Změny Řídící dokumentace provozu mohou být iniciovány ŘKO, manažerem </w:t>
      </w:r>
      <w:r w:rsidR="00BE154D">
        <w:t xml:space="preserve">provozu </w:t>
      </w:r>
      <w:r w:rsidRPr="009F75AE">
        <w:t>MF, Projektovým manažerem Dodavatele nebo VP. Procesní postup změn Řídící dokumentace provozu bude obsažen v Řídící dokumentaci provozu, přičemž platí, že změny Řídící dokumentace provozu v průběhu provozu schvaluje ŘKO.</w:t>
      </w:r>
    </w:p>
    <w:p w14:paraId="4B9953BD" w14:textId="72B23037" w:rsidR="00F7355B" w:rsidRPr="009F75AE" w:rsidRDefault="00F7355B" w:rsidP="00F7355B">
      <w:pPr>
        <w:jc w:val="both"/>
      </w:pPr>
      <w:r w:rsidRPr="009F75AE">
        <w:t xml:space="preserve">Na úrovni Vedení Projektu bude dále podle pravidel daných Řídící dokumentací provozu spravována sada řídících dokumentů provozu, </w:t>
      </w:r>
      <w:proofErr w:type="spellStart"/>
      <w:r w:rsidRPr="009F75AE">
        <w:t>m.j</w:t>
      </w:r>
      <w:proofErr w:type="spellEnd"/>
      <w:r w:rsidRPr="009F75AE">
        <w:t>.</w:t>
      </w:r>
    </w:p>
    <w:p w14:paraId="109C634C" w14:textId="77777777" w:rsidR="00F7355B" w:rsidRPr="009F75AE" w:rsidRDefault="00F7355B" w:rsidP="00F7355B">
      <w:pPr>
        <w:pStyle w:val="Odstavecseseznamem"/>
        <w:numPr>
          <w:ilvl w:val="0"/>
          <w:numId w:val="40"/>
        </w:numPr>
        <w:jc w:val="both"/>
      </w:pPr>
      <w:r w:rsidRPr="009F75AE">
        <w:t>Registr úkolů a součinností</w:t>
      </w:r>
    </w:p>
    <w:p w14:paraId="5A9A0518" w14:textId="77777777" w:rsidR="00F7355B" w:rsidRPr="009F75AE" w:rsidRDefault="00F7355B" w:rsidP="00F7355B">
      <w:pPr>
        <w:pStyle w:val="Odstavecseseznamem"/>
        <w:numPr>
          <w:ilvl w:val="0"/>
          <w:numId w:val="40"/>
        </w:numPr>
        <w:jc w:val="both"/>
      </w:pPr>
      <w:r w:rsidRPr="009F75AE">
        <w:t>Registr otevřených otázek, problémů a změn</w:t>
      </w:r>
    </w:p>
    <w:p w14:paraId="61C2432E" w14:textId="77777777" w:rsidR="00F7355B" w:rsidRPr="009F75AE" w:rsidRDefault="00F7355B" w:rsidP="00F7355B">
      <w:pPr>
        <w:pStyle w:val="Odstavecseseznamem"/>
        <w:numPr>
          <w:ilvl w:val="0"/>
          <w:numId w:val="40"/>
        </w:numPr>
        <w:jc w:val="both"/>
      </w:pPr>
      <w:r w:rsidRPr="009F75AE">
        <w:t>Registr rizik</w:t>
      </w:r>
    </w:p>
    <w:p w14:paraId="74983744" w14:textId="77777777" w:rsidR="00F7355B" w:rsidRPr="009F75AE" w:rsidRDefault="00F7355B" w:rsidP="00F7355B">
      <w:pPr>
        <w:pStyle w:val="Odstavecseseznamem"/>
        <w:numPr>
          <w:ilvl w:val="0"/>
          <w:numId w:val="40"/>
        </w:numPr>
        <w:jc w:val="both"/>
      </w:pPr>
      <w:r w:rsidRPr="009F75AE">
        <w:t>Zprávy a reporty</w:t>
      </w:r>
    </w:p>
    <w:p w14:paraId="0E8D19B4" w14:textId="77777777" w:rsidR="00F7355B" w:rsidRPr="009F75AE" w:rsidRDefault="00F7355B" w:rsidP="00F7355B">
      <w:pPr>
        <w:pStyle w:val="Odstavecseseznamem"/>
        <w:numPr>
          <w:ilvl w:val="0"/>
          <w:numId w:val="40"/>
        </w:numPr>
        <w:jc w:val="both"/>
      </w:pPr>
      <w:r w:rsidRPr="009F75AE">
        <w:t>Zápisy z jednání</w:t>
      </w:r>
    </w:p>
    <w:p w14:paraId="24CC0F3B" w14:textId="77777777" w:rsidR="00F7355B" w:rsidRPr="009F75AE" w:rsidRDefault="00F7355B" w:rsidP="005D3F9C">
      <w:pPr>
        <w:pStyle w:val="Nadpis3"/>
      </w:pPr>
      <w:bookmarkStart w:id="16" w:name="_Toc510348662"/>
      <w:r w:rsidRPr="009F75AE">
        <w:t>ServiceDesk</w:t>
      </w:r>
      <w:bookmarkEnd w:id="16"/>
    </w:p>
    <w:p w14:paraId="0CA245D2" w14:textId="1A400455" w:rsidR="008B1D83" w:rsidRPr="009F75AE" w:rsidRDefault="0007140C" w:rsidP="008B1D83">
      <w:pPr>
        <w:spacing w:after="0"/>
        <w:jc w:val="both"/>
      </w:pPr>
      <w:r w:rsidRPr="009F75AE">
        <w:t xml:space="preserve">ServiceDesk </w:t>
      </w:r>
      <w:r w:rsidR="008B1D83" w:rsidRPr="009F75AE">
        <w:t xml:space="preserve">je </w:t>
      </w:r>
      <w:r w:rsidRPr="009F75AE">
        <w:t>standar</w:t>
      </w:r>
      <w:r w:rsidR="003D004A" w:rsidRPr="009F75AE">
        <w:t>d</w:t>
      </w:r>
      <w:r w:rsidRPr="009F75AE">
        <w:t xml:space="preserve">ním nástrojem a službou SPCSS pro poskytování podpory a řízení provozních procesů </w:t>
      </w:r>
      <w:r w:rsidR="004D5921" w:rsidRPr="009F75AE">
        <w:t xml:space="preserve">(SD SPCSS) </w:t>
      </w:r>
      <w:r w:rsidRPr="009F75AE">
        <w:t xml:space="preserve">a bude využit pro provoz AISG. ServiceDesk </w:t>
      </w:r>
      <w:r w:rsidR="006E5F11" w:rsidRPr="009F75AE">
        <w:t xml:space="preserve">je </w:t>
      </w:r>
      <w:r w:rsidR="008B1D83" w:rsidRPr="009F75AE">
        <w:t>využíván jako prostředek formalizovaného způsobu komunikace s uživateli. Pro uživatele AISG poskyt</w:t>
      </w:r>
      <w:r w:rsidRPr="009F75AE">
        <w:t>ne</w:t>
      </w:r>
      <w:r w:rsidR="008B1D83" w:rsidRPr="009F75AE">
        <w:t xml:space="preserve"> telefonickou podporu a rozhraní pro elektronické hlášení problémů a požadavků. Služba SD SPCSS zahrnuje nástroj CA </w:t>
      </w:r>
      <w:proofErr w:type="spellStart"/>
      <w:r w:rsidR="008B1D83" w:rsidRPr="009F75AE">
        <w:t>Service</w:t>
      </w:r>
      <w:proofErr w:type="spellEnd"/>
      <w:r w:rsidR="008B1D83" w:rsidRPr="009F75AE">
        <w:t xml:space="preserve"> </w:t>
      </w:r>
      <w:proofErr w:type="spellStart"/>
      <w:r w:rsidR="008B1D83" w:rsidRPr="009F75AE">
        <w:t>Desk</w:t>
      </w:r>
      <w:proofErr w:type="spellEnd"/>
      <w:r w:rsidR="008B1D83" w:rsidRPr="009F75AE">
        <w:t xml:space="preserve"> </w:t>
      </w:r>
      <w:proofErr w:type="spellStart"/>
      <w:r w:rsidR="008B1D83" w:rsidRPr="009F75AE">
        <w:t>Manager</w:t>
      </w:r>
      <w:proofErr w:type="spellEnd"/>
      <w:r w:rsidR="008B1D83" w:rsidRPr="009F75AE">
        <w:t xml:space="preserve"> (aktuálně verze 14.1) a činnosti operátorů ServiceDesku. Provozní doba SD SPCSS odpovídá provozní době systému. Služba SD SPCSS je rozšířením služby ServiceDesk Ministerstva financí.</w:t>
      </w:r>
    </w:p>
    <w:p w14:paraId="485D4D66" w14:textId="77777777" w:rsidR="008B1D83" w:rsidRPr="009F75AE" w:rsidRDefault="008B1D83" w:rsidP="008B1D83">
      <w:pPr>
        <w:spacing w:after="0"/>
        <w:jc w:val="both"/>
      </w:pPr>
    </w:p>
    <w:p w14:paraId="3E6F202A" w14:textId="19443532" w:rsidR="008B1D83" w:rsidRPr="009F75AE" w:rsidRDefault="008B1D83" w:rsidP="008B1D83">
      <w:pPr>
        <w:spacing w:after="0"/>
        <w:jc w:val="both"/>
      </w:pPr>
      <w:r w:rsidRPr="009F75AE">
        <w:t xml:space="preserve">Z pohledu Dodavatele </w:t>
      </w:r>
      <w:r w:rsidR="0007140C" w:rsidRPr="009F75AE">
        <w:t>bude</w:t>
      </w:r>
      <w:r w:rsidRPr="009F75AE">
        <w:t xml:space="preserve"> SD SPCSS dále využíván pro předávání informací o </w:t>
      </w:r>
      <w:r w:rsidR="00561AA0" w:rsidRPr="009F75AE">
        <w:t>incidentech, vadách a požadavcích</w:t>
      </w:r>
      <w:r w:rsidRPr="009F75AE">
        <w:t xml:space="preserve"> a sledování postupu </w:t>
      </w:r>
      <w:r w:rsidR="00561AA0" w:rsidRPr="009F75AE">
        <w:t xml:space="preserve">jejich </w:t>
      </w:r>
      <w:r w:rsidRPr="009F75AE">
        <w:t xml:space="preserve">řešení. Při poskytování </w:t>
      </w:r>
      <w:r w:rsidR="00CB0D78" w:rsidRPr="009F75AE">
        <w:t xml:space="preserve">Servisních služeb </w:t>
      </w:r>
      <w:r w:rsidR="004D5921" w:rsidRPr="009F75AE">
        <w:t xml:space="preserve">je </w:t>
      </w:r>
      <w:r w:rsidRPr="009F75AE">
        <w:t xml:space="preserve">Dodavatel </w:t>
      </w:r>
      <w:r w:rsidR="00FA7EC9" w:rsidRPr="009F75AE">
        <w:t>povin</w:t>
      </w:r>
      <w:r w:rsidR="00CB0D78" w:rsidRPr="009F75AE">
        <w:t xml:space="preserve">en plnit </w:t>
      </w:r>
      <w:r w:rsidRPr="009F75AE">
        <w:t>následující požadavky:</w:t>
      </w:r>
    </w:p>
    <w:p w14:paraId="4831CA7E" w14:textId="119FD354" w:rsidR="008B1D83" w:rsidRPr="009F75AE" w:rsidRDefault="008B1D83" w:rsidP="008B1D83">
      <w:pPr>
        <w:pStyle w:val="Odstavecseseznamem"/>
        <w:numPr>
          <w:ilvl w:val="0"/>
          <w:numId w:val="34"/>
        </w:numPr>
        <w:spacing w:after="0" w:line="276" w:lineRule="auto"/>
        <w:jc w:val="both"/>
      </w:pPr>
      <w:r w:rsidRPr="009F75AE">
        <w:t xml:space="preserve">Řešitelé incidentů a požadavků budou pracovat přímo v prostředí SD SPCSS. </w:t>
      </w:r>
    </w:p>
    <w:p w14:paraId="39321871" w14:textId="1D45B2B3" w:rsidR="008B1D83" w:rsidRPr="009F75AE" w:rsidRDefault="008B1D83" w:rsidP="008B1D83">
      <w:pPr>
        <w:pStyle w:val="Odstavecseseznamem"/>
        <w:numPr>
          <w:ilvl w:val="0"/>
          <w:numId w:val="34"/>
        </w:numPr>
        <w:spacing w:after="0" w:line="276" w:lineRule="auto"/>
        <w:jc w:val="both"/>
      </w:pPr>
      <w:r w:rsidRPr="009F75AE">
        <w:t xml:space="preserve">Dodavatel dále musí zajistit telefonickou podporu pro řešení incidentů a požadavků, která bude využívána pracovníky SD SPCSS a Objednatele k operativnímu informování o incidentech a operativnímu řešení incidentů a požadavků. Provozní doba telefonické podpory odpovídá provozní době systému. </w:t>
      </w:r>
    </w:p>
    <w:p w14:paraId="51E08AA1" w14:textId="04FA96B1" w:rsidR="008B1D83" w:rsidRPr="009F75AE" w:rsidRDefault="008B1D83" w:rsidP="008B1D83">
      <w:pPr>
        <w:pStyle w:val="Odstavecseseznamem"/>
        <w:numPr>
          <w:ilvl w:val="0"/>
          <w:numId w:val="34"/>
        </w:numPr>
        <w:spacing w:after="0" w:line="276" w:lineRule="auto"/>
        <w:jc w:val="both"/>
      </w:pPr>
      <w:r w:rsidRPr="009F75AE">
        <w:t xml:space="preserve">Řešitelé incidentů a požadavků budou </w:t>
      </w:r>
      <w:r w:rsidR="003D004A" w:rsidRPr="009F75AE">
        <w:t xml:space="preserve">pracovat </w:t>
      </w:r>
      <w:r w:rsidRPr="009F75AE">
        <w:t>v souladu s</w:t>
      </w:r>
      <w:r w:rsidR="003D004A" w:rsidRPr="009F75AE">
        <w:t xml:space="preserve"> provozními </w:t>
      </w:r>
      <w:r w:rsidRPr="009F75AE">
        <w:t>procesy</w:t>
      </w:r>
      <w:r w:rsidR="003D004A" w:rsidRPr="009F75AE">
        <w:t xml:space="preserve"> definovanými v provozní dokumentaci</w:t>
      </w:r>
      <w:r w:rsidRPr="009F75AE">
        <w:t xml:space="preserve"> a </w:t>
      </w:r>
      <w:r w:rsidR="003D004A" w:rsidRPr="009F75AE">
        <w:t>s</w:t>
      </w:r>
      <w:r w:rsidRPr="009F75AE">
        <w:t xml:space="preserve"> dokumentac</w:t>
      </w:r>
      <w:r w:rsidR="003D004A" w:rsidRPr="009F75AE">
        <w:t>í</w:t>
      </w:r>
      <w:r w:rsidRPr="009F75AE">
        <w:t xml:space="preserve"> SD SPCSS (bude poskytnuta, včetně zaškolení řešitelů)</w:t>
      </w:r>
      <w:r w:rsidR="0006147E" w:rsidRPr="009F75AE">
        <w:t xml:space="preserve">. Dodavatel je odpovědný za včasný záznam postupu řešení </w:t>
      </w:r>
      <w:r w:rsidR="0019275B" w:rsidRPr="009F75AE">
        <w:t xml:space="preserve">incidentů </w:t>
      </w:r>
      <w:r w:rsidR="000E2316" w:rsidRPr="009F75AE">
        <w:t xml:space="preserve">(v rozsahu jeho odpovědnosti) </w:t>
      </w:r>
      <w:r w:rsidR="0006147E" w:rsidRPr="009F75AE">
        <w:t>v SD SPCSS,</w:t>
      </w:r>
      <w:r w:rsidR="000E2316" w:rsidRPr="009F75AE">
        <w:t xml:space="preserve"> v úrovni detailu dostatečné pro spolupráci ostatních účastníků provozu na jejich řešení a pro zpětný audit příčin incidentů a způsobu řešení. </w:t>
      </w:r>
      <w:r w:rsidR="0006147E" w:rsidRPr="009F75AE">
        <w:t xml:space="preserve"> </w:t>
      </w:r>
    </w:p>
    <w:p w14:paraId="2E332BB0" w14:textId="402132AE" w:rsidR="008B1D83" w:rsidRPr="009F75AE" w:rsidRDefault="008B1D83" w:rsidP="008B1D83">
      <w:pPr>
        <w:pStyle w:val="Odstavecseseznamem"/>
        <w:numPr>
          <w:ilvl w:val="0"/>
          <w:numId w:val="34"/>
        </w:numPr>
        <w:spacing w:after="0" w:line="276" w:lineRule="auto"/>
        <w:jc w:val="both"/>
      </w:pPr>
      <w:r w:rsidRPr="009F75AE">
        <w:t>Plnění smluvních SLA</w:t>
      </w:r>
      <w:r w:rsidR="009749B5" w:rsidRPr="009F75AE">
        <w:t xml:space="preserve"> parametrů</w:t>
      </w:r>
      <w:r w:rsidRPr="009F75AE">
        <w:t xml:space="preserve"> Dodavatele souvisejících s</w:t>
      </w:r>
      <w:r w:rsidR="003D004A" w:rsidRPr="009F75AE">
        <w:t> řešením incidentů</w:t>
      </w:r>
      <w:r w:rsidRPr="009F75AE">
        <w:t xml:space="preserve"> bude vyhodnocováno na základě údajů zaznamenaných v SD SPCSS</w:t>
      </w:r>
      <w:r w:rsidR="009749B5" w:rsidRPr="009F75AE">
        <w:t>.</w:t>
      </w:r>
    </w:p>
    <w:p w14:paraId="7C1FD9AC" w14:textId="77777777" w:rsidR="008B1D83" w:rsidRPr="009F75AE" w:rsidRDefault="008B1D83" w:rsidP="008B1D83">
      <w:pPr>
        <w:spacing w:after="0" w:line="276" w:lineRule="auto"/>
        <w:jc w:val="both"/>
      </w:pPr>
    </w:p>
    <w:p w14:paraId="34B1DB77" w14:textId="25D1A891" w:rsidR="0006147E" w:rsidRPr="009F75AE" w:rsidRDefault="0006147E" w:rsidP="008B1D83">
      <w:pPr>
        <w:spacing w:after="0" w:line="276" w:lineRule="auto"/>
        <w:jc w:val="both"/>
      </w:pPr>
      <w:r w:rsidRPr="009F75AE">
        <w:t xml:space="preserve">Dodavatel bude mít přístup ke všem incidentům a požadavkům evidovaným pro provoz AISG v </w:t>
      </w:r>
      <w:proofErr w:type="spellStart"/>
      <w:r w:rsidRPr="009F75AE">
        <w:t>ServiceDesku</w:t>
      </w:r>
      <w:proofErr w:type="spellEnd"/>
      <w:r w:rsidRPr="009F75AE">
        <w:t xml:space="preserve"> za účelem získání informace o incidentu nebo požadavku. SPCSS dále poskytne Dodavateli reporty ze SD SPCSS </w:t>
      </w:r>
      <w:r w:rsidR="00351972" w:rsidRPr="009F75AE">
        <w:t xml:space="preserve">např. </w:t>
      </w:r>
      <w:r w:rsidRPr="009F75AE">
        <w:t>o počtu inc</w:t>
      </w:r>
      <w:r w:rsidR="00536D41" w:rsidRPr="009F75AE">
        <w:t>i</w:t>
      </w:r>
      <w:r w:rsidRPr="009F75AE">
        <w:t>dentů</w:t>
      </w:r>
      <w:r w:rsidR="00351972" w:rsidRPr="009F75AE">
        <w:t xml:space="preserve"> a</w:t>
      </w:r>
      <w:r w:rsidRPr="009F75AE">
        <w:t xml:space="preserve"> době řešení</w:t>
      </w:r>
      <w:r w:rsidR="00351972" w:rsidRPr="009F75AE">
        <w:t>.</w:t>
      </w:r>
    </w:p>
    <w:p w14:paraId="1A5B333B" w14:textId="77777777" w:rsidR="00351972" w:rsidRPr="009F75AE" w:rsidRDefault="00351972" w:rsidP="008B1D83">
      <w:pPr>
        <w:spacing w:after="0" w:line="276" w:lineRule="auto"/>
        <w:jc w:val="both"/>
      </w:pPr>
    </w:p>
    <w:p w14:paraId="6CEE9A69" w14:textId="7AC362CA" w:rsidR="008B1D83" w:rsidRPr="009F75AE" w:rsidRDefault="008B1D83" w:rsidP="008B1D83">
      <w:pPr>
        <w:spacing w:after="0" w:line="276" w:lineRule="auto"/>
        <w:jc w:val="both"/>
      </w:pPr>
      <w:r w:rsidRPr="009F75AE">
        <w:t>Ve spolupráci Dodavatele a SPCSS je možné provést integraci SD SPCSS a SD Dodavatele. Integrace musí podporovat rozsah informací v SD SPCSS ekvivalentní přímému používání SD SPCSS pro výše uvedené účely. Podporované varianty integrace jsou webové služby a e-mail. Návrh a implementace integrace musí být obsaženy v ceně řešení Dodavatele.</w:t>
      </w:r>
    </w:p>
    <w:p w14:paraId="18A6A2F6" w14:textId="6D1064E7" w:rsidR="008B1D83" w:rsidRPr="009F75AE" w:rsidRDefault="008B1D83" w:rsidP="005B1874">
      <w:pPr>
        <w:pStyle w:val="Nadpis3"/>
      </w:pPr>
      <w:bookmarkStart w:id="17" w:name="_Toc510348663"/>
      <w:r w:rsidRPr="009F75AE">
        <w:t xml:space="preserve">Definice </w:t>
      </w:r>
      <w:r w:rsidR="00561AA0" w:rsidRPr="009F75AE">
        <w:t xml:space="preserve">úrovní </w:t>
      </w:r>
      <w:r w:rsidRPr="009F75AE">
        <w:t>technické podpory</w:t>
      </w:r>
      <w:bookmarkEnd w:id="17"/>
    </w:p>
    <w:p w14:paraId="4BC671BC" w14:textId="77777777" w:rsidR="008B1D83" w:rsidRPr="009F75AE" w:rsidRDefault="008B1D83" w:rsidP="008B1D83">
      <w:pPr>
        <w:pStyle w:val="Titulek"/>
      </w:pPr>
      <w:r w:rsidRPr="009F75AE">
        <w:t>Úroveň L1</w:t>
      </w:r>
    </w:p>
    <w:p w14:paraId="1706263F" w14:textId="550E4CB1" w:rsidR="008B1D83" w:rsidRPr="009F75AE" w:rsidRDefault="008B1D83" w:rsidP="008B1D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První stupeň technické podpory, někdy také nazýván "</w:t>
      </w:r>
      <w:proofErr w:type="spellStart"/>
      <w:r w:rsidRPr="009F75AE">
        <w:rPr>
          <w:rFonts w:cs="Times New Roman"/>
        </w:rPr>
        <w:t>First</w:t>
      </w:r>
      <w:proofErr w:type="spellEnd"/>
      <w:r w:rsidRPr="009F75AE">
        <w:rPr>
          <w:rFonts w:cs="Times New Roman"/>
        </w:rPr>
        <w:t xml:space="preserve"> line" nebo "Front end support". Úkolem této </w:t>
      </w:r>
      <w:r w:rsidR="00744D20" w:rsidRPr="009F75AE">
        <w:rPr>
          <w:rFonts w:cs="Times New Roman"/>
        </w:rPr>
        <w:t xml:space="preserve">úrovně </w:t>
      </w:r>
      <w:r w:rsidRPr="009F75AE">
        <w:rPr>
          <w:rFonts w:cs="Times New Roman"/>
        </w:rPr>
        <w:t xml:space="preserve">podpory je zajistit veškeré informace od </w:t>
      </w:r>
      <w:r w:rsidR="00744D20" w:rsidRPr="009F75AE">
        <w:rPr>
          <w:rFonts w:cs="Times New Roman"/>
        </w:rPr>
        <w:t>koncového uživatele nebo Objednatele</w:t>
      </w:r>
      <w:r w:rsidRPr="009F75AE">
        <w:rPr>
          <w:rFonts w:cs="Times New Roman"/>
        </w:rPr>
        <w:t>, analyzovat incident</w:t>
      </w:r>
      <w:r w:rsidR="00E8316A" w:rsidRPr="009F75AE">
        <w:rPr>
          <w:rFonts w:cs="Times New Roman"/>
        </w:rPr>
        <w:t xml:space="preserve"> nebo požadavek</w:t>
      </w:r>
      <w:r w:rsidRPr="009F75AE">
        <w:rPr>
          <w:rFonts w:cs="Times New Roman"/>
        </w:rPr>
        <w:t xml:space="preserve">, a pokud jsou </w:t>
      </w:r>
      <w:r w:rsidR="00E8316A" w:rsidRPr="009F75AE">
        <w:rPr>
          <w:rFonts w:cs="Times New Roman"/>
        </w:rPr>
        <w:t>znalosti</w:t>
      </w:r>
      <w:r w:rsidRPr="009F75AE">
        <w:rPr>
          <w:rFonts w:cs="Times New Roman"/>
        </w:rPr>
        <w:t xml:space="preserve"> podpory dostačující, vyřešit</w:t>
      </w:r>
      <w:r w:rsidR="00E8316A" w:rsidRPr="009F75AE">
        <w:rPr>
          <w:rFonts w:cs="Times New Roman"/>
        </w:rPr>
        <w:t xml:space="preserve"> ho</w:t>
      </w:r>
      <w:r w:rsidRPr="009F75AE">
        <w:rPr>
          <w:rFonts w:cs="Times New Roman"/>
        </w:rPr>
        <w:t xml:space="preserve">. Pokud řešení incidentu </w:t>
      </w:r>
      <w:r w:rsidR="00E8316A" w:rsidRPr="009F75AE">
        <w:rPr>
          <w:rFonts w:cs="Times New Roman"/>
        </w:rPr>
        <w:t xml:space="preserve">nebo požadavku </w:t>
      </w:r>
      <w:r w:rsidRPr="009F75AE">
        <w:rPr>
          <w:rFonts w:cs="Times New Roman"/>
        </w:rPr>
        <w:t xml:space="preserve">převyšuje </w:t>
      </w:r>
      <w:r w:rsidR="00E8316A" w:rsidRPr="009F75AE">
        <w:rPr>
          <w:rFonts w:cs="Times New Roman"/>
        </w:rPr>
        <w:t>znal</w:t>
      </w:r>
      <w:r w:rsidRPr="009F75AE">
        <w:rPr>
          <w:rFonts w:cs="Times New Roman"/>
        </w:rPr>
        <w:t>osti podpory</w:t>
      </w:r>
      <w:r w:rsidR="00E8316A" w:rsidRPr="009F75AE">
        <w:rPr>
          <w:rFonts w:cs="Times New Roman"/>
        </w:rPr>
        <w:t xml:space="preserve"> L1</w:t>
      </w:r>
      <w:r w:rsidRPr="009F75AE">
        <w:rPr>
          <w:rFonts w:cs="Times New Roman"/>
        </w:rPr>
        <w:t xml:space="preserve">, je předán vyšší </w:t>
      </w:r>
      <w:r w:rsidR="00E8316A" w:rsidRPr="009F75AE">
        <w:rPr>
          <w:rFonts w:cs="Times New Roman"/>
        </w:rPr>
        <w:t>úrovni</w:t>
      </w:r>
      <w:r w:rsidRPr="009F75AE">
        <w:rPr>
          <w:rFonts w:cs="Times New Roman"/>
        </w:rPr>
        <w:t xml:space="preserve"> podpory.</w:t>
      </w:r>
    </w:p>
    <w:p w14:paraId="61F5F668" w14:textId="77777777" w:rsidR="008B1D83" w:rsidRPr="009F75AE" w:rsidRDefault="008B1D83" w:rsidP="008B1D83">
      <w:pPr>
        <w:pStyle w:val="Titulek"/>
      </w:pPr>
      <w:r w:rsidRPr="009F75AE">
        <w:t>Úroveň L2</w:t>
      </w:r>
    </w:p>
    <w:p w14:paraId="33FAE479" w14:textId="44870852" w:rsidR="008B1D83" w:rsidRPr="009F75AE" w:rsidRDefault="008B1D83" w:rsidP="008B1D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Druh</w:t>
      </w:r>
      <w:r w:rsidR="00E8316A" w:rsidRPr="009F75AE">
        <w:rPr>
          <w:rFonts w:cs="Times New Roman"/>
        </w:rPr>
        <w:t>á</w:t>
      </w:r>
      <w:r w:rsidRPr="009F75AE">
        <w:rPr>
          <w:rFonts w:cs="Times New Roman"/>
        </w:rPr>
        <w:t xml:space="preserve"> </w:t>
      </w:r>
      <w:r w:rsidR="00E8316A" w:rsidRPr="009F75AE">
        <w:rPr>
          <w:rFonts w:cs="Times New Roman"/>
        </w:rPr>
        <w:t>úroveň</w:t>
      </w:r>
      <w:r w:rsidRPr="009F75AE">
        <w:rPr>
          <w:rFonts w:cs="Times New Roman"/>
        </w:rPr>
        <w:t xml:space="preserve"> technické podpory se zabývá řešením složitějších incidentů </w:t>
      </w:r>
      <w:r w:rsidR="00E8316A" w:rsidRPr="009F75AE">
        <w:rPr>
          <w:rFonts w:cs="Times New Roman"/>
        </w:rPr>
        <w:t>a</w:t>
      </w:r>
      <w:r w:rsidRPr="009F75AE">
        <w:rPr>
          <w:rFonts w:cs="Times New Roman"/>
        </w:rPr>
        <w:t xml:space="preserve"> požadavků, využívá analytických nástrojů, ověřuje informace získané od </w:t>
      </w:r>
      <w:r w:rsidR="00E8316A" w:rsidRPr="009F75AE">
        <w:rPr>
          <w:rFonts w:cs="Times New Roman"/>
        </w:rPr>
        <w:t>koncového uživatele nebo Objednatele</w:t>
      </w:r>
      <w:r w:rsidRPr="009F75AE">
        <w:rPr>
          <w:rFonts w:cs="Times New Roman"/>
        </w:rPr>
        <w:t xml:space="preserve"> a stav řešení podpory L1.</w:t>
      </w:r>
    </w:p>
    <w:p w14:paraId="3B1BD6FD" w14:textId="77777777" w:rsidR="008B1D83" w:rsidRPr="009F75AE" w:rsidRDefault="008B1D83" w:rsidP="008B1D83">
      <w:pPr>
        <w:pStyle w:val="Titulek"/>
      </w:pPr>
      <w:r w:rsidRPr="009F75AE">
        <w:t>Úroveň L3</w:t>
      </w:r>
    </w:p>
    <w:p w14:paraId="1901FAE9" w14:textId="68A40446" w:rsidR="008B1D83" w:rsidRPr="009F75AE" w:rsidRDefault="008B1D83" w:rsidP="008B1D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Nejvyšší úroveň podpory, která je zodpovědná za zpracování a vyřešení nejtěžších incidentů a požadavků. Podpora L3 přejímá zpracované </w:t>
      </w:r>
      <w:r w:rsidR="00E8316A" w:rsidRPr="009F75AE">
        <w:rPr>
          <w:rFonts w:cs="Times New Roman"/>
        </w:rPr>
        <w:t>incidenty a požadavky</w:t>
      </w:r>
      <w:r w:rsidRPr="009F75AE">
        <w:rPr>
          <w:rFonts w:cs="Times New Roman"/>
        </w:rPr>
        <w:t xml:space="preserve"> z podpory L1 a L2. S koncovým uživatelem komunikuje jen ve zcela výjimečných případech, pokud znalosti podpory L1 a L2 nejsou dostatečné pro analýzu problému uživatele. Podpora L3 je zodpovědná za finální vyřešení problému, ať už řešení zahrnuje komunikaci s výrobcem SW</w:t>
      </w:r>
      <w:r w:rsidR="00921CD7" w:rsidRPr="009F75AE">
        <w:rPr>
          <w:rFonts w:cs="Times New Roman"/>
        </w:rPr>
        <w:t xml:space="preserve"> produktů</w:t>
      </w:r>
      <w:r w:rsidRPr="009F75AE">
        <w:rPr>
          <w:rFonts w:cs="Times New Roman"/>
        </w:rPr>
        <w:t>, ať jde o opravu nebo výměnu hardwaru, doprogramování kódu</w:t>
      </w:r>
      <w:r w:rsidR="00351972" w:rsidRPr="009F75AE">
        <w:rPr>
          <w:rFonts w:cs="Times New Roman"/>
        </w:rPr>
        <w:t xml:space="preserve"> nebo</w:t>
      </w:r>
      <w:r w:rsidRPr="009F75AE">
        <w:rPr>
          <w:rFonts w:cs="Times New Roman"/>
        </w:rPr>
        <w:t xml:space="preserve"> instalaci nezbytných programů.</w:t>
      </w:r>
    </w:p>
    <w:p w14:paraId="3D4BE74F" w14:textId="2BACB26B" w:rsidR="00E8316A" w:rsidRPr="009F75AE" w:rsidRDefault="00E8316A" w:rsidP="008B1D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42BCF48" w14:textId="498D23A7" w:rsidR="00E8316A" w:rsidRPr="009F75AE" w:rsidRDefault="00E8316A" w:rsidP="005B0CDC">
      <w:pPr>
        <w:jc w:val="both"/>
      </w:pPr>
      <w:r w:rsidRPr="009F75AE">
        <w:t>Rozsah a kvalita činnosti nižších vrstev podpory přímo závisí na dokumentaci AISG, připravené Dodavatelem v rámci realizace díla a případně dále doplňované v provozu. Pro L1 podporu jde primárně o konkrétní odpovědi ko</w:t>
      </w:r>
      <w:r w:rsidR="00536D41" w:rsidRPr="009F75AE">
        <w:t>n</w:t>
      </w:r>
      <w:r w:rsidRPr="009F75AE">
        <w:t xml:space="preserve">covým uživatelům a postupy řešení pro konkrétní incidenty a požadavky. Pro L2 podporu jde o technickou dokumentaci a modelové postupy řešení incidentů a požadavků. Dotazy a problémy nepokryté v dokumentaci budou předávány na vyšší úrovně podpory nebo konzultovány se součinnými stranami. Dodavatel může předpokládat, že nižší úrovně podpory poskytované </w:t>
      </w:r>
      <w:r w:rsidR="00D65B21" w:rsidRPr="009F75AE">
        <w:t xml:space="preserve">Správcem AISG, Provozovatelem AISG nebo </w:t>
      </w:r>
      <w:r w:rsidRPr="009F75AE">
        <w:t xml:space="preserve">SPCSS budou vykonávat činnosti v rozsahu poskytnuté dokumentace </w:t>
      </w:r>
      <w:r w:rsidR="008865F8" w:rsidRPr="009F75AE">
        <w:t>kvalifikovanými, profesně odbornými pracovníky</w:t>
      </w:r>
      <w:r w:rsidRPr="009F75AE">
        <w:t>. Dodavatel může zároveň předpokládat, že způsob řízení řešení incidentů a provozních požadavků v </w:t>
      </w:r>
      <w:proofErr w:type="spellStart"/>
      <w:r w:rsidRPr="009F75AE">
        <w:t>Service</w:t>
      </w:r>
      <w:proofErr w:type="spellEnd"/>
      <w:r w:rsidRPr="009F75AE">
        <w:t xml:space="preserve"> Desku SPCSS i záznamy o řešení na nižších úrovních podpory budou prováděny </w:t>
      </w:r>
      <w:r w:rsidR="008865F8" w:rsidRPr="009F75AE">
        <w:t xml:space="preserve">kvalifikovanými, profesně odbornými </w:t>
      </w:r>
      <w:r w:rsidRPr="009F75AE">
        <w:t xml:space="preserve">pracovníky </w:t>
      </w:r>
      <w:r w:rsidR="00D65B21" w:rsidRPr="009F75AE">
        <w:t xml:space="preserve">Správce AISG, Provozovatele AISG a </w:t>
      </w:r>
      <w:r w:rsidRPr="009F75AE">
        <w:t>SPCSS.</w:t>
      </w:r>
    </w:p>
    <w:p w14:paraId="4E5E98D7" w14:textId="160F19F9" w:rsidR="003C7965" w:rsidRPr="009F75AE" w:rsidRDefault="003C7965" w:rsidP="003C7965">
      <w:pPr>
        <w:pStyle w:val="Nadpis2"/>
      </w:pPr>
      <w:bookmarkStart w:id="18" w:name="_Toc510348664"/>
      <w:r w:rsidRPr="009F75AE">
        <w:t xml:space="preserve">Vymezení </w:t>
      </w:r>
      <w:r w:rsidR="008B1D83" w:rsidRPr="009F75AE">
        <w:t>odpovědností</w:t>
      </w:r>
      <w:r w:rsidRPr="009F75AE">
        <w:t xml:space="preserve"> </w:t>
      </w:r>
      <w:r w:rsidR="00C4311C" w:rsidRPr="009F75AE">
        <w:t>Dodavatele</w:t>
      </w:r>
      <w:bookmarkEnd w:id="18"/>
    </w:p>
    <w:p w14:paraId="3D95A45C" w14:textId="20C8E6AC" w:rsidR="00706BC6" w:rsidRPr="009F75AE" w:rsidRDefault="00706BC6" w:rsidP="00706BC6">
      <w:pPr>
        <w:pStyle w:val="Zkladntext"/>
      </w:pPr>
      <w:r w:rsidRPr="009F75AE">
        <w:t xml:space="preserve">Následující kapitoly, organizované podle </w:t>
      </w:r>
      <w:r w:rsidR="00E8316A" w:rsidRPr="009F75AE">
        <w:t xml:space="preserve">vybraných </w:t>
      </w:r>
      <w:r w:rsidRPr="009F75AE">
        <w:t xml:space="preserve">hlavních provozních procesů a oblastí, obsahují vymezení provozních odpovědností a činností technické podpory, správy a údržby. </w:t>
      </w:r>
    </w:p>
    <w:p w14:paraId="22F0BD72" w14:textId="415366EC" w:rsidR="00E40704" w:rsidRPr="009F75AE" w:rsidRDefault="007F1359" w:rsidP="00600CEC">
      <w:pPr>
        <w:jc w:val="both"/>
      </w:pPr>
      <w:r w:rsidRPr="009F75AE">
        <w:t>Rozdělení provozních odpovědností odpovídá rozdělení odpovědností při dodávce a implementaci systému popsaných v </w:t>
      </w:r>
      <w:r w:rsidR="00AB5D14">
        <w:t>P</w:t>
      </w:r>
      <w:r w:rsidR="00AB5D14" w:rsidRPr="009F75AE">
        <w:t xml:space="preserve">říloze </w:t>
      </w:r>
      <w:r w:rsidRPr="009F75AE">
        <w:t>č. 1 a č. 4</w:t>
      </w:r>
      <w:r w:rsidR="005D555C" w:rsidRPr="009F75AE">
        <w:t xml:space="preserve"> Smlouvy</w:t>
      </w:r>
      <w:r w:rsidRPr="009F75AE">
        <w:t>, a je dále upřesněno v této příloze</w:t>
      </w:r>
      <w:r w:rsidR="005D555C" w:rsidRPr="009F75AE">
        <w:t xml:space="preserve"> Smlouvy</w:t>
      </w:r>
      <w:r w:rsidRPr="009F75AE">
        <w:t>. Dodavatel bude odpovědný za dostupnost a správnost všech funkcionalit AISG v rozsahu Díla dle Smlouvy a dokumentace</w:t>
      </w:r>
      <w:r w:rsidR="006215EF" w:rsidRPr="009F75AE">
        <w:t xml:space="preserve"> systému</w:t>
      </w:r>
      <w:r w:rsidRPr="009F75AE">
        <w:t>.</w:t>
      </w:r>
      <w:r w:rsidR="00744A2E" w:rsidRPr="009F75AE">
        <w:t xml:space="preserve"> </w:t>
      </w:r>
      <w:bookmarkStart w:id="19" w:name="_Hlk494024582"/>
    </w:p>
    <w:bookmarkEnd w:id="19"/>
    <w:p w14:paraId="0FE7758E" w14:textId="05663F94" w:rsidR="00430F50" w:rsidRPr="009F75AE" w:rsidRDefault="00170E3E" w:rsidP="008C2D3C">
      <w:pPr>
        <w:jc w:val="both"/>
        <w:rPr>
          <w:rFonts w:cs="Times New Roman"/>
        </w:rPr>
      </w:pPr>
      <w:r w:rsidRPr="009F75AE">
        <w:rPr>
          <w:rFonts w:cs="Times New Roman"/>
        </w:rPr>
        <w:t>T</w:t>
      </w:r>
      <w:r w:rsidR="00706BC6" w:rsidRPr="009F75AE">
        <w:rPr>
          <w:rFonts w:cs="Times New Roman"/>
        </w:rPr>
        <w:t>abulky</w:t>
      </w:r>
      <w:r w:rsidRPr="009F75AE">
        <w:rPr>
          <w:rFonts w:cs="Times New Roman"/>
        </w:rPr>
        <w:t xml:space="preserve"> v následujících kapitolách </w:t>
      </w:r>
      <w:r w:rsidR="00E8316A" w:rsidRPr="009F75AE">
        <w:rPr>
          <w:rFonts w:cs="Times New Roman"/>
        </w:rPr>
        <w:t>doplňují text</w:t>
      </w:r>
      <w:r w:rsidRPr="009F75AE">
        <w:rPr>
          <w:rFonts w:cs="Times New Roman"/>
        </w:rPr>
        <w:t xml:space="preserve">ový popis a </w:t>
      </w:r>
      <w:r w:rsidR="00430F50" w:rsidRPr="009F75AE">
        <w:rPr>
          <w:rFonts w:cs="Times New Roman"/>
        </w:rPr>
        <w:t>stanovuj</w:t>
      </w:r>
      <w:r w:rsidRPr="009F75AE">
        <w:rPr>
          <w:rFonts w:cs="Times New Roman"/>
        </w:rPr>
        <w:t>í</w:t>
      </w:r>
      <w:r w:rsidR="00430F50" w:rsidRPr="009F75AE">
        <w:rPr>
          <w:rFonts w:cs="Times New Roman"/>
        </w:rPr>
        <w:t xml:space="preserve"> rozdělení </w:t>
      </w:r>
      <w:r w:rsidR="002E6DB3" w:rsidRPr="009F75AE">
        <w:rPr>
          <w:rFonts w:cs="Times New Roman"/>
        </w:rPr>
        <w:t xml:space="preserve">vybraných </w:t>
      </w:r>
      <w:r w:rsidR="00706BC6" w:rsidRPr="009F75AE">
        <w:rPr>
          <w:rFonts w:cs="Times New Roman"/>
        </w:rPr>
        <w:t xml:space="preserve">provozních činností </w:t>
      </w:r>
      <w:r w:rsidR="00430F50" w:rsidRPr="009F75AE">
        <w:rPr>
          <w:rFonts w:cs="Times New Roman"/>
        </w:rPr>
        <w:t>mezi čtyři</w:t>
      </w:r>
      <w:r w:rsidR="00E8316A" w:rsidRPr="009F75AE">
        <w:rPr>
          <w:rFonts w:cs="Times New Roman"/>
        </w:rPr>
        <w:t xml:space="preserve"> </w:t>
      </w:r>
      <w:r w:rsidR="00430F50" w:rsidRPr="009F75AE">
        <w:rPr>
          <w:rFonts w:cs="Times New Roman"/>
        </w:rPr>
        <w:t>skupiny</w:t>
      </w:r>
      <w:r w:rsidR="00E8316A" w:rsidRPr="009F75AE">
        <w:rPr>
          <w:rFonts w:cs="Times New Roman"/>
        </w:rPr>
        <w:t>,</w:t>
      </w:r>
      <w:r w:rsidR="00706BC6" w:rsidRPr="009F75AE">
        <w:rPr>
          <w:rFonts w:cs="Times New Roman"/>
        </w:rPr>
        <w:t xml:space="preserve"> podílející se na provozu</w:t>
      </w:r>
      <w:r w:rsidR="00E8316A" w:rsidRPr="009F75AE">
        <w:rPr>
          <w:rFonts w:cs="Times New Roman"/>
        </w:rPr>
        <w:t xml:space="preserve"> (Správce AISG, Provozovatel AISG, SPCSS, Dodavatel)</w:t>
      </w:r>
      <w:r w:rsidR="00706BC6" w:rsidRPr="009F75AE">
        <w:rPr>
          <w:rFonts w:cs="Times New Roman"/>
        </w:rPr>
        <w:t>,</w:t>
      </w:r>
      <w:r w:rsidR="00430F50" w:rsidRPr="009F75AE">
        <w:rPr>
          <w:rFonts w:cs="Times New Roman"/>
        </w:rPr>
        <w:t xml:space="preserve"> a vymezení odpovědnost</w:t>
      </w:r>
      <w:r w:rsidR="00E8316A" w:rsidRPr="009F75AE">
        <w:rPr>
          <w:rFonts w:cs="Times New Roman"/>
        </w:rPr>
        <w:t>í</w:t>
      </w:r>
      <w:r w:rsidR="00430F50" w:rsidRPr="009F75AE">
        <w:rPr>
          <w:rFonts w:cs="Times New Roman"/>
        </w:rPr>
        <w:t xml:space="preserve"> jednotlivým skupinám. Tabulk</w:t>
      </w:r>
      <w:r w:rsidRPr="009F75AE">
        <w:rPr>
          <w:rFonts w:cs="Times New Roman"/>
        </w:rPr>
        <w:t>y</w:t>
      </w:r>
      <w:r w:rsidR="00430F50" w:rsidRPr="009F75AE">
        <w:rPr>
          <w:rFonts w:cs="Times New Roman"/>
        </w:rPr>
        <w:t xml:space="preserve"> </w:t>
      </w:r>
      <w:r w:rsidR="002E6DB3" w:rsidRPr="009F75AE">
        <w:rPr>
          <w:rFonts w:cs="Times New Roman"/>
        </w:rPr>
        <w:t>po</w:t>
      </w:r>
      <w:r w:rsidR="00430F50" w:rsidRPr="009F75AE">
        <w:rPr>
          <w:rFonts w:cs="Times New Roman"/>
        </w:rPr>
        <w:t>užív</w:t>
      </w:r>
      <w:r w:rsidRPr="009F75AE">
        <w:rPr>
          <w:rFonts w:cs="Times New Roman"/>
        </w:rPr>
        <w:t>ají</w:t>
      </w:r>
      <w:r w:rsidR="00430F50" w:rsidRPr="009F75AE">
        <w:rPr>
          <w:rFonts w:cs="Times New Roman"/>
        </w:rPr>
        <w:t xml:space="preserve"> k definici míry odpovědnosti </w:t>
      </w:r>
      <w:r w:rsidR="00E8316A" w:rsidRPr="009F75AE">
        <w:rPr>
          <w:rFonts w:cs="Times New Roman"/>
        </w:rPr>
        <w:t xml:space="preserve">jednotlivých skupin, včetně </w:t>
      </w:r>
      <w:r w:rsidR="00430F50" w:rsidRPr="009F75AE">
        <w:rPr>
          <w:rFonts w:cs="Times New Roman"/>
        </w:rPr>
        <w:t>Dodavate</w:t>
      </w:r>
      <w:r w:rsidRPr="009F75AE">
        <w:rPr>
          <w:rFonts w:cs="Times New Roman"/>
        </w:rPr>
        <w:t>le</w:t>
      </w:r>
      <w:r w:rsidR="00E8316A" w:rsidRPr="009F75AE">
        <w:rPr>
          <w:rFonts w:cs="Times New Roman"/>
        </w:rPr>
        <w:t>,</w:t>
      </w:r>
      <w:r w:rsidR="00430F50" w:rsidRPr="009F75AE">
        <w:rPr>
          <w:rFonts w:cs="Times New Roman"/>
        </w:rPr>
        <w:t xml:space="preserve"> následující označení:</w:t>
      </w:r>
    </w:p>
    <w:p w14:paraId="3D9594F0" w14:textId="1FCBAE16" w:rsidR="00430F50" w:rsidRPr="009F75AE" w:rsidRDefault="00430F50" w:rsidP="00430F50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</w:rPr>
      </w:pPr>
      <w:r w:rsidRPr="009F75AE">
        <w:rPr>
          <w:rFonts w:cs="Times New Roman"/>
        </w:rPr>
        <w:lastRenderedPageBreak/>
        <w:t>„P - Provádí a odpovídá“ - Dodavatel provádí tyto činnosti a odpovídá za jejich provedení a výsledek v souladu se SLA</w:t>
      </w:r>
      <w:r w:rsidR="00942FC7" w:rsidRPr="009F75AE">
        <w:rPr>
          <w:rFonts w:cs="Times New Roman"/>
        </w:rPr>
        <w:t xml:space="preserve"> parametry</w:t>
      </w:r>
      <w:r w:rsidRPr="009F75AE">
        <w:rPr>
          <w:rFonts w:cs="Times New Roman"/>
        </w:rPr>
        <w:t xml:space="preserve"> a dalšími požadavky Smlouvy. Termíny provedení činností musí odpovídat relevantním SLA parametrům.</w:t>
      </w:r>
    </w:p>
    <w:p w14:paraId="2E7F988D" w14:textId="77777777" w:rsidR="00430F50" w:rsidRPr="009F75AE" w:rsidRDefault="00430F50" w:rsidP="00430F50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</w:rPr>
      </w:pPr>
      <w:r w:rsidRPr="009F75AE">
        <w:rPr>
          <w:rFonts w:cs="Times New Roman"/>
        </w:rPr>
        <w:t>„S - Součinný“ – Dodavatel podporuje primárně odpovědnou stranu na základě jejích odůvodněných požadavků na součinnosti v oblastech odpovědnosti Dodavatele (např. v oblasti aplikační správy).</w:t>
      </w:r>
    </w:p>
    <w:p w14:paraId="700C1922" w14:textId="18E5E70B" w:rsidR="00430F50" w:rsidRPr="009F75AE" w:rsidRDefault="00430F50" w:rsidP="00430F50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</w:rPr>
      </w:pPr>
      <w:r w:rsidRPr="009F75AE">
        <w:rPr>
          <w:rFonts w:cs="Times New Roman"/>
        </w:rPr>
        <w:t>„I – Informovaný“ - Dodavatel je informován o činnostech ostatních stran. Cílem informování je udržování povědomí o aktuálním stavu systému, připravenost na řešení budoucích incidentů a požadavků na součinnost. Informování o incidentech a činnostech ostatních účastníků provozu dále umožňuje Dodavateli realizovat Servisní služby s příslušnou odbornou péčí, včetně provádění preventivní podpory v rozsahu potřebném pro dodržení SLA</w:t>
      </w:r>
      <w:r w:rsidR="00CB0D78" w:rsidRPr="009F75AE">
        <w:rPr>
          <w:rFonts w:cs="Times New Roman"/>
        </w:rPr>
        <w:t xml:space="preserve"> parametrů</w:t>
      </w:r>
      <w:r w:rsidRPr="009F75AE">
        <w:rPr>
          <w:rFonts w:cs="Times New Roman"/>
        </w:rPr>
        <w:t>.</w:t>
      </w:r>
    </w:p>
    <w:p w14:paraId="09A5E3DB" w14:textId="77777777" w:rsidR="00244F78" w:rsidRPr="009F75AE" w:rsidRDefault="00244F78" w:rsidP="0016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2465E" w14:textId="7CC3B94B" w:rsidR="00FE335A" w:rsidRPr="009F75AE" w:rsidRDefault="001623B2" w:rsidP="005B0CDC">
      <w:pPr>
        <w:jc w:val="both"/>
      </w:pPr>
      <w:r w:rsidRPr="009F75AE">
        <w:t xml:space="preserve">Provozní činnosti </w:t>
      </w:r>
      <w:r w:rsidR="00D65B21" w:rsidRPr="009F75AE">
        <w:t>Správce AISG, Provozovatele AISG</w:t>
      </w:r>
      <w:r w:rsidR="004F1095" w:rsidRPr="009F75AE">
        <w:t xml:space="preserve"> a </w:t>
      </w:r>
      <w:r w:rsidRPr="009F75AE">
        <w:t xml:space="preserve">SPCSS budou prováděny </w:t>
      </w:r>
      <w:r w:rsidR="008865F8" w:rsidRPr="009F75AE">
        <w:t>kvalifikovanými, profesně odbornými pracovníky</w:t>
      </w:r>
      <w:r w:rsidRPr="009F75AE">
        <w:t xml:space="preserve">. </w:t>
      </w:r>
      <w:r w:rsidR="00D25ABB" w:rsidRPr="009F75AE">
        <w:t xml:space="preserve">Rozsah činností </w:t>
      </w:r>
      <w:r w:rsidR="00FE335A" w:rsidRPr="009F75AE">
        <w:t xml:space="preserve">Správce AISG, Provozovatele AISG a SPCSS </w:t>
      </w:r>
      <w:r w:rsidR="00DA35A5" w:rsidRPr="009F75AE">
        <w:t>vyplývá z potřeb</w:t>
      </w:r>
      <w:r w:rsidR="00FE335A" w:rsidRPr="009F75AE">
        <w:t xml:space="preserve"> provozu AISG, tj. zajištění dostupnosti a správnosti všech funkcionalit AISG a naplnění všech provozních a bezpečnostních procesů AISG</w:t>
      </w:r>
      <w:r w:rsidR="00DA35A5" w:rsidRPr="009F75AE">
        <w:t>, jak jsou definovány v této Smlouvě a jejích přílohách a j</w:t>
      </w:r>
      <w:r w:rsidR="005D5FAE" w:rsidRPr="009F75AE">
        <w:t>a</w:t>
      </w:r>
      <w:r w:rsidR="00DA35A5" w:rsidRPr="009F75AE">
        <w:t>k budou na základě návrhu Dodavatele implementovány v rámci realizace Díla. Provozní činnosti zahrnují</w:t>
      </w:r>
      <w:r w:rsidR="00716F60" w:rsidRPr="009F75AE">
        <w:t xml:space="preserve"> kromě řešení incidentů a požadavků v odpovědnosti těchto skupin i pravidelné </w:t>
      </w:r>
      <w:r w:rsidR="00DA35A5" w:rsidRPr="009F75AE">
        <w:t xml:space="preserve">a proaktivní </w:t>
      </w:r>
      <w:r w:rsidR="00716F60" w:rsidRPr="009F75AE">
        <w:t xml:space="preserve">činnosti jako </w:t>
      </w:r>
      <w:r w:rsidR="00DA35A5" w:rsidRPr="009F75AE">
        <w:t xml:space="preserve">je </w:t>
      </w:r>
      <w:r w:rsidR="00716F60" w:rsidRPr="009F75AE">
        <w:t xml:space="preserve">aktualizace firmware a </w:t>
      </w:r>
      <w:r w:rsidR="009E301A" w:rsidRPr="009F75AE">
        <w:t xml:space="preserve">software v rámci Technické </w:t>
      </w:r>
      <w:r w:rsidR="00716F60" w:rsidRPr="009F75AE">
        <w:t xml:space="preserve">infrastruktury, úpravy monitoringu </w:t>
      </w:r>
      <w:r w:rsidR="00DA35A5" w:rsidRPr="009F75AE">
        <w:t>na základě zkušeností z provozu, bezpečnostní testy, DR testy</w:t>
      </w:r>
      <w:r w:rsidR="00FE335A" w:rsidRPr="009F75AE">
        <w:t xml:space="preserve">.   </w:t>
      </w:r>
    </w:p>
    <w:p w14:paraId="79575907" w14:textId="3B9DB1D2" w:rsidR="00651D28" w:rsidRPr="009F75AE" w:rsidRDefault="00D65B21" w:rsidP="005B1874">
      <w:pPr>
        <w:jc w:val="both"/>
      </w:pPr>
      <w:r w:rsidRPr="009F75AE">
        <w:t xml:space="preserve">V rámci </w:t>
      </w:r>
      <w:r w:rsidR="006F6D8A" w:rsidRPr="009F75AE">
        <w:t xml:space="preserve">provozních </w:t>
      </w:r>
      <w:r w:rsidRPr="009F75AE">
        <w:t xml:space="preserve">činností </w:t>
      </w:r>
      <w:r w:rsidR="00FE335A" w:rsidRPr="009F75AE">
        <w:t xml:space="preserve">Správce AISG, Provozovatele AISG a SPCSS může být vzhledem k rozdělení odpovědností za podporu jednotlivých částí systému vyžadována součinnost Dodavatele. </w:t>
      </w:r>
      <w:r w:rsidR="00A563EE" w:rsidRPr="009F75AE">
        <w:t>Řízení s</w:t>
      </w:r>
      <w:r w:rsidR="00FE335A" w:rsidRPr="009F75AE">
        <w:t>oučinnost</w:t>
      </w:r>
      <w:r w:rsidR="00A563EE" w:rsidRPr="009F75AE">
        <w:t>í</w:t>
      </w:r>
      <w:r w:rsidR="00FE335A" w:rsidRPr="009F75AE">
        <w:t xml:space="preserve"> Dodavatele </w:t>
      </w:r>
      <w:r w:rsidR="00A563EE" w:rsidRPr="009F75AE">
        <w:t xml:space="preserve">probíhá </w:t>
      </w:r>
      <w:r w:rsidR="00FE335A" w:rsidRPr="009F75AE">
        <w:t xml:space="preserve">prostřednictvím SD SPCSS v rámci </w:t>
      </w:r>
      <w:r w:rsidR="00A563EE" w:rsidRPr="009F75AE">
        <w:t xml:space="preserve">jednotlivých </w:t>
      </w:r>
      <w:r w:rsidR="00FE335A" w:rsidRPr="009F75AE">
        <w:t xml:space="preserve">provozních procesů nebo formou </w:t>
      </w:r>
      <w:r w:rsidR="00716F60" w:rsidRPr="009F75AE">
        <w:t>dokumentu „Žádost</w:t>
      </w:r>
      <w:r w:rsidR="00FE335A" w:rsidRPr="009F75AE">
        <w:t xml:space="preserve"> o součinnost</w:t>
      </w:r>
      <w:r w:rsidR="00716F60" w:rsidRPr="009F75AE">
        <w:t>“</w:t>
      </w:r>
      <w:r w:rsidR="00FE335A" w:rsidRPr="009F75AE">
        <w:t xml:space="preserve"> v rámci </w:t>
      </w:r>
      <w:r w:rsidR="00716F60" w:rsidRPr="009F75AE">
        <w:t xml:space="preserve">řízení provozu. </w:t>
      </w:r>
      <w:r w:rsidR="00037A58" w:rsidRPr="009F75AE" w:rsidDel="00037A58">
        <w:t xml:space="preserve"> </w:t>
      </w:r>
    </w:p>
    <w:p w14:paraId="4590F5B0" w14:textId="4155BD7E" w:rsidR="00436BA5" w:rsidRPr="009F75AE" w:rsidRDefault="00622661" w:rsidP="005B1874">
      <w:pPr>
        <w:jc w:val="both"/>
      </w:pPr>
      <w:r w:rsidRPr="009F75AE">
        <w:t xml:space="preserve">Odpovědností Dodavatele je řešení vad Díla identifikovaných v průběhu provozu. </w:t>
      </w:r>
      <w:bookmarkStart w:id="20" w:name="_Hlk489564451"/>
      <w:r w:rsidRPr="009F75AE">
        <w:t xml:space="preserve">Vadou </w:t>
      </w:r>
      <w:r w:rsidR="007E25E7" w:rsidRPr="009F75AE">
        <w:t>D</w:t>
      </w:r>
      <w:r w:rsidRPr="009F75AE">
        <w:t>íl</w:t>
      </w:r>
      <w:r w:rsidR="007E25E7" w:rsidRPr="009F75AE">
        <w:t>a</w:t>
      </w:r>
      <w:r w:rsidRPr="009F75AE">
        <w:t xml:space="preserve"> (nebo jen „vadou“) je rozuměn stav Díla odlišný od Smlouvy, schválených návrhových dokumentů a schválené dokumentace</w:t>
      </w:r>
      <w:r w:rsidR="006215EF" w:rsidRPr="009F75AE">
        <w:t xml:space="preserve"> systému</w:t>
      </w:r>
      <w:r w:rsidRPr="009F75AE">
        <w:t>.</w:t>
      </w:r>
      <w:bookmarkEnd w:id="20"/>
      <w:r w:rsidRPr="009F75AE">
        <w:t xml:space="preserve"> Řešení vad </w:t>
      </w:r>
      <w:r w:rsidR="00436BA5" w:rsidRPr="009F75AE">
        <w:t>probíhá primárně v rámci procesu řízení incidentů. Řešení vad komplikovanějšího charakteru, které aktuálně neomezují chování systému</w:t>
      </w:r>
      <w:r w:rsidR="00FB5EF8" w:rsidRPr="009F75AE">
        <w:t>,</w:t>
      </w:r>
      <w:r w:rsidR="00436BA5" w:rsidRPr="009F75AE">
        <w:t xml:space="preserve"> může po schválení Objednatelem probíhat rovněž </w:t>
      </w:r>
      <w:r w:rsidR="00182D0F" w:rsidRPr="009F75AE">
        <w:t xml:space="preserve">v rámci </w:t>
      </w:r>
      <w:r w:rsidR="00436BA5" w:rsidRPr="009F75AE">
        <w:t>proce</w:t>
      </w:r>
      <w:r w:rsidR="007257E2" w:rsidRPr="009F75AE">
        <w:t>s</w:t>
      </w:r>
      <w:r w:rsidR="00182D0F" w:rsidRPr="009F75AE">
        <w:t>u</w:t>
      </w:r>
      <w:r w:rsidR="00436BA5" w:rsidRPr="009F75AE">
        <w:t xml:space="preserve"> řízení problémů nebo proces</w:t>
      </w:r>
      <w:r w:rsidR="00182D0F" w:rsidRPr="009F75AE">
        <w:t>u</w:t>
      </w:r>
      <w:r w:rsidR="00436BA5" w:rsidRPr="009F75AE">
        <w:t xml:space="preserve"> řízení rizik.</w:t>
      </w:r>
    </w:p>
    <w:p w14:paraId="65AA6EBE" w14:textId="0597F5D8" w:rsidR="007850CA" w:rsidRPr="009F75AE" w:rsidRDefault="00037A58" w:rsidP="005B1874">
      <w:pPr>
        <w:jc w:val="both"/>
      </w:pPr>
      <w:r w:rsidRPr="009F75AE">
        <w:t xml:space="preserve">Řešení </w:t>
      </w:r>
      <w:r w:rsidR="0035199B" w:rsidRPr="009F75AE">
        <w:t xml:space="preserve">všech </w:t>
      </w:r>
      <w:r w:rsidRPr="009F75AE">
        <w:t>incidentů, požadavků, problémů, rizik a změn</w:t>
      </w:r>
      <w:r w:rsidR="007850CA" w:rsidRPr="009F75AE">
        <w:t xml:space="preserve"> (včetně součinností v rámci odpovídajících procesů), </w:t>
      </w:r>
      <w:r w:rsidRPr="009F75AE">
        <w:t>které souvisí s prevencí výskytu</w:t>
      </w:r>
      <w:r w:rsidR="0008113C" w:rsidRPr="009F75AE">
        <w:t>, opravou nebo řešením následků</w:t>
      </w:r>
      <w:r w:rsidRPr="009F75AE">
        <w:t xml:space="preserve"> vad Díla</w:t>
      </w:r>
      <w:r w:rsidR="007850CA" w:rsidRPr="009F75AE">
        <w:t xml:space="preserve">, </w:t>
      </w:r>
      <w:r w:rsidR="0008113C" w:rsidRPr="009F75AE">
        <w:t>aktualizací SW produktů</w:t>
      </w:r>
      <w:r w:rsidR="0047560D" w:rsidRPr="009F75AE">
        <w:t xml:space="preserve"> a souvisejících úprav nebo migrací dat</w:t>
      </w:r>
      <w:r w:rsidR="00B13354" w:rsidRPr="009F75AE">
        <w:t>, souvisejících úprav dokumentace</w:t>
      </w:r>
      <w:r w:rsidR="0047560D" w:rsidRPr="009F75AE">
        <w:t xml:space="preserve"> a školení</w:t>
      </w:r>
      <w:r w:rsidR="0008113C" w:rsidRPr="009F75AE">
        <w:t xml:space="preserve">, </w:t>
      </w:r>
      <w:r w:rsidR="007850CA" w:rsidRPr="009F75AE">
        <w:t xml:space="preserve">nebo jejichž příčina nebyla dosud jednoznačně určena mimo oblast odpovědnosti Dodavatele, je součástí ceny </w:t>
      </w:r>
      <w:r w:rsidR="00B37C63" w:rsidRPr="009F75AE">
        <w:t>Plnění (ceny Díla po dobu Etapy 2 a ceny Servisních služeb od ukončení Etapy 2)</w:t>
      </w:r>
      <w:r w:rsidR="007850CA" w:rsidRPr="009F75AE">
        <w:t xml:space="preserve">. </w:t>
      </w:r>
      <w:r w:rsidR="0035199B" w:rsidRPr="009F75AE">
        <w:t>Všechny p</w:t>
      </w:r>
      <w:r w:rsidR="007850CA" w:rsidRPr="009F75AE">
        <w:t xml:space="preserve">ravidelné a proaktivní činnosti, které jsou nezbytné pro provoz AISG </w:t>
      </w:r>
      <w:r w:rsidR="006F6D8A" w:rsidRPr="009F75AE">
        <w:t xml:space="preserve">bez výskytu provozních incidentů </w:t>
      </w:r>
      <w:r w:rsidR="007850CA" w:rsidRPr="009F75AE">
        <w:t>v oblastech odpovědnosti Dodavatele, j</w:t>
      </w:r>
      <w:r w:rsidR="0035199B" w:rsidRPr="009F75AE">
        <w:t>sou</w:t>
      </w:r>
      <w:r w:rsidR="007850CA" w:rsidRPr="009F75AE">
        <w:t xml:space="preserve"> rovněž součástí ceny </w:t>
      </w:r>
      <w:r w:rsidR="00C115DD" w:rsidRPr="009F75AE">
        <w:t>Plnění</w:t>
      </w:r>
      <w:r w:rsidR="007850CA" w:rsidRPr="009F75AE">
        <w:t xml:space="preserve">. </w:t>
      </w:r>
    </w:p>
    <w:p w14:paraId="4B5B5D88" w14:textId="37A04354" w:rsidR="00037A58" w:rsidRPr="009F75AE" w:rsidRDefault="0035199B" w:rsidP="005B1874">
      <w:pPr>
        <w:jc w:val="both"/>
      </w:pPr>
      <w:r w:rsidRPr="009F75AE">
        <w:t xml:space="preserve">Součástí </w:t>
      </w:r>
      <w:r w:rsidR="00B37C63" w:rsidRPr="009F75AE">
        <w:t>ceny Plnění (ceny Díla po dobu Etapy 2 a ceny Servisních služeb od ukončení Etapy 2)</w:t>
      </w:r>
      <w:r w:rsidR="009E2461" w:rsidRPr="009F75AE">
        <w:t xml:space="preserve"> </w:t>
      </w:r>
      <w:r w:rsidRPr="009F75AE">
        <w:t xml:space="preserve">je </w:t>
      </w:r>
      <w:r w:rsidR="00457898" w:rsidRPr="009F75AE">
        <w:t xml:space="preserve">současně </w:t>
      </w:r>
      <w:r w:rsidR="00950ECE" w:rsidRPr="009F75AE">
        <w:t>60</w:t>
      </w:r>
      <w:r w:rsidRPr="009F75AE">
        <w:t xml:space="preserve"> člověkodnů ročně</w:t>
      </w:r>
      <w:r w:rsidR="00C115DD" w:rsidRPr="009F75AE">
        <w:t xml:space="preserve"> </w:t>
      </w:r>
      <w:r w:rsidRPr="009F75AE">
        <w:t>na součinnosti Dodavatele při ř</w:t>
      </w:r>
      <w:r w:rsidR="007850CA" w:rsidRPr="009F75AE">
        <w:t>ešení ostatních inc</w:t>
      </w:r>
      <w:r w:rsidR="00C115DD" w:rsidRPr="009F75AE">
        <w:t>identů,</w:t>
      </w:r>
      <w:r w:rsidRPr="009F75AE">
        <w:t xml:space="preserve"> problémů, rizik a změn, pravidelných a proaktivních činností </w:t>
      </w:r>
      <w:r w:rsidR="00C115DD" w:rsidRPr="009F75AE">
        <w:t xml:space="preserve">a požadavků </w:t>
      </w:r>
      <w:r w:rsidRPr="009F75AE">
        <w:t>vyžádaných Objednatelem</w:t>
      </w:r>
      <w:r w:rsidR="00950ECE" w:rsidRPr="009F75AE">
        <w:t xml:space="preserve">, vč. požadavků na podporu připojování provozovatelů hazardních her a </w:t>
      </w:r>
      <w:r w:rsidR="00505F66" w:rsidRPr="009F75AE">
        <w:t>PAO</w:t>
      </w:r>
      <w:r w:rsidR="00950ECE" w:rsidRPr="009F75AE">
        <w:t xml:space="preserve"> </w:t>
      </w:r>
      <w:r w:rsidR="000A57B2" w:rsidRPr="009F75AE">
        <w:t>(viz kap.</w:t>
      </w:r>
      <w:r w:rsidR="00950ECE" w:rsidRPr="009F75AE">
        <w:t xml:space="preserve"> 4.6 </w:t>
      </w:r>
      <w:r w:rsidR="00AB5D14">
        <w:t>P</w:t>
      </w:r>
      <w:r w:rsidR="00AB5D14" w:rsidRPr="009F75AE">
        <w:t xml:space="preserve">řílohy </w:t>
      </w:r>
      <w:r w:rsidR="00950ECE" w:rsidRPr="009F75AE">
        <w:t>č. 4</w:t>
      </w:r>
      <w:r w:rsidR="005D555C" w:rsidRPr="009F75AE">
        <w:t xml:space="preserve"> Smlouvy</w:t>
      </w:r>
      <w:r w:rsidR="00950ECE" w:rsidRPr="009F75AE">
        <w:t>)</w:t>
      </w:r>
      <w:r w:rsidR="008158C6" w:rsidRPr="009F75AE">
        <w:t xml:space="preserve"> a na podporu provozu v mimopracovních dnech </w:t>
      </w:r>
      <w:r w:rsidR="00264200" w:rsidRPr="009F75AE">
        <w:t>uvedenou</w:t>
      </w:r>
      <w:r w:rsidR="008158C6" w:rsidRPr="009F75AE">
        <w:t xml:space="preserve"> v kap. 1.3.4.2 této </w:t>
      </w:r>
      <w:r w:rsidR="005D555C" w:rsidRPr="009F75AE">
        <w:t>p</w:t>
      </w:r>
      <w:r w:rsidR="008158C6" w:rsidRPr="009F75AE">
        <w:t>řílohy</w:t>
      </w:r>
      <w:r w:rsidR="005D555C" w:rsidRPr="009F75AE">
        <w:t xml:space="preserve"> Smlouvy</w:t>
      </w:r>
      <w:r w:rsidR="00950ECE" w:rsidRPr="009F75AE">
        <w:t>,</w:t>
      </w:r>
      <w:r w:rsidRPr="009F75AE">
        <w:t xml:space="preserve"> a v rozsahu schváleném Objednatelem. Řízení těchto provozních činností probíhá v rámci stejných, níže popsaných procesů</w:t>
      </w:r>
      <w:r w:rsidR="00B2257D" w:rsidRPr="009F75AE">
        <w:t xml:space="preserve">. Čerpání člověkodnů na tyto provozní činnosti bude evidováno na měsíční bázi v rámci Souhrnného měsíčního výkazu kvality. V případě, že tento počet člověkodnů nebude v příslušném roce provozu vyčerpán, je možno nevyčerpané člověkodny převést do následujícího roku provozu. </w:t>
      </w:r>
    </w:p>
    <w:p w14:paraId="77F3E4B6" w14:textId="34875C97" w:rsidR="00C115DD" w:rsidRPr="009F75AE" w:rsidRDefault="00C115DD" w:rsidP="005B1874">
      <w:pPr>
        <w:jc w:val="both"/>
      </w:pPr>
      <w:r w:rsidRPr="009F75AE">
        <w:t xml:space="preserve">Požadavky, součinnosti a změny nad rámec výše uvedených provozních činností jsou řešeny formou změnových požadavků nebo Služeb rozvoje. </w:t>
      </w:r>
    </w:p>
    <w:p w14:paraId="282419B6" w14:textId="44991AA0" w:rsidR="0010681C" w:rsidRPr="009F75AE" w:rsidRDefault="0010681C" w:rsidP="0010681C">
      <w:pPr>
        <w:pStyle w:val="Nadpis2"/>
      </w:pPr>
      <w:bookmarkStart w:id="21" w:name="_Toc480193294"/>
      <w:bookmarkStart w:id="22" w:name="_Toc480196880"/>
      <w:bookmarkStart w:id="23" w:name="_Toc510348665"/>
      <w:bookmarkEnd w:id="21"/>
      <w:bookmarkEnd w:id="22"/>
      <w:r w:rsidRPr="009F75AE">
        <w:lastRenderedPageBreak/>
        <w:t xml:space="preserve">Řízení incidentů a </w:t>
      </w:r>
      <w:r w:rsidR="00543FDB" w:rsidRPr="009F75AE">
        <w:t>SLA</w:t>
      </w:r>
      <w:r w:rsidR="00CB0D78" w:rsidRPr="009F75AE">
        <w:t xml:space="preserve"> parametry</w:t>
      </w:r>
      <w:bookmarkEnd w:id="23"/>
    </w:p>
    <w:p w14:paraId="5066C1EF" w14:textId="16336D11" w:rsidR="0010681C" w:rsidRPr="009F75AE" w:rsidRDefault="0010681C" w:rsidP="0010681C">
      <w:pPr>
        <w:pStyle w:val="Nadpis3"/>
      </w:pPr>
      <w:bookmarkStart w:id="24" w:name="_Toc510348666"/>
      <w:r w:rsidRPr="009F75AE">
        <w:t>Řešení incidentů</w:t>
      </w:r>
      <w:bookmarkEnd w:id="24"/>
    </w:p>
    <w:p w14:paraId="289F689F" w14:textId="0366B9C4" w:rsidR="0010681C" w:rsidRPr="009F75AE" w:rsidRDefault="0010681C" w:rsidP="0010681C">
      <w:pPr>
        <w:pStyle w:val="Zkladntext"/>
      </w:pPr>
      <w:r w:rsidRPr="009F75AE">
        <w:t>Dodavatel je odpovědný za řešení provozních incidentů. Provozním incidentem (nebo jen incidentem) se rozumí výskyt chování odlišného od dokumentace systému (včetně Smlouvy</w:t>
      </w:r>
      <w:r w:rsidR="00436BA5" w:rsidRPr="009F75AE">
        <w:t>, schválených návrhových dokumentů a schválené dokumentace</w:t>
      </w:r>
      <w:r w:rsidRPr="009F75AE">
        <w:t>)</w:t>
      </w:r>
      <w:r w:rsidR="00631E8B" w:rsidRPr="009F75AE">
        <w:t xml:space="preserve"> nebo které omezuje použití nebo dostupnost systému</w:t>
      </w:r>
      <w:r w:rsidRPr="009F75AE">
        <w:t xml:space="preserve">. </w:t>
      </w:r>
    </w:p>
    <w:p w14:paraId="06E81AB6" w14:textId="3EE2763B" w:rsidR="001459FB" w:rsidRPr="009F75AE" w:rsidRDefault="001459FB" w:rsidP="001459FB">
      <w:pPr>
        <w:pStyle w:val="Zkladntext"/>
      </w:pPr>
      <w:r w:rsidRPr="009F75AE">
        <w:t xml:space="preserve">Dodavatel je plně odpovědný za dostupnost </w:t>
      </w:r>
      <w:r w:rsidR="007F53C6" w:rsidRPr="009F75AE">
        <w:t>AISG</w:t>
      </w:r>
      <w:r w:rsidRPr="009F75AE">
        <w:t xml:space="preserve"> </w:t>
      </w:r>
      <w:r w:rsidR="000C439F" w:rsidRPr="009F75AE">
        <w:t xml:space="preserve">a řešení incidentů </w:t>
      </w:r>
      <w:r w:rsidRPr="009F75AE">
        <w:t>dle</w:t>
      </w:r>
      <w:r w:rsidR="0010681C" w:rsidRPr="009F75AE">
        <w:t xml:space="preserve"> níže uvedených </w:t>
      </w:r>
      <w:r w:rsidRPr="009F75AE">
        <w:t xml:space="preserve">parametrů </w:t>
      </w:r>
      <w:proofErr w:type="spellStart"/>
      <w:r w:rsidRPr="009F75AE">
        <w:t>Service</w:t>
      </w:r>
      <w:proofErr w:type="spellEnd"/>
      <w:r w:rsidRPr="009F75AE">
        <w:t xml:space="preserve"> </w:t>
      </w:r>
      <w:proofErr w:type="spellStart"/>
      <w:r w:rsidRPr="009F75AE">
        <w:t>Level</w:t>
      </w:r>
      <w:proofErr w:type="spellEnd"/>
      <w:r w:rsidRPr="009F75AE">
        <w:t xml:space="preserve"> </w:t>
      </w:r>
      <w:proofErr w:type="spellStart"/>
      <w:r w:rsidRPr="009F75AE">
        <w:t>Agreements</w:t>
      </w:r>
      <w:proofErr w:type="spellEnd"/>
      <w:r w:rsidRPr="009F75AE">
        <w:t xml:space="preserve"> (dále také </w:t>
      </w:r>
      <w:r w:rsidR="006734F3" w:rsidRPr="009F75AE">
        <w:t>„SLA parametry“</w:t>
      </w:r>
      <w:r w:rsidR="00CB0D78" w:rsidRPr="009F75AE">
        <w:t xml:space="preserve"> dle Smlouvy</w:t>
      </w:r>
      <w:r w:rsidRPr="009F75AE">
        <w:t xml:space="preserve">) a </w:t>
      </w:r>
      <w:r w:rsidR="000C439F" w:rsidRPr="009F75AE">
        <w:t xml:space="preserve">dále </w:t>
      </w:r>
      <w:r w:rsidRPr="009F75AE">
        <w:t>za záznam řešení incidentů v </w:t>
      </w:r>
      <w:proofErr w:type="spellStart"/>
      <w:r w:rsidRPr="009F75AE">
        <w:t>ServiceDesku</w:t>
      </w:r>
      <w:proofErr w:type="spellEnd"/>
      <w:r w:rsidRPr="009F75AE">
        <w:t xml:space="preserve"> SPCSS (dále jen „SD SPCSS“). Incidenty způsobené nefunkčností </w:t>
      </w:r>
      <w:r w:rsidR="009E301A" w:rsidRPr="009F75AE">
        <w:t xml:space="preserve">Technické </w:t>
      </w:r>
      <w:r w:rsidRPr="009F75AE">
        <w:t>infrastruktury nebo některých jejích částí v odpovědnosti SPCSS nebo zásahem Objednatele do Díla jsou vyloučeny z</w:t>
      </w:r>
      <w:r w:rsidR="00CB0D78" w:rsidRPr="009F75AE">
        <w:t xml:space="preserve"> odpovědnosti</w:t>
      </w:r>
      <w:r w:rsidRPr="009F75AE">
        <w:t xml:space="preserve"> Dodavatele. Rozhodnutí, zda incident spadá do odpovědnosti Dodavatele AISG</w:t>
      </w:r>
      <w:r w:rsidR="006734F3" w:rsidRPr="009F75AE">
        <w:t>,</w:t>
      </w:r>
      <w:r w:rsidR="00190378" w:rsidRPr="009F75AE">
        <w:t xml:space="preserve"> </w:t>
      </w:r>
      <w:r w:rsidRPr="009F75AE">
        <w:t>provede Objednatel na základě vyhodnocení postupu analýzy a řešení zaznamenaného v SD SPCSS, případně na základě dalších předložených technických podkladů, v souladu s rozdělením odpovědnosti popsaným ve Smlouvě</w:t>
      </w:r>
      <w:r w:rsidR="000C439F" w:rsidRPr="009F75AE">
        <w:t xml:space="preserve"> a jejích přílohách</w:t>
      </w:r>
      <w:r w:rsidRPr="009F75AE">
        <w:t>.</w:t>
      </w:r>
    </w:p>
    <w:p w14:paraId="11555FC2" w14:textId="10DE87C8" w:rsidR="001459FB" w:rsidRPr="009F75AE" w:rsidRDefault="001459FB" w:rsidP="001459FB">
      <w:pPr>
        <w:pStyle w:val="Zkladntext"/>
      </w:pPr>
      <w:r w:rsidRPr="009F75AE">
        <w:t>V případě, že pro vyřešení incidentu v odpovědnosti Dodavatele je třeba nezbytné součinnosti Objednatele nebo SPCSS</w:t>
      </w:r>
      <w:r w:rsidR="00190378" w:rsidRPr="009F75AE">
        <w:t>,</w:t>
      </w:r>
      <w:r w:rsidRPr="009F75AE">
        <w:t xml:space="preserve"> je po dobu realizace součinnosti SLA Dodavatele pozastaveno</w:t>
      </w:r>
      <w:r w:rsidR="00F84B03" w:rsidRPr="009F75AE">
        <w:t xml:space="preserve"> (po dobu pozastavení se čas řešení incidentu nepočítá do SLA parametrů Dodavatele)</w:t>
      </w:r>
      <w:r w:rsidRPr="009F75AE">
        <w:t xml:space="preserve">. Podmínkou pozastavení SLA je ale zachování maximální efektivity celkového postupu řešení. Součinnost musí být vyžádána včas a zadána dostatečně přesně. Nesmí dojít ke zneužívání mechanismu pozastavení SLA – může být uplatněn pouze v odůvodněných případech, kdy je vyžádaná součinnost nezbytná k řešení incidentu a kdy je jedinou efektivní cestou dalšího postupu řešení, jinak musí dále běžet paralelní linie řešení </w:t>
      </w:r>
      <w:r w:rsidR="00F84B03" w:rsidRPr="009F75AE">
        <w:t>v souladu se</w:t>
      </w:r>
      <w:r w:rsidRPr="009F75AE">
        <w:t xml:space="preserve"> SLA</w:t>
      </w:r>
      <w:r w:rsidR="00F84B03" w:rsidRPr="009F75AE">
        <w:t xml:space="preserve"> parametry</w:t>
      </w:r>
      <w:r w:rsidRPr="009F75AE">
        <w:t>.</w:t>
      </w:r>
    </w:p>
    <w:p w14:paraId="76C8A9C4" w14:textId="3CF401D6" w:rsidR="00B25795" w:rsidRPr="009F75AE" w:rsidRDefault="00B25795" w:rsidP="00B25795">
      <w:pPr>
        <w:pStyle w:val="Zkladntext"/>
      </w:pPr>
      <w:r w:rsidRPr="009F75AE">
        <w:t>Na součinnosti Dodavatele požadované v rámci řešení incidentů mimo oblast odpovědnosti Dodavatele se vztahují stejná SLA</w:t>
      </w:r>
      <w:r w:rsidR="00F84B03" w:rsidRPr="009F75AE">
        <w:t xml:space="preserve"> parametry</w:t>
      </w:r>
      <w:r w:rsidRPr="009F75AE">
        <w:t>, jako na řešení incidentů v odpovědnosti Dodavatele.</w:t>
      </w:r>
    </w:p>
    <w:p w14:paraId="13474C54" w14:textId="1F5763B1" w:rsidR="001459FB" w:rsidRPr="009F75AE" w:rsidRDefault="001459FB" w:rsidP="001459FB">
      <w:pPr>
        <w:pStyle w:val="Zkladntext"/>
      </w:pPr>
      <w:r w:rsidRPr="009F75AE">
        <w:t>Podpora SW produktů</w:t>
      </w:r>
      <w:r w:rsidR="00A0193E" w:rsidRPr="009F75AE">
        <w:t>, které jsou součástí Díla,</w:t>
      </w:r>
      <w:r w:rsidRPr="009F75AE">
        <w:t xml:space="preserve"> je považována za součást podpory </w:t>
      </w:r>
      <w:r w:rsidR="007F53C6" w:rsidRPr="009F75AE">
        <w:t>Díla</w:t>
      </w:r>
      <w:r w:rsidRPr="009F75AE">
        <w:t xml:space="preserve"> a musí splňovat stejn</w:t>
      </w:r>
      <w:r w:rsidR="00F84B03" w:rsidRPr="009F75AE">
        <w:t>é</w:t>
      </w:r>
      <w:r w:rsidRPr="009F75AE">
        <w:t xml:space="preserve"> SLA</w:t>
      </w:r>
      <w:r w:rsidR="00F84B03" w:rsidRPr="009F75AE">
        <w:t xml:space="preserve"> parametry</w:t>
      </w:r>
      <w:r w:rsidRPr="009F75AE">
        <w:t>.</w:t>
      </w:r>
    </w:p>
    <w:p w14:paraId="3147E47E" w14:textId="76984FF2" w:rsidR="001459FB" w:rsidRPr="009F75AE" w:rsidRDefault="001459FB" w:rsidP="001459FB">
      <w:pPr>
        <w:pStyle w:val="Zkladntext"/>
      </w:pPr>
      <w:r w:rsidRPr="009F75AE">
        <w:t>V případě dopadu nefunkčnosti spolupracujících externích systémů na funkčnost AISG je výsledné omezení provozu vyloučeno z</w:t>
      </w:r>
      <w:r w:rsidR="00F84B03" w:rsidRPr="009F75AE">
        <w:t xml:space="preserve"> odpovědnosti</w:t>
      </w:r>
      <w:r w:rsidRPr="009F75AE">
        <w:t xml:space="preserve"> Dodavatele. Dodavatel je nicméně povinen v rámci návrhu a implementace systému definovat a implementovat mechanismy, které minimalizují vliv nefunkčnosti spolupracujících externích systémů na funkčnost AISG (</w:t>
      </w:r>
      <w:r w:rsidR="00DD7C58" w:rsidRPr="009F75AE">
        <w:t xml:space="preserve">např. </w:t>
      </w:r>
      <w:r w:rsidRPr="009F75AE">
        <w:t xml:space="preserve">ošetření chybových stavů, opakování neúspěšných operací, využití </w:t>
      </w:r>
      <w:proofErr w:type="spellStart"/>
      <w:r w:rsidRPr="009F75AE">
        <w:t>nakešovaných</w:t>
      </w:r>
      <w:proofErr w:type="spellEnd"/>
      <w:r w:rsidRPr="009F75AE">
        <w:t xml:space="preserve"> informací – v případech, kde je to možné a umožní alespoň částečnou funkci systému) a dále je povinen v průběhu poskytování Servisních služeb tyto mechanismy dále rozvíjet a upravovat na základě provozních zkušeností. </w:t>
      </w:r>
    </w:p>
    <w:p w14:paraId="2E159589" w14:textId="493AD6C9" w:rsidR="001459FB" w:rsidRPr="009F75AE" w:rsidRDefault="001459FB" w:rsidP="001459FB">
      <w:pPr>
        <w:pStyle w:val="Zkladntext"/>
      </w:pPr>
      <w:r w:rsidRPr="009F75AE">
        <w:t>Ve všech výše uvedených případech je Dodavatel spoluzodpovědný za řešení incidentů následujícími způsoby: včasný záznam postupu řešení v SD SPCSS, spolupráce na analýze incidentů, a v případě požadavku schváleného Objednatelem spolupráce na řešení nebo příprava dočasného náhradního řešení (</w:t>
      </w:r>
      <w:proofErr w:type="spellStart"/>
      <w:r w:rsidRPr="009F75AE">
        <w:t>work-around</w:t>
      </w:r>
      <w:proofErr w:type="spellEnd"/>
      <w:r w:rsidRPr="009F75AE">
        <w:t>). Dokud není jednoznačně určená příčina incidentu mimo oblast odpovědnosti Dodavatele, analyzuje a řeší Dodavatel incident jako vlastní incident v</w:t>
      </w:r>
      <w:r w:rsidR="00F84B03" w:rsidRPr="009F75AE">
        <w:t xml:space="preserve"> souladu se </w:t>
      </w:r>
      <w:r w:rsidRPr="009F75AE">
        <w:t>SLA</w:t>
      </w:r>
      <w:r w:rsidR="00F84B03" w:rsidRPr="009F75AE">
        <w:t xml:space="preserve"> parametry</w:t>
      </w:r>
      <w:r w:rsidRPr="009F75AE">
        <w:t>.</w:t>
      </w:r>
    </w:p>
    <w:p w14:paraId="0D16617E" w14:textId="033203A5" w:rsidR="001459FB" w:rsidRPr="009F75AE" w:rsidRDefault="001459FB" w:rsidP="001459FB">
      <w:pPr>
        <w:pStyle w:val="Zkladntext"/>
      </w:pPr>
      <w:r w:rsidRPr="009F75AE">
        <w:t>SPCSS bude prostřednictvím SD SPCSS</w:t>
      </w:r>
      <w:r w:rsidR="00190378" w:rsidRPr="009F75AE">
        <w:t xml:space="preserve"> a nástrojů provozního a bezpečnostního monitoringu</w:t>
      </w:r>
      <w:r w:rsidRPr="009F75AE">
        <w:t xml:space="preserve"> zajišťovat dohled nad fu</w:t>
      </w:r>
      <w:r w:rsidR="00536D41" w:rsidRPr="009F75AE">
        <w:t>n</w:t>
      </w:r>
      <w:r w:rsidRPr="009F75AE">
        <w:t xml:space="preserve">kčností a bezpečností AISG, hlášení a řízení řešení všech incidentů, včetně incidentů hlášených uživateli AISG, jak je definuje </w:t>
      </w:r>
      <w:r w:rsidR="00AB5D14">
        <w:t>P</w:t>
      </w:r>
      <w:r w:rsidR="00AB5D14" w:rsidRPr="009F75AE">
        <w:t xml:space="preserve">říloha </w:t>
      </w:r>
      <w:r w:rsidRPr="009F75AE">
        <w:t xml:space="preserve">č. 2 </w:t>
      </w:r>
      <w:r w:rsidR="00190378" w:rsidRPr="009F75AE">
        <w:t>Smlouvy</w:t>
      </w:r>
      <w:r w:rsidRPr="009F75AE">
        <w:t xml:space="preserve">. </w:t>
      </w:r>
    </w:p>
    <w:p w14:paraId="2EA6E582" w14:textId="65444851" w:rsidR="001459FB" w:rsidRPr="009F75AE" w:rsidRDefault="001459FB" w:rsidP="001459FB">
      <w:pPr>
        <w:spacing w:after="0" w:line="276" w:lineRule="auto"/>
        <w:jc w:val="both"/>
      </w:pPr>
      <w:r w:rsidRPr="009F75AE">
        <w:t xml:space="preserve">Dodavatel bude mít přístup k incidentům registrovaným v ServiceDesku za účelem získání informace o incidentu. SPCSS poskytne Dodavateli reporty ze SD SPCSS </w:t>
      </w:r>
      <w:r w:rsidR="00DD7C58" w:rsidRPr="009F75AE">
        <w:t xml:space="preserve">např. </w:t>
      </w:r>
      <w:r w:rsidRPr="009F75AE">
        <w:t>o počtu inc</w:t>
      </w:r>
      <w:r w:rsidR="00536D41" w:rsidRPr="009F75AE">
        <w:t>i</w:t>
      </w:r>
      <w:r w:rsidRPr="009F75AE">
        <w:t>dentů, době řešení</w:t>
      </w:r>
      <w:r w:rsidR="00DD7C58" w:rsidRPr="009F75AE">
        <w:t>.</w:t>
      </w:r>
    </w:p>
    <w:p w14:paraId="199E98B6" w14:textId="1720A846" w:rsidR="007D3ACE" w:rsidRDefault="007D3ACE">
      <w:pPr>
        <w:rPr>
          <w:i/>
        </w:rPr>
      </w:pPr>
      <w:r>
        <w:rPr>
          <w:i/>
        </w:rPr>
        <w:br w:type="page"/>
      </w:r>
    </w:p>
    <w:p w14:paraId="5AE43F93" w14:textId="77777777" w:rsidR="008B1D83" w:rsidRPr="009F75AE" w:rsidRDefault="008B1D83" w:rsidP="008B1D83">
      <w:pPr>
        <w:pStyle w:val="Zkladntext"/>
        <w:rPr>
          <w:i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992"/>
        <w:gridCol w:w="992"/>
      </w:tblGrid>
      <w:tr w:rsidR="00430F50" w:rsidRPr="009F75AE" w14:paraId="7F2C7190" w14:textId="77777777" w:rsidTr="007D3ACE">
        <w:trPr>
          <w:trHeight w:val="30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EAB3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Oblast/činnost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3994B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Odpovědnost</w:t>
            </w:r>
          </w:p>
        </w:tc>
      </w:tr>
      <w:tr w:rsidR="00430F50" w:rsidRPr="009F75AE" w14:paraId="5783E3F5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9EAB" w14:textId="77777777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Úroveň podpory L1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E728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Správce AISG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A5A1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Provozovatel AISG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B887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SPCSS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DEE0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</w:t>
            </w:r>
            <w:proofErr w:type="spellEnd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vatel</w:t>
            </w:r>
            <w:proofErr w:type="spellEnd"/>
          </w:p>
        </w:tc>
      </w:tr>
      <w:tr w:rsidR="00430F50" w:rsidRPr="009F75AE" w14:paraId="699F599A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0AC3" w14:textId="77777777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Komunikace s koncovými uživateli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D619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4F48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3A98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D753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430F50" w:rsidRPr="009F75AE" w14:paraId="4A162DB9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499B" w14:textId="77777777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Telefonická podpora pro uživatele AISG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7EEC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05BE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13F9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425F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430F50" w:rsidRPr="009F75AE" w14:paraId="03CBFD96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EBAC" w14:textId="77777777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Založení incidentu v SD </w:t>
            </w:r>
            <w:r w:rsidRPr="009F75AE">
              <w:rPr>
                <w:sz w:val="18"/>
                <w:szCs w:val="18"/>
              </w:rPr>
              <w:t>SPCSS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FAAE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ACD8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A6D2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A3A5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</w:tr>
      <w:tr w:rsidR="00430F50" w:rsidRPr="009F75AE" w14:paraId="1ABF8168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4B8" w14:textId="77777777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Přidělování incidentu mezi řešiteli a úrovněmi podpory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BDA6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44DF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085C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9A18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</w:tr>
      <w:tr w:rsidR="00430F50" w:rsidRPr="009F75AE" w14:paraId="19FC05A6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9D88" w14:textId="77777777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Uzavírání incidentů L1 a informování koncových uživatelů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4286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D988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21DA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942B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</w:tr>
      <w:tr w:rsidR="00430F50" w:rsidRPr="009F75AE" w14:paraId="1D48B6F1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647A" w14:textId="77777777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Vedení dokumentace popsaných problémů v SD SPCSS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ED9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AE7E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F271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8449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430F50" w:rsidRPr="009F75AE" w14:paraId="140DE0C9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A5DE" w14:textId="77777777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Řešení jednoduchých uživatelských incidentů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18C8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701E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2954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7413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430F50" w:rsidRPr="009F75AE" w14:paraId="31B45314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4F91" w14:textId="2ED40581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Řešení jednoduchých incidentů </w:t>
            </w:r>
            <w:r w:rsidR="00483E74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Technická </w:t>
            </w:r>
            <w:r w:rsidR="00483E74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3E4D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D488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46F7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383D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430F50" w:rsidRPr="009F75AE" w14:paraId="29F1AE3E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9DA5" w14:textId="471A9ACB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Řešení jednoduchých incidentů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9A46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3629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AEB7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8AEE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430F50" w:rsidRPr="009F75AE" w14:paraId="76E05287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7855" w14:textId="77777777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Úroveň podpory L2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3383" w14:textId="44AFE2A6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123E" w14:textId="4B3ED64B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8C58" w14:textId="1A3DADBC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F22B" w14:textId="1F7302C3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483E74" w:rsidRPr="009F75AE" w14:paraId="33746679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D26D" w14:textId="62B14A9D" w:rsidR="00483E74" w:rsidRPr="009F75AE" w:rsidRDefault="00483E74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Analýza a řešení incidentů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753D" w14:textId="77777777" w:rsidR="00483E74" w:rsidRPr="009F75AE" w:rsidRDefault="00483E7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969A" w14:textId="77777777" w:rsidR="00483E74" w:rsidRPr="009F75AE" w:rsidRDefault="00483E7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BF0" w14:textId="0145FA7A" w:rsidR="00483E74" w:rsidRPr="009F75AE" w:rsidRDefault="00483E7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8F6E" w14:textId="1E383AD4" w:rsidR="00483E74" w:rsidRPr="009F75AE" w:rsidRDefault="00483E7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430F50" w:rsidRPr="009F75AE" w14:paraId="1BF076FA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0F70" w14:textId="46886651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Analýza a řešení incidentů</w:t>
            </w:r>
            <w:r w:rsidR="00483E74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020D" w14:textId="698FFD7C" w:rsidR="00430F50" w:rsidRPr="009F75AE" w:rsidRDefault="00483E7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4F57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934C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AA85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430F50" w:rsidRPr="009F75AE" w14:paraId="5A2B98B4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134F" w14:textId="79C9FFDF" w:rsidR="00430F50" w:rsidRPr="009F75AE" w:rsidRDefault="00483E74" w:rsidP="00244F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Dokumentace řešení</w:t>
            </w:r>
            <w:r w:rsidR="00430F50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incidentů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AA45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FA8C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B2D7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9DBF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430F50" w:rsidRPr="009F75AE" w14:paraId="38BB5127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1605" w14:textId="61B5BA08" w:rsidR="00430F50" w:rsidRPr="009F75AE" w:rsidRDefault="00483E74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Dokumentace řešení </w:t>
            </w:r>
            <w:r w:rsidR="00430F50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incidentů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957B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7D73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A8F3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5C00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430F50" w:rsidRPr="009F75AE" w14:paraId="03124B76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2741" w14:textId="13AEB4DA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Uzavírání </w:t>
            </w:r>
            <w:r w:rsidR="00483E74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incidentů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932B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DF6B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DD06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D7CB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430F50" w:rsidRPr="009F75AE" w14:paraId="27A61FD4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9C22" w14:textId="305CD0E9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Uzavírání incidentů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B7A1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8A9B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4475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28C7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430F50" w:rsidRPr="009F75AE" w14:paraId="755D6119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F467" w14:textId="77777777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Úroveň podpory L3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0FB9" w14:textId="64F73523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1329" w14:textId="20B543D0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D58C" w14:textId="2B84CCE5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4AE8" w14:textId="09BCD004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483E74" w:rsidRPr="009F75AE" w14:paraId="12E1492A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3CAA" w14:textId="73C73995" w:rsidR="00483E74" w:rsidRPr="009F75AE" w:rsidRDefault="00483E74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Analýza a řešení incidentů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2CF0" w14:textId="77777777" w:rsidR="00483E74" w:rsidRPr="009F75AE" w:rsidRDefault="00483E7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AB3B" w14:textId="77777777" w:rsidR="00483E74" w:rsidRPr="009F75AE" w:rsidRDefault="00483E7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1F18B" w14:textId="77777777" w:rsidR="00483E74" w:rsidRPr="009F75AE" w:rsidRDefault="00483E7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25C2" w14:textId="77777777" w:rsidR="00483E74" w:rsidRPr="009F75AE" w:rsidRDefault="00483E7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483E74" w:rsidRPr="009F75AE" w14:paraId="51EE0B9B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80E2" w14:textId="3CF8F926" w:rsidR="00483E74" w:rsidRPr="009F75AE" w:rsidRDefault="00483E74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Analýza a řešení incidentů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59E2" w14:textId="77777777" w:rsidR="00483E74" w:rsidRPr="009F75AE" w:rsidRDefault="00483E7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0FA4" w14:textId="77777777" w:rsidR="00483E74" w:rsidRPr="009F75AE" w:rsidRDefault="00483E7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C692" w14:textId="77777777" w:rsidR="00483E74" w:rsidRPr="009F75AE" w:rsidRDefault="00483E7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8729" w14:textId="77777777" w:rsidR="00483E74" w:rsidRPr="009F75AE" w:rsidRDefault="00483E7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483E74" w:rsidRPr="009F75AE" w14:paraId="722DC629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9AC8" w14:textId="367AEF90" w:rsidR="00483E74" w:rsidRPr="009F75AE" w:rsidRDefault="00483E74" w:rsidP="00483E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Dokumentace řešení incidentů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DFA0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F12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33E2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1D60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483E74" w:rsidRPr="009F75AE" w14:paraId="4E0F3BB2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0E60" w14:textId="2545291A" w:rsidR="00483E74" w:rsidRPr="009F75AE" w:rsidRDefault="00483E74" w:rsidP="00483E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Dokumentace řešení incidentů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5FE6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F163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6677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B4AE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483E74" w:rsidRPr="009F75AE" w14:paraId="2ED3967F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F641" w14:textId="6946905A" w:rsidR="00483E74" w:rsidRPr="009F75AE" w:rsidRDefault="00483E74" w:rsidP="00483E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Uzavírání incidentů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E63D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AF12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F127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0DB5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483E74" w:rsidRPr="009F75AE" w14:paraId="5D2D7F2B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5364" w14:textId="531CB897" w:rsidR="00483E74" w:rsidRPr="009F75AE" w:rsidRDefault="00483E74" w:rsidP="00483E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Uzavírání incidentů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E139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FC89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C96B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E9D0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483E74" w:rsidRPr="009F75AE" w14:paraId="0DE5ECF7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997A" w14:textId="0FE26847" w:rsidR="00483E74" w:rsidRPr="009F75AE" w:rsidRDefault="00483E74" w:rsidP="00483E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Zprostředkování podpory u výrobce SW (</w:t>
            </w:r>
            <w:r w:rsidR="00147730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SW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produkty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C58C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58CF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EBF2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6860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1551A3" w:rsidRPr="009F75AE" w14:paraId="2DEED385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0B2F" w14:textId="44F4BEB2" w:rsidR="001551A3" w:rsidRPr="009F75AE" w:rsidRDefault="001551A3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Legislativní znalost (správní řád a zákon o hazardu) při řešení incidentů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DBC0" w14:textId="77777777" w:rsidR="001551A3" w:rsidRPr="009F75AE" w:rsidRDefault="001551A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07C6" w14:textId="77777777" w:rsidR="001551A3" w:rsidRPr="009F75AE" w:rsidRDefault="001551A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2B85" w14:textId="77777777" w:rsidR="001551A3" w:rsidRPr="009F75AE" w:rsidRDefault="001551A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5912" w14:textId="77777777" w:rsidR="001551A3" w:rsidRPr="009F75AE" w:rsidRDefault="001551A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8D74B2" w:rsidRPr="009F75AE" w14:paraId="3C9C2AFE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4E1C" w14:textId="5AA470C9" w:rsidR="008D74B2" w:rsidRPr="009F75AE" w:rsidRDefault="008D74B2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ServiceDesk a Monitoring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666E" w14:textId="77777777" w:rsidR="008D74B2" w:rsidRPr="009F75AE" w:rsidRDefault="008D74B2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7723" w14:textId="77777777" w:rsidR="008D74B2" w:rsidRPr="009F75AE" w:rsidRDefault="008D74B2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1FC6" w14:textId="77777777" w:rsidR="008D74B2" w:rsidRPr="009F75AE" w:rsidRDefault="008D74B2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F99E" w14:textId="77777777" w:rsidR="008D74B2" w:rsidRPr="009F75AE" w:rsidRDefault="008D74B2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8D74B2" w:rsidRPr="009F75AE" w14:paraId="3357B998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8F84" w14:textId="0897C8ED" w:rsidR="008D74B2" w:rsidRPr="009F75AE" w:rsidRDefault="008D74B2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Nástroj ServiceDesk a sledování řešení incidentů v SD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AC19" w14:textId="314616FE" w:rsidR="008D74B2" w:rsidRPr="009F75AE" w:rsidRDefault="008D74B2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F959" w14:textId="12F01E29" w:rsidR="008D74B2" w:rsidRPr="009F75AE" w:rsidRDefault="008D74B2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A2FF" w14:textId="05D02A0A" w:rsidR="008D74B2" w:rsidRPr="009F75AE" w:rsidRDefault="008D74B2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FE68" w14:textId="6D6073CA" w:rsidR="008D74B2" w:rsidRPr="009F75AE" w:rsidRDefault="008D74B2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</w:tr>
      <w:tr w:rsidR="008D74B2" w:rsidRPr="009F75AE" w14:paraId="06A074E8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4EDB" w14:textId="2D10927D" w:rsidR="008D74B2" w:rsidRPr="009F75AE" w:rsidRDefault="008D74B2" w:rsidP="00DA35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Eskalace stavu řešení incidentů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F94D" w14:textId="19F18B4F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05B2" w14:textId="5E779BA3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47EC" w14:textId="77777777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DC6F" w14:textId="63AC9D98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8D74B2" w:rsidRPr="009F75AE" w14:paraId="48CF1FAC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D7B5" w14:textId="1400AC73" w:rsidR="008D74B2" w:rsidRPr="009F75AE" w:rsidRDefault="008D74B2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Provozní monitoring a zakládání incidentů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2A52" w14:textId="6295E980" w:rsidR="008D74B2" w:rsidRPr="009F75AE" w:rsidRDefault="008D74B2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7762" w14:textId="1DBB2BD8" w:rsidR="008D74B2" w:rsidRPr="009F75AE" w:rsidRDefault="00E3204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E482" w14:textId="63235793" w:rsidR="008D74B2" w:rsidRPr="009F75AE" w:rsidRDefault="008D74B2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3D72" w14:textId="7F240201" w:rsidR="008D74B2" w:rsidRPr="009F75AE" w:rsidRDefault="00ED79DD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8D74B2" w:rsidRPr="009F75AE" w14:paraId="5B9BF035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2E18" w14:textId="4423BA42" w:rsidR="008D74B2" w:rsidRPr="009F75AE" w:rsidRDefault="008D74B2" w:rsidP="00DA35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Bezpečnostní monitoring a zakládání incidentů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2543" w14:textId="77777777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4D51" w14:textId="69ACD778" w:rsidR="008D74B2" w:rsidRPr="009F75AE" w:rsidRDefault="00E32040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C4F6" w14:textId="77777777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F57A" w14:textId="0AD29A15" w:rsidR="008D74B2" w:rsidRPr="009F75AE" w:rsidRDefault="00ED79DD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483E74" w:rsidRPr="009F75AE" w14:paraId="497F3D27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7B26" w14:textId="77777777" w:rsidR="00483E74" w:rsidRPr="009F75AE" w:rsidRDefault="00483E74" w:rsidP="00483E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3C38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FAE6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1920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DD15" w14:textId="77777777" w:rsidR="00483E74" w:rsidRPr="009F75AE" w:rsidRDefault="00483E74" w:rsidP="00483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27115820" w14:textId="1E948FB0" w:rsidR="00612E6E" w:rsidRPr="009F75AE" w:rsidRDefault="00612E6E" w:rsidP="00612E6E">
      <w:pPr>
        <w:pStyle w:val="Nadpis3"/>
      </w:pPr>
      <w:bookmarkStart w:id="25" w:name="_Toc510348667"/>
      <w:r w:rsidRPr="009F75AE">
        <w:t>Klasifikace incidentů</w:t>
      </w:r>
      <w:bookmarkEnd w:id="25"/>
    </w:p>
    <w:p w14:paraId="408B76DA" w14:textId="27FA3059" w:rsidR="008D74B2" w:rsidRPr="009F75AE" w:rsidRDefault="008D74B2" w:rsidP="008D74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Klasifikace incidentů a</w:t>
      </w:r>
      <w:r w:rsidR="00F84B03" w:rsidRPr="009F75AE">
        <w:rPr>
          <w:rFonts w:cs="Times New Roman"/>
        </w:rPr>
        <w:t xml:space="preserve"> SLA </w:t>
      </w:r>
      <w:r w:rsidRPr="009F75AE">
        <w:rPr>
          <w:rFonts w:cs="Times New Roman"/>
        </w:rPr>
        <w:t>parametr</w:t>
      </w:r>
      <w:r w:rsidR="00F84B03" w:rsidRPr="009F75AE">
        <w:rPr>
          <w:rFonts w:cs="Times New Roman"/>
        </w:rPr>
        <w:t>y</w:t>
      </w:r>
      <w:r w:rsidRPr="009F75AE">
        <w:rPr>
          <w:rFonts w:cs="Times New Roman"/>
        </w:rPr>
        <w:t xml:space="preserve"> jsou definovány vždy v kontextu jedné ze </w:t>
      </w:r>
      <w:r w:rsidR="00640108">
        <w:rPr>
          <w:rFonts w:cs="Times New Roman"/>
        </w:rPr>
        <w:t xml:space="preserve">dvou </w:t>
      </w:r>
      <w:r w:rsidRPr="009F75AE">
        <w:rPr>
          <w:rFonts w:cs="Times New Roman"/>
        </w:rPr>
        <w:t xml:space="preserve">základních částí systému (Správní část, Dozorová část), pro které jsou také samostatně definovány cílové hodnoty jednotlivých SLA parametrů. </w:t>
      </w:r>
    </w:p>
    <w:p w14:paraId="415B6090" w14:textId="197EF3FF" w:rsidR="008D74B2" w:rsidRPr="009F75AE" w:rsidRDefault="008D74B2" w:rsidP="008D74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Každý incident je vyhodnocován v kontextu všech základních </w:t>
      </w:r>
      <w:r w:rsidR="00950ECE" w:rsidRPr="009F75AE">
        <w:rPr>
          <w:rFonts w:cs="Times New Roman"/>
        </w:rPr>
        <w:t>částí</w:t>
      </w:r>
      <w:r w:rsidRPr="009F75AE">
        <w:rPr>
          <w:rFonts w:cs="Times New Roman"/>
        </w:rPr>
        <w:t xml:space="preserve">, jejichž funkcionalitu ovlivňuje. </w:t>
      </w:r>
    </w:p>
    <w:p w14:paraId="5F6E9811" w14:textId="36634C63" w:rsidR="00612E6E" w:rsidRPr="009F75AE" w:rsidRDefault="00612E6E" w:rsidP="00612E6E">
      <w:pPr>
        <w:pStyle w:val="Titulek"/>
      </w:pPr>
      <w:r w:rsidRPr="009F75AE">
        <w:t>Incident kategorie A (výpadek)</w:t>
      </w:r>
    </w:p>
    <w:p w14:paraId="30CCB937" w14:textId="171B5441" w:rsidR="00612E6E" w:rsidRPr="009F75AE" w:rsidRDefault="00612E6E" w:rsidP="00612E6E">
      <w:pPr>
        <w:autoSpaceDE w:val="0"/>
        <w:autoSpaceDN w:val="0"/>
        <w:adjustRightInd w:val="0"/>
        <w:spacing w:after="0" w:line="240" w:lineRule="auto"/>
        <w:jc w:val="both"/>
        <w:rPr>
          <w:rFonts w:cs="Humnst777BTCENormal"/>
        </w:rPr>
      </w:pPr>
      <w:r w:rsidRPr="009F75AE">
        <w:rPr>
          <w:rFonts w:cs="Humnst777BTCENormal"/>
        </w:rPr>
        <w:lastRenderedPageBreak/>
        <w:t>AISG není použitelný ve svých základních a klíčových funkcích nebo není dostupný většině uživatelů. Tento stav kritickým způsobem ohrožuje klíčové odpovědnosti, procesy a aktivity Objednatele, případně způsobuje větší finanční nebo jiné kritické škody.</w:t>
      </w:r>
    </w:p>
    <w:p w14:paraId="38EA422E" w14:textId="1A764823" w:rsidR="00612E6E" w:rsidRPr="009F75AE" w:rsidRDefault="00612E6E" w:rsidP="00612E6E">
      <w:pPr>
        <w:pStyle w:val="Titulek"/>
      </w:pPr>
      <w:r w:rsidRPr="009F75AE">
        <w:t xml:space="preserve">Incident kategorie B </w:t>
      </w:r>
    </w:p>
    <w:p w14:paraId="0DF9B854" w14:textId="0E7C037B" w:rsidR="00612E6E" w:rsidRPr="009F75AE" w:rsidRDefault="00612E6E" w:rsidP="00612E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9F75AE">
        <w:rPr>
          <w:rFonts w:cs="Times New Roman"/>
          <w:bCs/>
        </w:rPr>
        <w:t xml:space="preserve">AISG je ve své funkcionalitě omezen tak, že tento stav významně omezuje běžné použití AISG ze strany uživatelů. </w:t>
      </w:r>
    </w:p>
    <w:p w14:paraId="40212B48" w14:textId="46BA15D8" w:rsidR="00612E6E" w:rsidRPr="009F75AE" w:rsidRDefault="00612E6E" w:rsidP="00612E6E">
      <w:pPr>
        <w:pStyle w:val="Titulek"/>
      </w:pPr>
      <w:r w:rsidRPr="009F75AE">
        <w:t xml:space="preserve">Incident kategorie C </w:t>
      </w:r>
    </w:p>
    <w:p w14:paraId="53864EE8" w14:textId="6BE4E2F9" w:rsidR="00612E6E" w:rsidRPr="009F75AE" w:rsidRDefault="00612E6E" w:rsidP="00612E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9F75AE">
        <w:rPr>
          <w:rFonts w:cs="Times New Roman"/>
          <w:bCs/>
        </w:rPr>
        <w:t>Drobné</w:t>
      </w:r>
      <w:r w:rsidR="00294A96" w:rsidRPr="009F75AE">
        <w:rPr>
          <w:rFonts w:cs="Times New Roman"/>
          <w:bCs/>
        </w:rPr>
        <w:t xml:space="preserve"> incidenty</w:t>
      </w:r>
      <w:r w:rsidRPr="009F75AE">
        <w:rPr>
          <w:rFonts w:cs="Times New Roman"/>
          <w:bCs/>
        </w:rPr>
        <w:t>, které neomezují základní funkčnost a neomezují významně běžné použití AISG uživateli</w:t>
      </w:r>
      <w:r w:rsidR="00536D41" w:rsidRPr="009F75AE">
        <w:rPr>
          <w:rFonts w:cs="Times New Roman"/>
          <w:bCs/>
        </w:rPr>
        <w:t xml:space="preserve"> </w:t>
      </w:r>
      <w:r w:rsidR="004A2240" w:rsidRPr="009F75AE">
        <w:rPr>
          <w:rFonts w:cs="Times New Roman"/>
          <w:bCs/>
        </w:rPr>
        <w:t>nebo způsobují omezení, které lze uživatelsky řešit jiným způsobem</w:t>
      </w:r>
      <w:r w:rsidRPr="009F75AE">
        <w:rPr>
          <w:rFonts w:cs="Times New Roman"/>
          <w:bCs/>
        </w:rPr>
        <w:t xml:space="preserve">. </w:t>
      </w:r>
    </w:p>
    <w:p w14:paraId="2C23979F" w14:textId="7B949A28" w:rsidR="003C7965" w:rsidRPr="009F75AE" w:rsidRDefault="003C7965" w:rsidP="003C7965">
      <w:pPr>
        <w:pStyle w:val="Nadpis3"/>
      </w:pPr>
      <w:bookmarkStart w:id="26" w:name="_Toc510348668"/>
      <w:r w:rsidRPr="009F75AE">
        <w:t xml:space="preserve">Definice </w:t>
      </w:r>
      <w:r w:rsidR="00F84B03" w:rsidRPr="009F75AE">
        <w:t xml:space="preserve">SLA </w:t>
      </w:r>
      <w:r w:rsidRPr="009F75AE">
        <w:t>parametrů</w:t>
      </w:r>
      <w:bookmarkEnd w:id="26"/>
    </w:p>
    <w:p w14:paraId="23154485" w14:textId="3649CF98" w:rsidR="00A6020C" w:rsidRPr="009F75AE" w:rsidRDefault="00A6020C" w:rsidP="003C7965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9F75AE">
        <w:rPr>
          <w:rFonts w:cs="Times New Roman"/>
          <w:b/>
          <w:bCs/>
        </w:rPr>
        <w:t>Provozní doba</w:t>
      </w:r>
      <w:r w:rsidR="003C7965" w:rsidRPr="009F75AE">
        <w:rPr>
          <w:rFonts w:cs="Times New Roman"/>
          <w:bCs/>
        </w:rPr>
        <w:t xml:space="preserve"> je definován</w:t>
      </w:r>
      <w:r w:rsidRPr="009F75AE">
        <w:rPr>
          <w:rFonts w:cs="Times New Roman"/>
          <w:bCs/>
        </w:rPr>
        <w:t>a</w:t>
      </w:r>
      <w:r w:rsidR="003C7965" w:rsidRPr="009F75AE">
        <w:rPr>
          <w:rFonts w:cs="Times New Roman"/>
          <w:bCs/>
        </w:rPr>
        <w:t xml:space="preserve"> jako časové období, kdy musí být </w:t>
      </w:r>
      <w:r w:rsidR="002A53CA" w:rsidRPr="009F75AE">
        <w:rPr>
          <w:rFonts w:cs="Times New Roman"/>
          <w:bCs/>
        </w:rPr>
        <w:t>funkcionalita AISG</w:t>
      </w:r>
      <w:r w:rsidR="003C7965" w:rsidRPr="009F75AE">
        <w:rPr>
          <w:rFonts w:cs="Times New Roman"/>
          <w:bCs/>
        </w:rPr>
        <w:t xml:space="preserve"> dostupná</w:t>
      </w:r>
      <w:r w:rsidRPr="009F75AE">
        <w:rPr>
          <w:rFonts w:cs="Times New Roman"/>
          <w:bCs/>
        </w:rPr>
        <w:t xml:space="preserve"> a vůči které se vztahují ostatní SLA parametry</w:t>
      </w:r>
      <w:r w:rsidR="00D61FD7" w:rsidRPr="009F75AE">
        <w:rPr>
          <w:rFonts w:cs="Times New Roman"/>
          <w:bCs/>
        </w:rPr>
        <w:t>. Schválené plánované odstávky jsou výjimkou z provozní doby.</w:t>
      </w:r>
    </w:p>
    <w:p w14:paraId="6C7C812E" w14:textId="46E44CB0" w:rsidR="003C7965" w:rsidRPr="009F75AE" w:rsidRDefault="00A6020C" w:rsidP="00C4773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9F75AE">
        <w:rPr>
          <w:rFonts w:cs="Times New Roman"/>
          <w:b/>
          <w:bCs/>
        </w:rPr>
        <w:t xml:space="preserve">Dostupnost </w:t>
      </w:r>
      <w:r w:rsidR="00742C65" w:rsidRPr="009F75AE">
        <w:rPr>
          <w:rFonts w:cs="Times New Roman"/>
          <w:bCs/>
        </w:rPr>
        <w:t xml:space="preserve">je poměrná část provozní doby, kdy není </w:t>
      </w:r>
      <w:r w:rsidR="00612E6E" w:rsidRPr="009F75AE">
        <w:rPr>
          <w:rFonts w:cs="Times New Roman"/>
          <w:bCs/>
        </w:rPr>
        <w:t>aktivní žádný nevyřešený incident</w:t>
      </w:r>
      <w:r w:rsidR="00742C65" w:rsidRPr="009F75AE">
        <w:rPr>
          <w:rFonts w:cs="Times New Roman"/>
          <w:bCs/>
        </w:rPr>
        <w:t xml:space="preserve"> kategorie A</w:t>
      </w:r>
      <w:r w:rsidR="00612E6E" w:rsidRPr="009F75AE">
        <w:rPr>
          <w:rFonts w:cs="Times New Roman"/>
          <w:bCs/>
        </w:rPr>
        <w:t xml:space="preserve"> (výpadek)</w:t>
      </w:r>
      <w:r w:rsidR="00742C65" w:rsidRPr="009F75AE">
        <w:rPr>
          <w:rFonts w:cs="Times New Roman"/>
          <w:bCs/>
        </w:rPr>
        <w:t>.</w:t>
      </w:r>
      <w:r w:rsidR="00CB4B2F" w:rsidRPr="009F75AE">
        <w:rPr>
          <w:rFonts w:cs="Times New Roman"/>
          <w:bCs/>
        </w:rPr>
        <w:t xml:space="preserve"> Parametr dostupnosti je vyhodnocován na roční bázi</w:t>
      </w:r>
      <w:r w:rsidR="000E1DD6" w:rsidRPr="009F75AE">
        <w:rPr>
          <w:rFonts w:cs="Times New Roman"/>
          <w:bCs/>
        </w:rPr>
        <w:t>, počínaje okamžikem zahájení poskytová</w:t>
      </w:r>
      <w:r w:rsidR="00536D41" w:rsidRPr="009F75AE">
        <w:rPr>
          <w:rFonts w:cs="Times New Roman"/>
          <w:bCs/>
        </w:rPr>
        <w:t>n</w:t>
      </w:r>
      <w:r w:rsidR="000E1DD6" w:rsidRPr="009F75AE">
        <w:rPr>
          <w:rFonts w:cs="Times New Roman"/>
          <w:bCs/>
        </w:rPr>
        <w:t>í Servisních služeb</w:t>
      </w:r>
      <w:r w:rsidR="002336BB" w:rsidRPr="009F75AE">
        <w:rPr>
          <w:rFonts w:cs="Times New Roman"/>
          <w:bCs/>
        </w:rPr>
        <w:t>.</w:t>
      </w:r>
    </w:p>
    <w:p w14:paraId="7F74C5EB" w14:textId="3F5EDADF" w:rsidR="003C7965" w:rsidRPr="009F75AE" w:rsidRDefault="003C7965" w:rsidP="00C1110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9F75AE">
        <w:rPr>
          <w:rFonts w:cs="Times New Roman"/>
          <w:b/>
          <w:bCs/>
        </w:rPr>
        <w:t>Doba odezvy</w:t>
      </w:r>
      <w:r w:rsidRPr="009F75AE">
        <w:rPr>
          <w:rFonts w:cs="Times New Roman"/>
          <w:bCs/>
        </w:rPr>
        <w:t xml:space="preserve"> je definována jako doba mezi </w:t>
      </w:r>
      <w:r w:rsidR="00C1110F" w:rsidRPr="009F75AE">
        <w:rPr>
          <w:rFonts w:cs="Times New Roman"/>
          <w:bCs/>
        </w:rPr>
        <w:t xml:space="preserve">oznámením incidentu Dodavateli </w:t>
      </w:r>
      <w:r w:rsidRPr="009F75AE">
        <w:rPr>
          <w:rFonts w:cs="Times New Roman"/>
          <w:bCs/>
        </w:rPr>
        <w:t xml:space="preserve">a informováním </w:t>
      </w:r>
      <w:r w:rsidR="00162AB8" w:rsidRPr="009F75AE">
        <w:rPr>
          <w:rFonts w:cs="Times New Roman"/>
          <w:bCs/>
        </w:rPr>
        <w:t>Objednatel</w:t>
      </w:r>
      <w:r w:rsidRPr="009F75AE">
        <w:rPr>
          <w:rFonts w:cs="Times New Roman"/>
          <w:bCs/>
        </w:rPr>
        <w:t>e o krocích vedoucích k</w:t>
      </w:r>
      <w:r w:rsidR="0070370E" w:rsidRPr="009F75AE">
        <w:rPr>
          <w:rFonts w:cs="Times New Roman"/>
          <w:bCs/>
        </w:rPr>
        <w:t> </w:t>
      </w:r>
      <w:r w:rsidRPr="009F75AE">
        <w:rPr>
          <w:rFonts w:cs="Times New Roman"/>
          <w:bCs/>
        </w:rPr>
        <w:t>je</w:t>
      </w:r>
      <w:r w:rsidR="0070370E" w:rsidRPr="009F75AE">
        <w:rPr>
          <w:rFonts w:cs="Times New Roman"/>
          <w:bCs/>
        </w:rPr>
        <w:t>ho řešení</w:t>
      </w:r>
      <w:r w:rsidRPr="009F75AE">
        <w:rPr>
          <w:rFonts w:cs="Times New Roman"/>
          <w:bCs/>
        </w:rPr>
        <w:t xml:space="preserve"> a v případě možnosti také o předpokládané době </w:t>
      </w:r>
      <w:r w:rsidR="00950ECE" w:rsidRPr="009F75AE">
        <w:rPr>
          <w:rFonts w:cs="Times New Roman"/>
          <w:bCs/>
        </w:rPr>
        <w:t xml:space="preserve">jeho </w:t>
      </w:r>
      <w:r w:rsidRPr="009F75AE">
        <w:rPr>
          <w:rFonts w:cs="Times New Roman"/>
          <w:bCs/>
        </w:rPr>
        <w:t>ukončení.</w:t>
      </w:r>
    </w:p>
    <w:p w14:paraId="3DD9C8E0" w14:textId="32971B38" w:rsidR="003C7965" w:rsidRPr="009F75AE" w:rsidRDefault="003C7965" w:rsidP="00C1110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9F75AE">
        <w:rPr>
          <w:rFonts w:cs="Times New Roman"/>
          <w:b/>
          <w:bCs/>
        </w:rPr>
        <w:t xml:space="preserve">Doba </w:t>
      </w:r>
      <w:r w:rsidR="00355429" w:rsidRPr="009F75AE">
        <w:rPr>
          <w:rFonts w:cs="Times New Roman"/>
          <w:b/>
          <w:bCs/>
        </w:rPr>
        <w:t>vyřešení</w:t>
      </w:r>
      <w:r w:rsidR="0070370E" w:rsidRPr="009F75AE">
        <w:rPr>
          <w:rFonts w:cs="Times New Roman"/>
          <w:bCs/>
        </w:rPr>
        <w:t xml:space="preserve"> </w:t>
      </w:r>
      <w:r w:rsidRPr="009F75AE">
        <w:rPr>
          <w:rFonts w:cs="Times New Roman"/>
          <w:bCs/>
        </w:rPr>
        <w:t xml:space="preserve">je definována jako </w:t>
      </w:r>
      <w:r w:rsidR="0070370E" w:rsidRPr="009F75AE">
        <w:rPr>
          <w:rFonts w:cs="Times New Roman"/>
          <w:bCs/>
        </w:rPr>
        <w:t xml:space="preserve">doba mezi </w:t>
      </w:r>
      <w:r w:rsidR="00C1110F" w:rsidRPr="009F75AE">
        <w:rPr>
          <w:rFonts w:cs="Times New Roman"/>
          <w:bCs/>
        </w:rPr>
        <w:t>oznámení</w:t>
      </w:r>
      <w:r w:rsidR="00A51C5F" w:rsidRPr="009F75AE">
        <w:rPr>
          <w:rFonts w:cs="Times New Roman"/>
          <w:bCs/>
        </w:rPr>
        <w:t>m</w:t>
      </w:r>
      <w:r w:rsidR="00C1110F" w:rsidRPr="009F75AE">
        <w:rPr>
          <w:rFonts w:cs="Times New Roman"/>
          <w:bCs/>
        </w:rPr>
        <w:t xml:space="preserve"> incidentu Dodavateli</w:t>
      </w:r>
      <w:r w:rsidR="0070370E" w:rsidRPr="009F75AE">
        <w:rPr>
          <w:rFonts w:cs="Times New Roman"/>
          <w:bCs/>
        </w:rPr>
        <w:t xml:space="preserve"> a </w:t>
      </w:r>
      <w:r w:rsidR="0047056E" w:rsidRPr="009F75AE">
        <w:rPr>
          <w:rFonts w:cs="Times New Roman"/>
          <w:bCs/>
        </w:rPr>
        <w:t>jeho vyřešením a obnovením funkcionality</w:t>
      </w:r>
      <w:r w:rsidRPr="009F75AE">
        <w:rPr>
          <w:rFonts w:cs="Times New Roman"/>
          <w:bCs/>
        </w:rPr>
        <w:t>.</w:t>
      </w:r>
    </w:p>
    <w:p w14:paraId="63937B6A" w14:textId="3DA1D4DA" w:rsidR="00C47731" w:rsidRDefault="00D61FD7" w:rsidP="003C7965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9F75AE">
        <w:rPr>
          <w:rFonts w:cs="Times New Roman"/>
          <w:b/>
          <w:bCs/>
        </w:rPr>
        <w:t>Po</w:t>
      </w:r>
      <w:r w:rsidR="00C47731" w:rsidRPr="009F75AE">
        <w:rPr>
          <w:rFonts w:cs="Times New Roman"/>
          <w:b/>
          <w:bCs/>
        </w:rPr>
        <w:t>čet incidentů</w:t>
      </w:r>
      <w:r w:rsidR="00C47731" w:rsidRPr="009F75AE">
        <w:rPr>
          <w:rFonts w:cs="Times New Roman"/>
          <w:bCs/>
        </w:rPr>
        <w:t xml:space="preserve"> </w:t>
      </w:r>
      <w:r w:rsidR="00C3112D" w:rsidRPr="009F75AE">
        <w:rPr>
          <w:rFonts w:cs="Times New Roman"/>
          <w:bCs/>
        </w:rPr>
        <w:t xml:space="preserve">dané kategorie </w:t>
      </w:r>
      <w:r w:rsidR="00C3112D" w:rsidRPr="009F75AE">
        <w:rPr>
          <w:rFonts w:cs="Times New Roman"/>
          <w:b/>
          <w:bCs/>
        </w:rPr>
        <w:t>za měsíc</w:t>
      </w:r>
      <w:r w:rsidR="00A1455C" w:rsidRPr="009F75AE">
        <w:rPr>
          <w:rFonts w:cs="Times New Roman"/>
          <w:bCs/>
        </w:rPr>
        <w:t xml:space="preserve"> je</w:t>
      </w:r>
      <w:r w:rsidRPr="009F75AE">
        <w:rPr>
          <w:rFonts w:cs="Times New Roman"/>
          <w:bCs/>
        </w:rPr>
        <w:t xml:space="preserve"> počítán pro každý kalendářní měsíc podle času vzniku incidentu.</w:t>
      </w:r>
    </w:p>
    <w:p w14:paraId="35EA949B" w14:textId="7362EA55" w:rsidR="008B440F" w:rsidRDefault="008B440F" w:rsidP="008B440F">
      <w:pPr>
        <w:rPr>
          <w:rFonts w:cs="Times New Roman"/>
          <w:bCs/>
        </w:rPr>
      </w:pPr>
    </w:p>
    <w:p w14:paraId="34C4A981" w14:textId="771E77C4" w:rsidR="008B440F" w:rsidRPr="008B440F" w:rsidRDefault="008B440F" w:rsidP="006073E5">
      <w:pPr>
        <w:jc w:val="both"/>
      </w:pPr>
      <w:r>
        <w:t xml:space="preserve">Poznámka k definici dostupnosti: V rámci implementace provozního monitoringu bude implementováno měření dostupnosti jednotlivých služeb a částí AISG. Na základě výstupů tohoto měření budou pracovníky provozního dohledu SPCSS zakládány incidenty k řešení na straně SPCSS nebo Dodavatele (podle příčiny nedostupnosti). Podklady z měření dostupnosti budou využívány při analýze a hodnocení incidentů. </w:t>
      </w:r>
    </w:p>
    <w:p w14:paraId="0B99A188" w14:textId="28658E9E" w:rsidR="008D74B2" w:rsidRPr="009F75AE" w:rsidRDefault="008D74B2" w:rsidP="00846224">
      <w:pPr>
        <w:pStyle w:val="Nadpis3"/>
      </w:pPr>
      <w:bookmarkStart w:id="27" w:name="_Toc510348669"/>
      <w:r w:rsidRPr="009F75AE">
        <w:t>Hodnoty SLA parametrů</w:t>
      </w:r>
      <w:bookmarkEnd w:id="27"/>
    </w:p>
    <w:p w14:paraId="0715FB71" w14:textId="30C27AFA" w:rsidR="008D74B2" w:rsidRPr="009F75AE" w:rsidRDefault="008D74B2" w:rsidP="008D74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Při řešení provozních incidentů je Dodavatel povin</w:t>
      </w:r>
      <w:r w:rsidR="00536D41" w:rsidRPr="009F75AE">
        <w:rPr>
          <w:rFonts w:cs="Times New Roman"/>
        </w:rPr>
        <w:t>e</w:t>
      </w:r>
      <w:r w:rsidRPr="009F75AE">
        <w:rPr>
          <w:rFonts w:cs="Times New Roman"/>
        </w:rPr>
        <w:t>n dodržet lhůty stanovené v této kapitole. Dodavatel je odpovědný za škody způsobené nedodržením SLA</w:t>
      </w:r>
      <w:r w:rsidR="00F84B03" w:rsidRPr="009F75AE">
        <w:rPr>
          <w:rFonts w:cs="Times New Roman"/>
        </w:rPr>
        <w:t xml:space="preserve"> parametrů</w:t>
      </w:r>
      <w:r w:rsidRPr="009F75AE">
        <w:rPr>
          <w:rFonts w:cs="Times New Roman"/>
        </w:rPr>
        <w:t xml:space="preserve">. Lhůty jsou stanovené samostatně pro jednotlivé části AISG (viz </w:t>
      </w:r>
      <w:r w:rsidR="006A5FA8">
        <w:rPr>
          <w:rFonts w:cs="Times New Roman"/>
        </w:rPr>
        <w:t>P</w:t>
      </w:r>
      <w:r w:rsidR="006A5FA8" w:rsidRPr="009F75AE">
        <w:rPr>
          <w:rFonts w:cs="Times New Roman"/>
        </w:rPr>
        <w:t xml:space="preserve">řílohu </w:t>
      </w:r>
      <w:r w:rsidRPr="009F75AE">
        <w:rPr>
          <w:rFonts w:cs="Times New Roman"/>
        </w:rPr>
        <w:t>č. 1 Smlouvy). Veškeré SLA</w:t>
      </w:r>
      <w:r w:rsidR="00F84B03" w:rsidRPr="009F75AE">
        <w:rPr>
          <w:rFonts w:cs="Times New Roman"/>
        </w:rPr>
        <w:t xml:space="preserve"> parametry</w:t>
      </w:r>
      <w:r w:rsidRPr="009F75AE">
        <w:rPr>
          <w:rFonts w:cs="Times New Roman"/>
        </w:rPr>
        <w:t xml:space="preserve"> uvedené ve Smlouvě a jejích přílohách se týkají pouze produkčního prostředí.</w:t>
      </w:r>
    </w:p>
    <w:p w14:paraId="715BD4BF" w14:textId="77777777" w:rsidR="008D74B2" w:rsidRPr="009F75AE" w:rsidRDefault="008D74B2" w:rsidP="008D74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AFD9427" w14:textId="4A1BAC2A" w:rsidR="008D74B2" w:rsidRPr="009F75AE" w:rsidRDefault="008D74B2" w:rsidP="008D74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Upgrady a aktualizace </w:t>
      </w:r>
      <w:r w:rsidR="009E301A" w:rsidRPr="009F75AE">
        <w:rPr>
          <w:rFonts w:cs="Times New Roman"/>
        </w:rPr>
        <w:t xml:space="preserve">SW produktů </w:t>
      </w:r>
      <w:r w:rsidRPr="009F75AE">
        <w:rPr>
          <w:rFonts w:cs="Times New Roman"/>
        </w:rPr>
        <w:t>i řešení incidentů a odstraňování vad na všech vrstvách systému musí u Dozorov</w:t>
      </w:r>
      <w:r w:rsidR="00640108">
        <w:rPr>
          <w:rFonts w:cs="Times New Roman"/>
        </w:rPr>
        <w:t>é</w:t>
      </w:r>
      <w:r w:rsidRPr="009F75AE">
        <w:rPr>
          <w:rFonts w:cs="Times New Roman"/>
        </w:rPr>
        <w:t xml:space="preserve"> část</w:t>
      </w:r>
      <w:r w:rsidR="00640108">
        <w:rPr>
          <w:rFonts w:cs="Times New Roman"/>
        </w:rPr>
        <w:t>i</w:t>
      </w:r>
      <w:r w:rsidRPr="009F75AE">
        <w:rPr>
          <w:rFonts w:cs="Times New Roman"/>
        </w:rPr>
        <w:t xml:space="preserve"> AISG probíhat </w:t>
      </w:r>
      <w:proofErr w:type="spellStart"/>
      <w:r w:rsidRPr="009F75AE">
        <w:rPr>
          <w:rFonts w:cs="Times New Roman"/>
        </w:rPr>
        <w:t>bezodstávkově</w:t>
      </w:r>
      <w:proofErr w:type="spellEnd"/>
      <w:r w:rsidRPr="009F75AE">
        <w:rPr>
          <w:rFonts w:cs="Times New Roman"/>
        </w:rPr>
        <w:t xml:space="preserve">. U </w:t>
      </w:r>
      <w:r w:rsidR="00F83A36">
        <w:rPr>
          <w:rFonts w:cs="Times New Roman"/>
        </w:rPr>
        <w:t xml:space="preserve">Správní </w:t>
      </w:r>
      <w:r w:rsidR="00F83A36" w:rsidRPr="009F75AE">
        <w:rPr>
          <w:rFonts w:cs="Times New Roman"/>
        </w:rPr>
        <w:t>část</w:t>
      </w:r>
      <w:r w:rsidR="00F83A36">
        <w:rPr>
          <w:rFonts w:cs="Times New Roman"/>
        </w:rPr>
        <w:t>i</w:t>
      </w:r>
      <w:r w:rsidR="00F83A36" w:rsidRPr="009F75AE">
        <w:rPr>
          <w:rFonts w:cs="Times New Roman"/>
        </w:rPr>
        <w:t xml:space="preserve"> </w:t>
      </w:r>
      <w:r w:rsidRPr="009F75AE">
        <w:rPr>
          <w:rFonts w:cs="Times New Roman"/>
        </w:rPr>
        <w:t xml:space="preserve">je nutné s dostatečným předstihem (nejméně 4 týdny dopředu) plánovat odstávku mimo provozní dobu. Plánované odstávky podléhají schvalování Objednatele. </w:t>
      </w:r>
    </w:p>
    <w:p w14:paraId="62788154" w14:textId="77777777" w:rsidR="008D74B2" w:rsidRPr="009F75AE" w:rsidRDefault="008D74B2" w:rsidP="008D74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34C2687D" w14:textId="22A8A080" w:rsidR="003C7965" w:rsidRPr="009F75AE" w:rsidRDefault="003C7965" w:rsidP="008D74B2">
      <w:pPr>
        <w:pStyle w:val="Nadpis4"/>
      </w:pPr>
      <w:r w:rsidRPr="009F75AE">
        <w:t>Dozorová část AISG</w:t>
      </w:r>
    </w:p>
    <w:p w14:paraId="47A7B65C" w14:textId="77777777" w:rsidR="002340E3" w:rsidRPr="009F75AE" w:rsidRDefault="002340E3" w:rsidP="002340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Provozní doba: 7x24</w:t>
      </w:r>
    </w:p>
    <w:p w14:paraId="080BBA25" w14:textId="09E94F30" w:rsidR="002340E3" w:rsidRPr="009F75AE" w:rsidRDefault="002340E3" w:rsidP="002340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Minimální dostupnost: </w:t>
      </w:r>
      <w:r w:rsidRPr="009F75AE">
        <w:rPr>
          <w:rFonts w:eastAsia="Times New Roman" w:cs="Times New Roman"/>
          <w:lang w:eastAsia="cs-CZ"/>
        </w:rPr>
        <w:t>99,982</w:t>
      </w:r>
      <w:r w:rsidRPr="009F75AE" w:rsidDel="00044A70">
        <w:rPr>
          <w:rFonts w:eastAsia="Times New Roman" w:cs="Times New Roman"/>
          <w:lang w:eastAsia="cs-CZ"/>
        </w:rPr>
        <w:t xml:space="preserve"> </w:t>
      </w:r>
      <w:r w:rsidRPr="009F75AE">
        <w:rPr>
          <w:rFonts w:eastAsia="Times New Roman" w:cs="Times New Roman"/>
          <w:lang w:eastAsia="cs-CZ"/>
        </w:rPr>
        <w:t>%</w:t>
      </w:r>
    </w:p>
    <w:p w14:paraId="3CC4095B" w14:textId="77777777" w:rsidR="002340E3" w:rsidRPr="009F75AE" w:rsidRDefault="002340E3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212F620C" w14:textId="3FADA32F" w:rsidR="003C7965" w:rsidRPr="009F75AE" w:rsidRDefault="00355429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9F75AE">
        <w:rPr>
          <w:rFonts w:cs="Times New Roman"/>
          <w:b/>
          <w:bCs/>
        </w:rPr>
        <w:t>Incident</w:t>
      </w:r>
      <w:r w:rsidR="003C7965" w:rsidRPr="009F75AE">
        <w:rPr>
          <w:rFonts w:cs="Times New Roman"/>
          <w:b/>
          <w:bCs/>
        </w:rPr>
        <w:t xml:space="preserve"> kategorie A </w:t>
      </w:r>
    </w:p>
    <w:p w14:paraId="40377D20" w14:textId="02EF8A6B" w:rsidR="003C7965" w:rsidRPr="009F75AE" w:rsidRDefault="002340E3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Maximální d</w:t>
      </w:r>
      <w:r w:rsidR="003C7965" w:rsidRPr="009F75AE">
        <w:rPr>
          <w:rFonts w:cs="Times New Roman"/>
        </w:rPr>
        <w:t>oba odezvy (v hodinách</w:t>
      </w:r>
      <w:r w:rsidR="00354B57">
        <w:rPr>
          <w:rFonts w:cs="Times New Roman"/>
        </w:rPr>
        <w:t xml:space="preserve"> provozní doby</w:t>
      </w:r>
      <w:r w:rsidR="003C7965" w:rsidRPr="009F75AE">
        <w:rPr>
          <w:rFonts w:cs="Times New Roman"/>
        </w:rPr>
        <w:t>): 0,25</w:t>
      </w:r>
    </w:p>
    <w:p w14:paraId="2BC81AD4" w14:textId="69F8A5A3" w:rsidR="003C7965" w:rsidRPr="009F75AE" w:rsidRDefault="002340E3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Maximální d</w:t>
      </w:r>
      <w:r w:rsidR="003C7965" w:rsidRPr="009F75AE">
        <w:rPr>
          <w:rFonts w:cs="Times New Roman"/>
        </w:rPr>
        <w:t xml:space="preserve">oba </w:t>
      </w:r>
      <w:r w:rsidR="00355429" w:rsidRPr="009F75AE">
        <w:rPr>
          <w:rFonts w:cs="Times New Roman"/>
        </w:rPr>
        <w:t>vyřešení</w:t>
      </w:r>
      <w:r w:rsidR="003C7965" w:rsidRPr="009F75AE">
        <w:rPr>
          <w:rFonts w:cs="Times New Roman"/>
        </w:rPr>
        <w:t xml:space="preserve"> (v hodinách</w:t>
      </w:r>
      <w:r w:rsidR="00354B57">
        <w:rPr>
          <w:rFonts w:cs="Times New Roman"/>
        </w:rPr>
        <w:t xml:space="preserve"> provozní doby</w:t>
      </w:r>
      <w:r w:rsidR="003C7965" w:rsidRPr="009F75AE">
        <w:rPr>
          <w:rFonts w:cs="Times New Roman"/>
        </w:rPr>
        <w:t>): 1,5</w:t>
      </w:r>
    </w:p>
    <w:p w14:paraId="3BC354EC" w14:textId="035A0E81" w:rsidR="009211B8" w:rsidRPr="009F75AE" w:rsidRDefault="009211B8" w:rsidP="009211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Maximální počet incidentů za </w:t>
      </w:r>
      <w:r w:rsidR="00EB555E" w:rsidRPr="009F75AE">
        <w:rPr>
          <w:rFonts w:cs="Times New Roman"/>
        </w:rPr>
        <w:t>rok</w:t>
      </w:r>
      <w:r w:rsidRPr="009F75AE">
        <w:rPr>
          <w:rFonts w:cs="Times New Roman"/>
        </w:rPr>
        <w:t xml:space="preserve">: </w:t>
      </w:r>
      <w:r w:rsidR="00EB555E" w:rsidRPr="009F75AE">
        <w:rPr>
          <w:rFonts w:cs="Times New Roman"/>
        </w:rPr>
        <w:t xml:space="preserve">1 </w:t>
      </w:r>
    </w:p>
    <w:p w14:paraId="36BA0790" w14:textId="77777777" w:rsidR="003C7965" w:rsidRPr="009F75AE" w:rsidRDefault="003C7965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14:paraId="19C10345" w14:textId="488A2F2C" w:rsidR="003C7965" w:rsidRPr="009F75AE" w:rsidRDefault="00355429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9F75AE">
        <w:rPr>
          <w:rFonts w:cs="Times New Roman"/>
          <w:b/>
          <w:bCs/>
        </w:rPr>
        <w:t>Incident</w:t>
      </w:r>
      <w:r w:rsidR="003C7965" w:rsidRPr="009F75AE">
        <w:rPr>
          <w:rFonts w:cs="Times New Roman"/>
          <w:b/>
          <w:bCs/>
        </w:rPr>
        <w:t xml:space="preserve"> kategorie B </w:t>
      </w:r>
    </w:p>
    <w:p w14:paraId="5484CEBC" w14:textId="3837BC7D" w:rsidR="003C7965" w:rsidRPr="009F75AE" w:rsidRDefault="002340E3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Maximální d</w:t>
      </w:r>
      <w:r w:rsidR="003C7965" w:rsidRPr="009F75AE">
        <w:rPr>
          <w:rFonts w:cs="Times New Roman"/>
        </w:rPr>
        <w:t>oba odezvy (v hodinách): 1,5</w:t>
      </w:r>
    </w:p>
    <w:p w14:paraId="05FBDCBD" w14:textId="44ABF351" w:rsidR="003C7965" w:rsidRPr="009F75AE" w:rsidRDefault="002340E3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lastRenderedPageBreak/>
        <w:t>Maximální d</w:t>
      </w:r>
      <w:r w:rsidR="003C7965" w:rsidRPr="009F75AE">
        <w:rPr>
          <w:rFonts w:cs="Times New Roman"/>
        </w:rPr>
        <w:t xml:space="preserve">oba </w:t>
      </w:r>
      <w:r w:rsidR="00355429" w:rsidRPr="009F75AE">
        <w:rPr>
          <w:rFonts w:cs="Times New Roman"/>
        </w:rPr>
        <w:t>vyřešení</w:t>
      </w:r>
      <w:r w:rsidR="003C7965" w:rsidRPr="009F75AE">
        <w:rPr>
          <w:rFonts w:cs="Times New Roman"/>
        </w:rPr>
        <w:t xml:space="preserve"> (v hodinách</w:t>
      </w:r>
      <w:r w:rsidR="00354B57">
        <w:rPr>
          <w:rFonts w:cs="Times New Roman"/>
        </w:rPr>
        <w:t xml:space="preserve"> provozní doby</w:t>
      </w:r>
      <w:r w:rsidR="003C7965" w:rsidRPr="009F75AE">
        <w:rPr>
          <w:rFonts w:cs="Times New Roman"/>
        </w:rPr>
        <w:t>): 8</w:t>
      </w:r>
    </w:p>
    <w:p w14:paraId="6A58B280" w14:textId="784082DF" w:rsidR="002340E3" w:rsidRPr="009F75AE" w:rsidRDefault="002340E3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Maximál</w:t>
      </w:r>
      <w:r w:rsidR="004C72A3" w:rsidRPr="009F75AE">
        <w:rPr>
          <w:rFonts w:cs="Times New Roman"/>
        </w:rPr>
        <w:t xml:space="preserve">ní počet incidentů za měsíc: 1 </w:t>
      </w:r>
    </w:p>
    <w:p w14:paraId="2A4FFB5B" w14:textId="77777777" w:rsidR="003C7965" w:rsidRPr="009F75AE" w:rsidRDefault="003C7965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596A8A7A" w14:textId="67D2DC62" w:rsidR="003C7965" w:rsidRPr="009F75AE" w:rsidRDefault="00355429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9F75AE">
        <w:rPr>
          <w:rFonts w:cs="Times New Roman"/>
          <w:b/>
          <w:bCs/>
        </w:rPr>
        <w:t>Incident</w:t>
      </w:r>
      <w:r w:rsidR="003C7965" w:rsidRPr="009F75AE">
        <w:rPr>
          <w:rFonts w:cs="Times New Roman"/>
          <w:b/>
          <w:bCs/>
        </w:rPr>
        <w:t xml:space="preserve"> kategorie C </w:t>
      </w:r>
    </w:p>
    <w:p w14:paraId="6B6BD739" w14:textId="25A41CF0" w:rsidR="003C7965" w:rsidRPr="009F75AE" w:rsidRDefault="003C7965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Doba odezvy (v hodinách</w:t>
      </w:r>
      <w:r w:rsidR="00354B57">
        <w:rPr>
          <w:rFonts w:cs="Times New Roman"/>
        </w:rPr>
        <w:t xml:space="preserve"> provozní doby</w:t>
      </w:r>
      <w:r w:rsidRPr="009F75AE">
        <w:rPr>
          <w:rFonts w:cs="Times New Roman"/>
        </w:rPr>
        <w:t>): 4</w:t>
      </w:r>
    </w:p>
    <w:p w14:paraId="232C8CA9" w14:textId="7DD98EE2" w:rsidR="003C7965" w:rsidRPr="009F75AE" w:rsidRDefault="003C7965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Doba </w:t>
      </w:r>
      <w:r w:rsidR="00355429" w:rsidRPr="009F75AE">
        <w:rPr>
          <w:rFonts w:cs="Times New Roman"/>
        </w:rPr>
        <w:t>vyřešení</w:t>
      </w:r>
      <w:r w:rsidRPr="009F75AE">
        <w:rPr>
          <w:rFonts w:cs="Times New Roman"/>
        </w:rPr>
        <w:t xml:space="preserve"> (v hodinách</w:t>
      </w:r>
      <w:r w:rsidR="00354B57">
        <w:rPr>
          <w:rFonts w:cs="Times New Roman"/>
        </w:rPr>
        <w:t xml:space="preserve"> provozní doby</w:t>
      </w:r>
      <w:r w:rsidRPr="009F75AE">
        <w:rPr>
          <w:rFonts w:cs="Times New Roman"/>
        </w:rPr>
        <w:t>): 48</w:t>
      </w:r>
    </w:p>
    <w:p w14:paraId="27BAB21E" w14:textId="1F5D8674" w:rsidR="004C72A3" w:rsidRPr="009F75AE" w:rsidRDefault="004C72A3" w:rsidP="004C72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Maximální počet incidentů za měsíc: </w:t>
      </w:r>
      <w:r w:rsidR="000E1DD6" w:rsidRPr="009F75AE">
        <w:rPr>
          <w:rFonts w:cs="Times New Roman"/>
        </w:rPr>
        <w:t>5</w:t>
      </w:r>
      <w:r w:rsidRPr="009F75AE">
        <w:rPr>
          <w:rFonts w:cs="Times New Roman"/>
        </w:rPr>
        <w:t xml:space="preserve"> </w:t>
      </w:r>
    </w:p>
    <w:p w14:paraId="3F03106E" w14:textId="77777777" w:rsidR="009F1466" w:rsidRPr="009F75AE" w:rsidRDefault="009F1466" w:rsidP="004C72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39A2400" w14:textId="479E2F61" w:rsidR="009F1466" w:rsidRPr="009F75AE" w:rsidRDefault="009F1466" w:rsidP="004C72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Založení incidentu Dozorov</w:t>
      </w:r>
      <w:r w:rsidR="00640108">
        <w:rPr>
          <w:rFonts w:cs="Times New Roman"/>
        </w:rPr>
        <w:t>é</w:t>
      </w:r>
      <w:r w:rsidRPr="009F75AE">
        <w:rPr>
          <w:rFonts w:cs="Times New Roman"/>
        </w:rPr>
        <w:t xml:space="preserve"> část</w:t>
      </w:r>
      <w:r w:rsidR="00640108">
        <w:rPr>
          <w:rFonts w:cs="Times New Roman"/>
        </w:rPr>
        <w:t>i</w:t>
      </w:r>
      <w:r w:rsidRPr="009F75AE">
        <w:rPr>
          <w:rFonts w:cs="Times New Roman"/>
        </w:rPr>
        <w:t xml:space="preserve"> AISG je Dodavateli oznamováno telefonicky.  </w:t>
      </w:r>
    </w:p>
    <w:p w14:paraId="4FB5E307" w14:textId="77777777" w:rsidR="008D74B2" w:rsidRPr="009F75AE" w:rsidRDefault="008D74B2" w:rsidP="004C72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58B3068" w14:textId="5E935DE5" w:rsidR="003C7965" w:rsidRPr="009F75AE" w:rsidRDefault="003C7965" w:rsidP="008D74B2">
      <w:pPr>
        <w:pStyle w:val="Nadpis4"/>
      </w:pPr>
      <w:r w:rsidRPr="009F75AE">
        <w:t xml:space="preserve">Správní </w:t>
      </w:r>
      <w:r w:rsidR="0024373D" w:rsidRPr="009F75AE">
        <w:t>část AISG</w:t>
      </w:r>
      <w:r w:rsidRPr="009F75AE">
        <w:t xml:space="preserve"> </w:t>
      </w:r>
    </w:p>
    <w:p w14:paraId="27396603" w14:textId="05E24409" w:rsidR="005A57CD" w:rsidRPr="009F75AE" w:rsidRDefault="005A57CD" w:rsidP="005A57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Provozní doba: pracovní dny 6:00-20:00</w:t>
      </w:r>
    </w:p>
    <w:p w14:paraId="3069E531" w14:textId="7B5ED19C" w:rsidR="005A57CD" w:rsidRPr="009F75AE" w:rsidRDefault="005A57CD" w:rsidP="005A57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Minimální dostupnost: </w:t>
      </w:r>
      <w:r w:rsidRPr="009F75AE">
        <w:rPr>
          <w:rFonts w:eastAsia="Times New Roman" w:cs="Times New Roman"/>
          <w:lang w:eastAsia="cs-CZ"/>
        </w:rPr>
        <w:t>99</w:t>
      </w:r>
      <w:r w:rsidRPr="009F75AE" w:rsidDel="00044A70">
        <w:rPr>
          <w:rFonts w:eastAsia="Times New Roman" w:cs="Times New Roman"/>
          <w:lang w:eastAsia="cs-CZ"/>
        </w:rPr>
        <w:t xml:space="preserve"> </w:t>
      </w:r>
      <w:r w:rsidRPr="009F75AE">
        <w:rPr>
          <w:rFonts w:eastAsia="Times New Roman" w:cs="Times New Roman"/>
          <w:lang w:eastAsia="cs-CZ"/>
        </w:rPr>
        <w:t>%</w:t>
      </w:r>
    </w:p>
    <w:p w14:paraId="43AB8C7D" w14:textId="77777777" w:rsidR="005A57CD" w:rsidRPr="009F75AE" w:rsidRDefault="005A57CD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17CCC0C1" w14:textId="12A914C8" w:rsidR="003C7965" w:rsidRPr="009F75AE" w:rsidRDefault="0024373D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9F75AE">
        <w:rPr>
          <w:rFonts w:cs="Times New Roman"/>
          <w:b/>
          <w:bCs/>
        </w:rPr>
        <w:t>Incide</w:t>
      </w:r>
      <w:r w:rsidR="005A57CD" w:rsidRPr="009F75AE">
        <w:rPr>
          <w:rFonts w:cs="Times New Roman"/>
          <w:b/>
          <w:bCs/>
        </w:rPr>
        <w:t>n</w:t>
      </w:r>
      <w:r w:rsidRPr="009F75AE">
        <w:rPr>
          <w:rFonts w:cs="Times New Roman"/>
          <w:b/>
          <w:bCs/>
        </w:rPr>
        <w:t>t</w:t>
      </w:r>
      <w:r w:rsidR="003C7965" w:rsidRPr="009F75AE">
        <w:rPr>
          <w:rFonts w:cs="Times New Roman"/>
          <w:b/>
          <w:bCs/>
        </w:rPr>
        <w:t xml:space="preserve"> kategorie A </w:t>
      </w:r>
    </w:p>
    <w:p w14:paraId="401718C3" w14:textId="24E13FE5" w:rsidR="003C7965" w:rsidRPr="009F75AE" w:rsidRDefault="003C7965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Doba odezvy (v hodinách</w:t>
      </w:r>
      <w:r w:rsidR="004310F5">
        <w:rPr>
          <w:rFonts w:cs="Times New Roman"/>
        </w:rPr>
        <w:t xml:space="preserve"> provozní doby</w:t>
      </w:r>
      <w:r w:rsidRPr="009F75AE">
        <w:rPr>
          <w:rFonts w:cs="Times New Roman"/>
        </w:rPr>
        <w:t>): 0,5</w:t>
      </w:r>
    </w:p>
    <w:p w14:paraId="511DBE2A" w14:textId="28AA27A9" w:rsidR="003C7965" w:rsidRPr="009F75AE" w:rsidRDefault="003C7965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Doba </w:t>
      </w:r>
      <w:r w:rsidR="0024373D" w:rsidRPr="009F75AE">
        <w:rPr>
          <w:rFonts w:cs="Times New Roman"/>
        </w:rPr>
        <w:t>vyřešení</w:t>
      </w:r>
      <w:r w:rsidRPr="009F75AE">
        <w:rPr>
          <w:rFonts w:cs="Times New Roman"/>
        </w:rPr>
        <w:t xml:space="preserve"> (v hodinách</w:t>
      </w:r>
      <w:r w:rsidR="004310F5">
        <w:rPr>
          <w:rFonts w:cs="Times New Roman"/>
        </w:rPr>
        <w:t xml:space="preserve"> provozní doby</w:t>
      </w:r>
      <w:r w:rsidRPr="009F75AE">
        <w:rPr>
          <w:rFonts w:cs="Times New Roman"/>
        </w:rPr>
        <w:t xml:space="preserve">): </w:t>
      </w:r>
      <w:r w:rsidR="00326077" w:rsidRPr="009F75AE">
        <w:rPr>
          <w:rFonts w:cs="Times New Roman"/>
        </w:rPr>
        <w:t>4</w:t>
      </w:r>
    </w:p>
    <w:p w14:paraId="753419A0" w14:textId="7B8EECD5" w:rsidR="009211B8" w:rsidRPr="009F75AE" w:rsidRDefault="009211B8" w:rsidP="009211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Maximální počet incidentů za </w:t>
      </w:r>
      <w:r w:rsidR="00EB555E" w:rsidRPr="009F75AE">
        <w:rPr>
          <w:rFonts w:cs="Times New Roman"/>
        </w:rPr>
        <w:t>rok</w:t>
      </w:r>
      <w:r w:rsidRPr="009F75AE">
        <w:rPr>
          <w:rFonts w:cs="Times New Roman"/>
        </w:rPr>
        <w:t xml:space="preserve">: </w:t>
      </w:r>
      <w:r w:rsidR="00EB555E" w:rsidRPr="009F75AE">
        <w:rPr>
          <w:rFonts w:cs="Times New Roman"/>
        </w:rPr>
        <w:t xml:space="preserve">3 </w:t>
      </w:r>
    </w:p>
    <w:p w14:paraId="7D153C7A" w14:textId="77777777" w:rsidR="003C7965" w:rsidRPr="009F75AE" w:rsidRDefault="003C7965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32BE11C0" w14:textId="3F9BFE88" w:rsidR="003C7965" w:rsidRPr="009F75AE" w:rsidRDefault="0024373D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9F75AE">
        <w:rPr>
          <w:rFonts w:cs="Times New Roman"/>
          <w:b/>
          <w:bCs/>
        </w:rPr>
        <w:t>Incident</w:t>
      </w:r>
      <w:r w:rsidR="003C7965" w:rsidRPr="009F75AE">
        <w:rPr>
          <w:rFonts w:cs="Times New Roman"/>
          <w:b/>
          <w:bCs/>
        </w:rPr>
        <w:t xml:space="preserve"> kategorie B </w:t>
      </w:r>
    </w:p>
    <w:p w14:paraId="000C09E0" w14:textId="65CF3C43" w:rsidR="003C7965" w:rsidRPr="009F75AE" w:rsidRDefault="003C7965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Doba odezvy (v hodinách</w:t>
      </w:r>
      <w:r w:rsidR="004310F5">
        <w:rPr>
          <w:rFonts w:cs="Times New Roman"/>
        </w:rPr>
        <w:t xml:space="preserve"> provozní doby</w:t>
      </w:r>
      <w:r w:rsidRPr="009F75AE">
        <w:rPr>
          <w:rFonts w:cs="Times New Roman"/>
        </w:rPr>
        <w:t>): 6</w:t>
      </w:r>
    </w:p>
    <w:p w14:paraId="68E38E7E" w14:textId="6A5CA226" w:rsidR="003C7965" w:rsidRPr="009F75AE" w:rsidRDefault="003C7965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Doba </w:t>
      </w:r>
      <w:r w:rsidR="0024373D" w:rsidRPr="009F75AE">
        <w:rPr>
          <w:rFonts w:cs="Times New Roman"/>
        </w:rPr>
        <w:t>vyřešení</w:t>
      </w:r>
      <w:r w:rsidRPr="009F75AE">
        <w:rPr>
          <w:rFonts w:cs="Times New Roman"/>
        </w:rPr>
        <w:t xml:space="preserve"> (v hodinách</w:t>
      </w:r>
      <w:r w:rsidR="004310F5">
        <w:rPr>
          <w:rFonts w:cs="Times New Roman"/>
        </w:rPr>
        <w:t xml:space="preserve"> provozní doby</w:t>
      </w:r>
      <w:r w:rsidRPr="009F75AE">
        <w:rPr>
          <w:rFonts w:cs="Times New Roman"/>
        </w:rPr>
        <w:t xml:space="preserve">): </w:t>
      </w:r>
      <w:r w:rsidR="00354B57">
        <w:rPr>
          <w:rFonts w:cs="Times New Roman"/>
        </w:rPr>
        <w:t>2</w:t>
      </w:r>
      <w:r w:rsidR="00326077" w:rsidRPr="009F75AE">
        <w:rPr>
          <w:rFonts w:cs="Times New Roman"/>
        </w:rPr>
        <w:t>8</w:t>
      </w:r>
    </w:p>
    <w:p w14:paraId="3DF02E27" w14:textId="5E807315" w:rsidR="007649D4" w:rsidRPr="009F75AE" w:rsidRDefault="007649D4" w:rsidP="007649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Maximální počet incidentů za měsíc: 1 </w:t>
      </w:r>
    </w:p>
    <w:p w14:paraId="7CDE79D9" w14:textId="77777777" w:rsidR="003C7965" w:rsidRPr="009F75AE" w:rsidRDefault="003C7965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DF56DE4" w14:textId="00CBD801" w:rsidR="003C7965" w:rsidRPr="009F75AE" w:rsidRDefault="0024373D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9F75AE">
        <w:rPr>
          <w:rFonts w:cs="Times New Roman"/>
          <w:b/>
          <w:bCs/>
        </w:rPr>
        <w:t>Incident</w:t>
      </w:r>
      <w:r w:rsidR="003C7965" w:rsidRPr="009F75AE">
        <w:rPr>
          <w:rFonts w:cs="Times New Roman"/>
          <w:b/>
          <w:bCs/>
        </w:rPr>
        <w:t xml:space="preserve"> kategorie C </w:t>
      </w:r>
    </w:p>
    <w:p w14:paraId="67D4E099" w14:textId="074803F4" w:rsidR="003C7965" w:rsidRPr="009F75AE" w:rsidRDefault="003C7965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Doba odezvy (v hodinách</w:t>
      </w:r>
      <w:r w:rsidR="00002B81">
        <w:rPr>
          <w:rFonts w:cs="Times New Roman"/>
        </w:rPr>
        <w:t xml:space="preserve"> provozní doby</w:t>
      </w:r>
      <w:r w:rsidRPr="009F75AE">
        <w:rPr>
          <w:rFonts w:cs="Times New Roman"/>
        </w:rPr>
        <w:t xml:space="preserve">): </w:t>
      </w:r>
      <w:r w:rsidR="00033185">
        <w:rPr>
          <w:rFonts w:cs="Times New Roman"/>
        </w:rPr>
        <w:t>14</w:t>
      </w:r>
    </w:p>
    <w:p w14:paraId="6CB92EB0" w14:textId="3B4948CF" w:rsidR="003C7965" w:rsidRPr="009F75AE" w:rsidRDefault="003C7965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Doba </w:t>
      </w:r>
      <w:r w:rsidR="0024373D" w:rsidRPr="009F75AE">
        <w:rPr>
          <w:rFonts w:cs="Times New Roman"/>
        </w:rPr>
        <w:t>vyřešení</w:t>
      </w:r>
      <w:r w:rsidRPr="009F75AE">
        <w:rPr>
          <w:rFonts w:cs="Times New Roman"/>
        </w:rPr>
        <w:t xml:space="preserve"> (v hodinách</w:t>
      </w:r>
      <w:r w:rsidR="00002B81">
        <w:rPr>
          <w:rFonts w:cs="Times New Roman"/>
        </w:rPr>
        <w:t xml:space="preserve"> provozní doby</w:t>
      </w:r>
      <w:r w:rsidRPr="009F75AE">
        <w:rPr>
          <w:rFonts w:cs="Times New Roman"/>
        </w:rPr>
        <w:t xml:space="preserve">): </w:t>
      </w:r>
      <w:r w:rsidR="00354B57">
        <w:rPr>
          <w:rFonts w:cs="Times New Roman"/>
        </w:rPr>
        <w:t>70</w:t>
      </w:r>
    </w:p>
    <w:p w14:paraId="0D4C29E7" w14:textId="272A5D01" w:rsidR="007649D4" w:rsidRPr="009F75AE" w:rsidRDefault="007649D4" w:rsidP="007649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Maximální počet incidentů za měsíc: </w:t>
      </w:r>
      <w:r w:rsidR="000E1DD6" w:rsidRPr="009F75AE">
        <w:rPr>
          <w:rFonts w:cs="Times New Roman"/>
        </w:rPr>
        <w:t>5</w:t>
      </w:r>
    </w:p>
    <w:p w14:paraId="1740FF5D" w14:textId="77777777" w:rsidR="003C7965" w:rsidRPr="009F75AE" w:rsidRDefault="003C7965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D418509" w14:textId="707EB412" w:rsidR="009F1466" w:rsidRPr="009F75AE" w:rsidRDefault="009F1466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Založení incidentu kategorie A Správní části AISG je Dodavateli oznamováno telefonicky, ostatní kategorie </w:t>
      </w:r>
      <w:r w:rsidR="00A20EFF" w:rsidRPr="009F75AE">
        <w:rPr>
          <w:rFonts w:cs="Times New Roman"/>
        </w:rPr>
        <w:t xml:space="preserve">pouze </w:t>
      </w:r>
      <w:r w:rsidRPr="009F75AE">
        <w:rPr>
          <w:rFonts w:cs="Times New Roman"/>
        </w:rPr>
        <w:t>prostřednictví</w:t>
      </w:r>
      <w:r w:rsidR="00A20EFF" w:rsidRPr="009F75AE">
        <w:rPr>
          <w:rFonts w:cs="Times New Roman"/>
        </w:rPr>
        <w:t>m</w:t>
      </w:r>
      <w:r w:rsidRPr="009F75AE">
        <w:rPr>
          <w:rFonts w:cs="Times New Roman"/>
        </w:rPr>
        <w:t xml:space="preserve"> SD SPCSS a e-mail notifikací. </w:t>
      </w:r>
    </w:p>
    <w:p w14:paraId="336E8082" w14:textId="77777777" w:rsidR="009F1466" w:rsidRPr="009F75AE" w:rsidRDefault="009F1466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A88A43F" w14:textId="3870048A" w:rsidR="003C7965" w:rsidRPr="009F75AE" w:rsidRDefault="003C7965" w:rsidP="003C7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V sobotu, neděli a v dny státního svátku je požadován</w:t>
      </w:r>
      <w:r w:rsidR="006F47BB" w:rsidRPr="009F75AE">
        <w:rPr>
          <w:rFonts w:cs="Times New Roman"/>
        </w:rPr>
        <w:t>a podpora</w:t>
      </w:r>
      <w:r w:rsidRPr="009F75AE">
        <w:rPr>
          <w:rFonts w:cs="Times New Roman"/>
        </w:rPr>
        <w:t xml:space="preserve"> </w:t>
      </w:r>
      <w:r w:rsidR="006F47BB" w:rsidRPr="009F75AE">
        <w:rPr>
          <w:rFonts w:cs="Times New Roman"/>
        </w:rPr>
        <w:t xml:space="preserve">provozu </w:t>
      </w:r>
      <w:r w:rsidRPr="009F75AE">
        <w:rPr>
          <w:rFonts w:cs="Times New Roman"/>
        </w:rPr>
        <w:t xml:space="preserve">pouze na vyžádání </w:t>
      </w:r>
      <w:r w:rsidR="00A51C5F" w:rsidRPr="009F75AE">
        <w:rPr>
          <w:rFonts w:cs="Times New Roman"/>
        </w:rPr>
        <w:t xml:space="preserve">(nejméně pět pracovních dnů předem), </w:t>
      </w:r>
      <w:r w:rsidRPr="009F75AE">
        <w:rPr>
          <w:rFonts w:cs="Times New Roman"/>
        </w:rPr>
        <w:t xml:space="preserve">a to v rozsahu pěti dnů za jeden kalendářní rok. </w:t>
      </w:r>
    </w:p>
    <w:p w14:paraId="1076FC75" w14:textId="77777777" w:rsidR="007D3ACE" w:rsidRDefault="007D3ACE">
      <w:pPr>
        <w:rPr>
          <w:rFonts w:asciiTheme="majorHAnsi" w:eastAsiaTheme="majorEastAsia" w:hAnsiTheme="majorHAnsi" w:cstheme="majorBidi"/>
          <w:b/>
          <w:bCs/>
          <w:i/>
          <w:color w:val="DC6900" w:themeColor="text2"/>
          <w:sz w:val="32"/>
          <w:szCs w:val="26"/>
        </w:rPr>
      </w:pPr>
      <w:r>
        <w:br w:type="page"/>
      </w:r>
    </w:p>
    <w:p w14:paraId="206ECADF" w14:textId="4E2F87BB" w:rsidR="00EC6960" w:rsidRPr="009F75AE" w:rsidRDefault="00EC6960" w:rsidP="005B1874">
      <w:pPr>
        <w:pStyle w:val="Nadpis2"/>
      </w:pPr>
      <w:bookmarkStart w:id="28" w:name="_Toc510348670"/>
      <w:r w:rsidRPr="009F75AE">
        <w:lastRenderedPageBreak/>
        <w:t>Řízení požadavků</w:t>
      </w:r>
      <w:bookmarkEnd w:id="28"/>
      <w:r w:rsidR="0098490C" w:rsidRPr="009F75AE">
        <w:t xml:space="preserve"> </w:t>
      </w:r>
    </w:p>
    <w:p w14:paraId="4C6841B7" w14:textId="567E7CAA" w:rsidR="003E3155" w:rsidRPr="009F75AE" w:rsidRDefault="001459FB">
      <w:pPr>
        <w:pStyle w:val="Zkladntext"/>
      </w:pPr>
      <w:r w:rsidRPr="009F75AE">
        <w:t xml:space="preserve">Dodavatel bude dále vykonávat provozní požadavky vyžádané </w:t>
      </w:r>
      <w:r w:rsidR="005F4C02" w:rsidRPr="009F75AE">
        <w:t>Objednatelem</w:t>
      </w:r>
      <w:r w:rsidR="004C38A8" w:rsidRPr="009F75AE">
        <w:t xml:space="preserve"> nebo SPCSS</w:t>
      </w:r>
      <w:r w:rsidRPr="009F75AE">
        <w:t>, potřebné k zajištění provozu AISG a schválené Objednatelem.</w:t>
      </w:r>
      <w:r w:rsidR="003E3155" w:rsidRPr="009F75AE">
        <w:t xml:space="preserve"> Provozní požadavky mohou být </w:t>
      </w:r>
      <w:r w:rsidR="00D82C0D" w:rsidRPr="009F75AE">
        <w:t xml:space="preserve">vyžádány </w:t>
      </w:r>
      <w:r w:rsidR="003E3155" w:rsidRPr="009F75AE">
        <w:t>i v oblastech pravidelných a proaktivních činností, popsaných v kapitole 1.</w:t>
      </w:r>
      <w:r w:rsidR="00AB5D14">
        <w:t>5</w:t>
      </w:r>
      <w:r w:rsidR="00AB5D14" w:rsidRPr="009F75AE">
        <w:t xml:space="preserve"> </w:t>
      </w:r>
      <w:r w:rsidR="00553967" w:rsidRPr="009F75AE">
        <w:t>této přílohy Smlouvy</w:t>
      </w:r>
      <w:r w:rsidR="003E3155" w:rsidRPr="009F75AE">
        <w:t xml:space="preserve">. </w:t>
      </w:r>
    </w:p>
    <w:p w14:paraId="0E08C255" w14:textId="10F899A1" w:rsidR="00E574FB" w:rsidRPr="009F75AE" w:rsidRDefault="008D0AA5" w:rsidP="00E574FB">
      <w:pPr>
        <w:pStyle w:val="Zkladntext"/>
      </w:pPr>
      <w:r w:rsidRPr="009F75AE">
        <w:t xml:space="preserve">Dodavatel je povinen řešit požadavky v rámci provozní doby systému bez zbytečného </w:t>
      </w:r>
      <w:r w:rsidR="008825E9" w:rsidRPr="009F75AE">
        <w:t>odkladu</w:t>
      </w:r>
      <w:r w:rsidR="00FD6C1F" w:rsidRPr="009F75AE">
        <w:t xml:space="preserve"> </w:t>
      </w:r>
      <w:r w:rsidRPr="009F75AE">
        <w:t>s ohledem na důležitost požadavků pro provoz AISG, určenou Objednatelem</w:t>
      </w:r>
      <w:r w:rsidRPr="009F75AE">
        <w:rPr>
          <w:i/>
        </w:rPr>
        <w:t>.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992"/>
        <w:gridCol w:w="992"/>
      </w:tblGrid>
      <w:tr w:rsidR="00430F50" w:rsidRPr="009F75AE" w14:paraId="5F99AC5A" w14:textId="77777777" w:rsidTr="007D3ACE">
        <w:trPr>
          <w:trHeight w:val="30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9D33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Oblast/činnost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48B1E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Odpovědnost</w:t>
            </w:r>
          </w:p>
        </w:tc>
      </w:tr>
      <w:tr w:rsidR="00430F50" w:rsidRPr="009F75AE" w14:paraId="52651045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EA37" w14:textId="77777777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Úroveň podpory L1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FA93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Správce AISG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B4E4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Provozovatel AISG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605A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SPCSS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2826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</w:t>
            </w:r>
            <w:proofErr w:type="spellEnd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vatel</w:t>
            </w:r>
            <w:proofErr w:type="spellEnd"/>
          </w:p>
        </w:tc>
      </w:tr>
      <w:tr w:rsidR="00430F50" w:rsidRPr="009F75AE" w14:paraId="65BB3C68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1870" w14:textId="77777777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Komunikace s koncovými uživateli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2D59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6CB3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DFCD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8DF8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430F50" w:rsidRPr="009F75AE" w14:paraId="7B37EA80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4F66" w14:textId="77777777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Telefonická podpora pro uživatele AISG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F24B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F2D9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533C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0DEC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430F50" w:rsidRPr="009F75AE" w14:paraId="5D300175" w14:textId="77777777" w:rsidTr="007D3ACE">
        <w:trPr>
          <w:cantSplit/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338D" w14:textId="5FB9214C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Založení </w:t>
            </w:r>
            <w:r w:rsidR="00F97604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požadavku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v SD </w:t>
            </w:r>
            <w:r w:rsidRPr="009F75AE">
              <w:rPr>
                <w:sz w:val="18"/>
                <w:szCs w:val="18"/>
              </w:rPr>
              <w:t>SPCSS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7639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45EC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20B6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C5DF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</w:tr>
      <w:tr w:rsidR="00430F50" w:rsidRPr="009F75AE" w14:paraId="0F1AE714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D2AD" w14:textId="3A25D992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Přidělování </w:t>
            </w:r>
            <w:r w:rsidR="00F97604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požadavku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mezi řešiteli a úrovněmi podpory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0346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78C2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8CA3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AE5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</w:tr>
      <w:tr w:rsidR="00430F50" w:rsidRPr="009F75AE" w14:paraId="097450C6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B379" w14:textId="77777777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Pokrytí eskalační procedury v SD SPCSS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EE31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A158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9B1E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81D3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</w:tr>
      <w:tr w:rsidR="00430F50" w:rsidRPr="009F75AE" w14:paraId="71540D38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8495" w14:textId="6CD7CED1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Vedení dokumentace </w:t>
            </w:r>
            <w:r w:rsidR="00F97604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řešení požadavků 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 SD SPCSS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4B68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913F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0E21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E594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F97604" w:rsidRPr="009F75AE" w14:paraId="05B8F95B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B533" w14:textId="4522DD20" w:rsidR="00F97604" w:rsidRPr="009F75AE" w:rsidRDefault="00F97604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Řešení jednoduchých uživatelských požadavků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4849" w14:textId="77777777" w:rsidR="00F97604" w:rsidRPr="009F75AE" w:rsidRDefault="00F9760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DB6E" w14:textId="77777777" w:rsidR="00F97604" w:rsidRPr="009F75AE" w:rsidRDefault="00F9760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ECAB" w14:textId="77777777" w:rsidR="00F97604" w:rsidRPr="009F75AE" w:rsidRDefault="00F9760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3091" w14:textId="77777777" w:rsidR="00F97604" w:rsidRPr="009F75AE" w:rsidRDefault="00F9760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430F50" w:rsidRPr="009F75AE" w14:paraId="3E43BD52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0EDC" w14:textId="13AEA749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Řešení jednoduchých požadavků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EEF4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919" w14:textId="2C12DDAA" w:rsidR="00430F50" w:rsidRPr="009F75AE" w:rsidRDefault="00F9760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317B" w14:textId="177258D8" w:rsidR="00430F50" w:rsidRPr="009F75AE" w:rsidRDefault="00F97604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32DE0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430F50" w:rsidRPr="009F75AE" w14:paraId="3214809C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34B9" w14:textId="2E546780" w:rsidR="00430F50" w:rsidRPr="009F75AE" w:rsidRDefault="00430F50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Řešení jednoduchých</w:t>
            </w:r>
            <w:r w:rsidR="007F03E0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požadavků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7EFE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8B53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B9B4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2454" w14:textId="77777777" w:rsidR="00430F50" w:rsidRPr="009F75AE" w:rsidRDefault="00430F50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3D79EE" w:rsidRPr="009F75AE" w14:paraId="1928A893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F589" w14:textId="77777777" w:rsidR="003D79EE" w:rsidRPr="009F75AE" w:rsidRDefault="003D79EE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Úroveň podpory L2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64EF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E856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F7F7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BEEE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D79EE" w:rsidRPr="009F75AE" w14:paraId="4C4D9B12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C979" w14:textId="77135404" w:rsidR="003D79EE" w:rsidRPr="009F75AE" w:rsidRDefault="003D79EE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Analýza a řešení požadavků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F808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12EA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63D7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F7DC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3D79EE" w:rsidRPr="009F75AE" w14:paraId="7B8E94C9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EDCF" w14:textId="3B8B1856" w:rsidR="003D79EE" w:rsidRPr="009F75AE" w:rsidRDefault="003D79EE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Analýza a řešení požadavků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0A19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2A24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5E60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64AA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3D79EE" w:rsidRPr="009F75AE" w14:paraId="7CB326C9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EAB7" w14:textId="623170E2" w:rsidR="003D79EE" w:rsidRPr="009F75AE" w:rsidRDefault="003D79EE" w:rsidP="00244F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Dokumentace řešení požadavků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4686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4691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F1E1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3056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3D79EE" w:rsidRPr="009F75AE" w14:paraId="439B7143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DB29" w14:textId="1DC47F8C" w:rsidR="003D79EE" w:rsidRPr="009F75AE" w:rsidRDefault="003D79EE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Dokumentace řešení požadavků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B4B2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F3CB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7F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339B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3D79EE" w:rsidRPr="009F75AE" w14:paraId="2E2B5035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A57D" w14:textId="77777777" w:rsidR="003D79EE" w:rsidRPr="009F75AE" w:rsidRDefault="003D79EE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Řešení metodických problémů a dotazů (AISG)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A5B9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60AE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CF12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D9E7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3D79EE" w:rsidRPr="009F75AE" w14:paraId="298F8899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FE98" w14:textId="77777777" w:rsidR="003D79EE" w:rsidRPr="009F75AE" w:rsidRDefault="003D79EE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Úroveň podpory L3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CDA9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87F6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D1B7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4E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D79EE" w:rsidRPr="009F75AE" w14:paraId="79D5C62F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C65" w14:textId="165DD17D" w:rsidR="003D79EE" w:rsidRPr="009F75AE" w:rsidRDefault="003D79EE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Analýza a řešení požadavků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F4C1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7473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0C36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4271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3D79EE" w:rsidRPr="009F75AE" w14:paraId="6553060B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F0D0" w14:textId="283A61A8" w:rsidR="003D79EE" w:rsidRPr="009F75AE" w:rsidRDefault="003D79EE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Analýza a řešení požadavků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193B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B2B8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FEDB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F25E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3D79EE" w:rsidRPr="009F75AE" w14:paraId="28CEE992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C49D" w14:textId="62C13B2D" w:rsidR="003D79EE" w:rsidRPr="009F75AE" w:rsidRDefault="003D79EE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Dokumentace řešení požadavků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9519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C6A9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0E7E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F474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3D79EE" w:rsidRPr="009F75AE" w14:paraId="29C9EB88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614E" w14:textId="2A0822B0" w:rsidR="003D79EE" w:rsidRPr="009F75AE" w:rsidRDefault="003D79EE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Dokumentace řešení požadavků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A9F4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CD75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D6DA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1867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3D79EE" w:rsidRPr="009F75AE" w14:paraId="36E5EC85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41D0" w14:textId="0A3D973F" w:rsidR="003D79EE" w:rsidRPr="009F75AE" w:rsidRDefault="003D79EE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Zprostředkování podpory u výrobce SW (</w:t>
            </w:r>
            <w:r w:rsidR="00147730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SW dodávaný v rámci Díla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BE21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AB50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62A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3486" w14:textId="77777777" w:rsidR="003D79EE" w:rsidRPr="009F75AE" w:rsidRDefault="003D79EE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1551A3" w:rsidRPr="009F75AE" w14:paraId="6C1E8E91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C97B" w14:textId="5B3A38CC" w:rsidR="001551A3" w:rsidRPr="009F75AE" w:rsidRDefault="001551A3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Legislativní znalost (správní řád a zákon o hazardu) při řešení požadavků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3FD0" w14:textId="77777777" w:rsidR="001551A3" w:rsidRPr="009F75AE" w:rsidRDefault="001551A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D705" w14:textId="77777777" w:rsidR="001551A3" w:rsidRPr="009F75AE" w:rsidRDefault="001551A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A718" w14:textId="77777777" w:rsidR="001551A3" w:rsidRPr="009F75AE" w:rsidRDefault="001551A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1A1C" w14:textId="77777777" w:rsidR="001551A3" w:rsidRPr="009F75AE" w:rsidRDefault="001551A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8D74B2" w:rsidRPr="009F75AE" w14:paraId="0168D267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8B91" w14:textId="0B1892C2" w:rsidR="008D74B2" w:rsidRPr="009F75AE" w:rsidRDefault="008D74B2" w:rsidP="00DA35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ServiceDesk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F9BE" w14:textId="77777777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AD1C" w14:textId="77777777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0920" w14:textId="77777777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F781" w14:textId="77777777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8D74B2" w:rsidRPr="009F75AE" w14:paraId="52A7F6DB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7849" w14:textId="7A656A10" w:rsidR="008D74B2" w:rsidRPr="009F75AE" w:rsidRDefault="008D74B2" w:rsidP="00DA35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Nástroj ServiceDesk a sledování řešení požadavků v SD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4B35" w14:textId="77777777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088E" w14:textId="77777777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1F14" w14:textId="77777777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6E4" w14:textId="77777777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</w:tr>
      <w:tr w:rsidR="008D74B2" w:rsidRPr="009F75AE" w14:paraId="192B9B5D" w14:textId="77777777" w:rsidTr="007D3ACE">
        <w:trPr>
          <w:trHeight w:val="300"/>
          <w:tblHeader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1D7B" w14:textId="1011D07D" w:rsidR="008D74B2" w:rsidRPr="009F75AE" w:rsidRDefault="008D74B2" w:rsidP="00DA35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Eskalace stavu řešení požadavků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BD11" w14:textId="77777777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16A8" w14:textId="77777777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10EF" w14:textId="77777777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7BDC" w14:textId="77777777" w:rsidR="008D74B2" w:rsidRPr="009F75AE" w:rsidRDefault="008D74B2" w:rsidP="00DA3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</w:tbl>
    <w:p w14:paraId="409E61EC" w14:textId="77777777" w:rsidR="007D3ACE" w:rsidRDefault="007D3ACE" w:rsidP="007D3ACE"/>
    <w:p w14:paraId="2C0485DF" w14:textId="77777777" w:rsidR="007D3ACE" w:rsidRDefault="007D3ACE">
      <w:pPr>
        <w:rPr>
          <w:rFonts w:asciiTheme="majorHAnsi" w:eastAsiaTheme="majorEastAsia" w:hAnsiTheme="majorHAnsi" w:cstheme="majorBidi"/>
          <w:b/>
          <w:bCs/>
          <w:i/>
          <w:color w:val="DC6900" w:themeColor="text2"/>
          <w:sz w:val="32"/>
          <w:szCs w:val="26"/>
        </w:rPr>
      </w:pPr>
      <w:r>
        <w:br w:type="page"/>
      </w:r>
    </w:p>
    <w:p w14:paraId="2AA601AF" w14:textId="171F6F7B" w:rsidR="00EC6960" w:rsidRPr="009F75AE" w:rsidRDefault="001F7A2A" w:rsidP="001F7A2A">
      <w:pPr>
        <w:pStyle w:val="Nadpis2"/>
      </w:pPr>
      <w:bookmarkStart w:id="29" w:name="_Toc510348671"/>
      <w:r w:rsidRPr="009F75AE">
        <w:lastRenderedPageBreak/>
        <w:t>Pravidelné a proaktivní činnosti</w:t>
      </w:r>
      <w:bookmarkEnd w:id="29"/>
    </w:p>
    <w:p w14:paraId="6F08F892" w14:textId="7E58BBB4" w:rsidR="002E6DB3" w:rsidRPr="009F75AE" w:rsidRDefault="001459FB" w:rsidP="001459FB">
      <w:pPr>
        <w:pStyle w:val="Zkladntext"/>
      </w:pPr>
      <w:r w:rsidRPr="009F75AE">
        <w:t xml:space="preserve">V rámci činností správy a údržby je Dodavatel </w:t>
      </w:r>
      <w:r w:rsidR="002E6DB3" w:rsidRPr="009F75AE">
        <w:t xml:space="preserve">povinen vykonávat pravidelné a proaktivní činnosti potřebné k zajištění </w:t>
      </w:r>
      <w:r w:rsidR="00A118C8" w:rsidRPr="009F75AE">
        <w:t xml:space="preserve">bezchybného </w:t>
      </w:r>
      <w:r w:rsidR="002E6DB3" w:rsidRPr="009F75AE">
        <w:t>provozu AISG a schválené Objednatelem. Rozsah p</w:t>
      </w:r>
      <w:r w:rsidR="00703CA1" w:rsidRPr="009F75AE">
        <w:t xml:space="preserve">ravidelných a proaktivních činností </w:t>
      </w:r>
      <w:r w:rsidR="002E6DB3" w:rsidRPr="009F75AE">
        <w:t xml:space="preserve">vyplývá z potřeb provozu AISG, tj. zajištění dostupnosti a správnosti všech funkcionalit AISG a naplnění všech provozních a bezpečnostních procesů AISG. </w:t>
      </w:r>
    </w:p>
    <w:p w14:paraId="07B1FA05" w14:textId="27326F70" w:rsidR="001459FB" w:rsidRPr="009F75AE" w:rsidRDefault="002E6DB3" w:rsidP="001459FB">
      <w:pPr>
        <w:pStyle w:val="Zkladntext"/>
      </w:pPr>
      <w:r w:rsidRPr="009F75AE">
        <w:t xml:space="preserve">V rámci pravidelných a proaktivních činností je Dodavatel </w:t>
      </w:r>
      <w:r w:rsidR="001459FB" w:rsidRPr="009F75AE">
        <w:t xml:space="preserve">odpovědný za kontroly a návrhy změn konfigurace, kontroly a analýzy logů, ladění a optimalizaci AISG, profylaxi a proaktivní údržbu potřebnou k předcházení incidentům a veškeré další administrátorské činnosti na aplikační úrovni potřebné pro provoz AISG. Dodavatel je povinen na základě analýzy incidentů navrhovat, a po schválení </w:t>
      </w:r>
      <w:r w:rsidRPr="009F75AE">
        <w:t>O</w:t>
      </w:r>
      <w:r w:rsidR="001459FB" w:rsidRPr="009F75AE">
        <w:t>bjednatele na úrovni aplikace</w:t>
      </w:r>
      <w:r w:rsidRPr="009F75AE">
        <w:t xml:space="preserve">, SW </w:t>
      </w:r>
      <w:r w:rsidR="00BE5D2F" w:rsidRPr="009F75AE">
        <w:t xml:space="preserve">produktů </w:t>
      </w:r>
      <w:r w:rsidRPr="009F75AE">
        <w:t>a dat</w:t>
      </w:r>
      <w:r w:rsidR="001459FB" w:rsidRPr="009F75AE">
        <w:t xml:space="preserve"> implementovat nové metriky </w:t>
      </w:r>
      <w:r w:rsidR="00BE5D2F" w:rsidRPr="009F75AE">
        <w:t>provozního</w:t>
      </w:r>
      <w:r w:rsidR="001459FB" w:rsidRPr="009F75AE">
        <w:t xml:space="preserve"> a bezpečnostního </w:t>
      </w:r>
      <w:r w:rsidR="00BE5D2F" w:rsidRPr="009F75AE">
        <w:t xml:space="preserve">monitoringu </w:t>
      </w:r>
      <w:r w:rsidR="001459FB" w:rsidRPr="009F75AE">
        <w:t>s cílem zrychlení detekce incidentů. Dodavatel je dále povinen navrhovat a po schválení Objednatelem provádět aktualizace SW produktů s cílem udržení aktuálnosti a bezpečnosti AISG.</w:t>
      </w:r>
    </w:p>
    <w:p w14:paraId="5446609B" w14:textId="77777777" w:rsidR="008B1D83" w:rsidRPr="009F75AE" w:rsidRDefault="008B1D83" w:rsidP="008B1D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992"/>
        <w:gridCol w:w="992"/>
      </w:tblGrid>
      <w:tr w:rsidR="008B1D83" w:rsidRPr="009F75AE" w14:paraId="391BD15E" w14:textId="77777777" w:rsidTr="00244F7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F3B3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Oblast/činnost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5E841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Odpovědnost</w:t>
            </w:r>
          </w:p>
        </w:tc>
      </w:tr>
      <w:tr w:rsidR="008B1D83" w:rsidRPr="009F75AE" w14:paraId="0C6D4DBE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CF1F" w14:textId="77777777" w:rsidR="008B1D83" w:rsidRPr="009F75AE" w:rsidRDefault="008B1D83" w:rsidP="00244F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Úroveň podpory L1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DF82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Správce AISG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52D1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Provozovatel AISG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1EE7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SPCSS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4AE0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</w:t>
            </w:r>
            <w:proofErr w:type="spellEnd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vatel</w:t>
            </w:r>
            <w:proofErr w:type="spellEnd"/>
          </w:p>
        </w:tc>
      </w:tr>
      <w:tr w:rsidR="008B1D83" w:rsidRPr="009F75AE" w14:paraId="16A2D544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2645" w14:textId="77777777" w:rsidR="008B1D83" w:rsidRPr="009F75AE" w:rsidRDefault="008B1D83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Základní správa uživatelů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E427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AA1F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4E24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7D9E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8B1D83" w:rsidRPr="009F75AE" w14:paraId="1EBD26CE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5463" w14:textId="77777777" w:rsidR="008B1D83" w:rsidRPr="009F75AE" w:rsidRDefault="008B1D83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Úroveň podpory L2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4D21" w14:textId="2FF0DC52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CBDF" w14:textId="7A3DCD10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FE88" w14:textId="76C18CA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7D0C" w14:textId="2F2D451F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8B1D83" w:rsidRPr="009F75AE" w14:paraId="394D9773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FA9F" w14:textId="47CEFEC4" w:rsidR="008B1D83" w:rsidRPr="009F75AE" w:rsidRDefault="008B1D83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Aktualizace</w:t>
            </w:r>
            <w:r w:rsidR="00915324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/Obnova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certifikátů </w:t>
            </w:r>
            <w:r w:rsidR="00915324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v rámci Služeb 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vy</w:t>
            </w:r>
            <w:r w:rsidR="00915324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tvářejících důvěru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(AISG)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B7DBB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42DA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8FD2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30F8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8B1D83" w:rsidRPr="009F75AE" w14:paraId="0E9296B5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EC45" w14:textId="77777777" w:rsidR="008B1D83" w:rsidRPr="009F75AE" w:rsidRDefault="008B1D83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Aktualizace číselníků (AISG)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F692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2145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32ED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8649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8B1D83" w:rsidRPr="009F75AE" w14:paraId="6708AC68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4A6A" w14:textId="54E9D9F4" w:rsidR="008B1D83" w:rsidRPr="009F75AE" w:rsidRDefault="00A54098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Kontroly logů a stavu systému, </w:t>
            </w:r>
            <w:r w:rsidR="008B1D83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identifikace vad 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a optimalizace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8972" w14:textId="31919C4D" w:rsidR="008B1D83" w:rsidRPr="009F75AE" w:rsidRDefault="00A54098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9217" w14:textId="3A25FBF5" w:rsidR="008B1D83" w:rsidRPr="009F75AE" w:rsidRDefault="00A54098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2E42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72C4" w14:textId="5E3FB281" w:rsidR="008B1D83" w:rsidRPr="009F75AE" w:rsidRDefault="00A54098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8B1D83" w:rsidRPr="009F75AE" w14:paraId="51FCB7A0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FE80" w14:textId="2A5B3D4F" w:rsidR="008B1D83" w:rsidRPr="009F75AE" w:rsidRDefault="00A54098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Kontroly logů a stavu systému, identifikace vad a optimalizace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63D8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2C2A" w14:textId="13B704EF" w:rsidR="008B1D83" w:rsidRPr="009F75AE" w:rsidRDefault="00A54098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00CD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A57F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8B1D83" w:rsidRPr="009F75AE" w14:paraId="5E81342C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61B2" w14:textId="77777777" w:rsidR="008B1D83" w:rsidRPr="009F75AE" w:rsidRDefault="008B1D83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Opravy dat v AISG (duplicity, chyby dat)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CB12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5079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1131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5979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8B1D83" w:rsidRPr="009F75AE" w14:paraId="313F296E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2369" w14:textId="2A981A1E" w:rsidR="008B1D83" w:rsidRPr="009F75AE" w:rsidRDefault="008B1D83" w:rsidP="00244F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Správa databáze a migrace dat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299D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6E44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D9E1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68E7" w14:textId="77777777" w:rsidR="008B1D83" w:rsidRPr="009F75AE" w:rsidRDefault="008B1D83" w:rsidP="00244F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2F4B0F" w:rsidRPr="009F75AE" w14:paraId="5BE95D28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D225" w14:textId="094BC71C" w:rsidR="002F4B0F" w:rsidRPr="009F75AE" w:rsidRDefault="002F4B0F" w:rsidP="002F4B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Návrhy na úpravy monitoringu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D1E5" w14:textId="73F21D3A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3327" w14:textId="50125334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4DC4" w14:textId="2CB08CC2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0F93" w14:textId="69713603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</w:tr>
      <w:tr w:rsidR="002F4B0F" w:rsidRPr="009F75AE" w14:paraId="7E08C32B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D050" w14:textId="2A497B20" w:rsidR="002F4B0F" w:rsidRPr="009F75AE" w:rsidRDefault="002F4B0F" w:rsidP="002F4B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Návrhy na úpravy monitoringu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50F2" w14:textId="223ED463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437B" w14:textId="5CC4E61B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B149" w14:textId="62462DAA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EAB4" w14:textId="730E7FF9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2F4B0F" w:rsidRPr="009F75AE" w14:paraId="4A453083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C7A9" w14:textId="77777777" w:rsidR="002F4B0F" w:rsidRPr="009F75AE" w:rsidRDefault="002F4B0F" w:rsidP="002F4B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Pokročilá správa uživatelů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5B2A" w14:textId="77777777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19A7" w14:textId="77777777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C268" w14:textId="77777777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E619" w14:textId="77777777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2F4B0F" w:rsidRPr="009F75AE" w14:paraId="6F2FA90F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ECDA" w14:textId="6F44F6B9" w:rsidR="002F4B0F" w:rsidRPr="009F75AE" w:rsidRDefault="002F4B0F" w:rsidP="002F4B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Metodická podpora a školení (včetně tvorby video nápověd), šablony v AISG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4A2C" w14:textId="77777777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782B" w14:textId="77777777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B89A" w14:textId="77777777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C183" w14:textId="77777777" w:rsidR="002F4B0F" w:rsidRPr="009F75AE" w:rsidRDefault="002F4B0F" w:rsidP="002F4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DC202F" w:rsidRPr="009F75AE" w14:paraId="177E078E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A900" w14:textId="77777777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Úroveň podpory L3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24EA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Správce AISG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FC86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Provozovatel AISG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8083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SPCSS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07A5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</w:t>
            </w:r>
            <w:proofErr w:type="spellEnd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vatel</w:t>
            </w:r>
            <w:proofErr w:type="spellEnd"/>
          </w:p>
        </w:tc>
      </w:tr>
      <w:tr w:rsidR="00DC202F" w:rsidRPr="009F75AE" w14:paraId="3FE02DD9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98FF" w14:textId="22348D1F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Zajišťování ochrany a bezpečnosti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Technické 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infrastruktury proti útokům a napadením zvenčí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36B9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00A5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7E93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5ED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DC202F" w:rsidRPr="009F75AE" w14:paraId="00BD5C21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B547" w14:textId="77777777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Zajišťování ochrany a bezpečnosti AISG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174B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826B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2B8B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6A2E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DC202F" w:rsidRPr="009F75AE" w14:paraId="550AAE5C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034D" w14:textId="77777777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Zajišťování správy, funkčnosti a bezpečnosti síťového prostředí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8C59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FC96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E08E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8E2B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DC202F" w:rsidRPr="009F75AE" w14:paraId="1619036F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D5BE" w14:textId="77777777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Zajišťování integrity dat v AISG a prvotní nastavení databáze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9717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289F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1861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190D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DC202F" w:rsidRPr="009F75AE" w14:paraId="4BF9551F" w14:textId="77777777" w:rsidTr="00DC20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6887" w14:textId="6005396A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Kontroly logů a </w:t>
            </w:r>
            <w:proofErr w:type="spellStart"/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ledění</w:t>
            </w:r>
            <w:proofErr w:type="spellEnd"/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konfigurace podle zkušeností z provozu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ED84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BF10" w14:textId="6FAF8F35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A80C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A907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DC202F" w:rsidRPr="009F75AE" w14:paraId="66E178C4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6F76" w14:textId="43787997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Kontroly logů a </w:t>
            </w:r>
            <w:proofErr w:type="spellStart"/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ledění</w:t>
            </w:r>
            <w:proofErr w:type="spellEnd"/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konfigurace podle zkušeností z provozu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C9B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FEDF" w14:textId="37635A16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A5AD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B0A5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DC202F" w:rsidRPr="009F75AE" w14:paraId="4020C63F" w14:textId="77777777" w:rsidTr="006501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0FD1" w14:textId="7FDD66C6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Návrhy na úpravy monitoringu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6F8F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A85A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51A5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15AF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</w:tr>
      <w:tr w:rsidR="00DC202F" w:rsidRPr="009F75AE" w14:paraId="21F76B5C" w14:textId="77777777" w:rsidTr="006501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3966" w14:textId="6BBCC0B9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Návrhy na úpravy monitoringu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E815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21ED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790E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06DF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DC202F" w:rsidRPr="009F75AE" w14:paraId="08BC1499" w14:textId="77777777" w:rsidTr="006501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15A4" w14:textId="77777777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Úpravy monitoringu a bezpečnostního monitoringu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0940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9977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536D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7DB3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DC202F" w:rsidRPr="009F75AE" w14:paraId="6FEAC85F" w14:textId="77777777" w:rsidTr="006501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D985" w14:textId="340311E5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Aktualizace firmware a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software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9609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C57E" w14:textId="62B988B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2DAA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CA1D" w14:textId="02BEBFB5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DC202F" w:rsidRPr="009F75AE" w14:paraId="41746AF6" w14:textId="77777777" w:rsidTr="006501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DEDF" w14:textId="77777777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Aktualizace databázových serverů (patche, upgrady)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DC50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D7F4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A541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5A99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DC202F" w:rsidRPr="009F75AE" w14:paraId="0D51C610" w14:textId="77777777" w:rsidTr="006501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2EDE" w14:textId="74D249DE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Aktualizace SW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produktů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(SW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produkty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C9C6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8393" w14:textId="6ACD3374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85A7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3D0B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DC202F" w:rsidRPr="009F75AE" w14:paraId="26F428C7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D456" w14:textId="4268B505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lastRenderedPageBreak/>
              <w:t xml:space="preserve">Propojení s okolními IS a DB dle technické dokumentace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DEFB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00DA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717B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54B2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DC202F" w:rsidRPr="009F75AE" w14:paraId="3187D757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D1449" w14:textId="77777777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Propojení s okolními IS a DB dle technické dokumentace (AISG)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24FC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CA1D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8A09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4A65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DC202F" w:rsidRPr="009F75AE" w14:paraId="3BC64033" w14:textId="77777777" w:rsidTr="00244F7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E57E" w14:textId="5ED5793F" w:rsidR="00DC202F" w:rsidRPr="009F75AE" w:rsidRDefault="00DC202F" w:rsidP="00DC20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Pokročilé zajištění a kontrola řádné synchronizace DB IS SDSL a DB AISG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F826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C0CC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F04F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1E5" w14:textId="77777777" w:rsidR="00DC202F" w:rsidRPr="009F75AE" w:rsidRDefault="00DC202F" w:rsidP="00DC2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DC202F" w:rsidRPr="009F75AE" w14:paraId="1839B9CF" w14:textId="77777777" w:rsidTr="00DC20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9DAF" w14:textId="45F565E5" w:rsidR="00DC202F" w:rsidRPr="009F75AE" w:rsidRDefault="00DC202F" w:rsidP="0065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Aktualizace technické dokumentace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21D0" w14:textId="77777777" w:rsidR="00DC202F" w:rsidRPr="009F75AE" w:rsidRDefault="00DC202F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D6DE" w14:textId="77777777" w:rsidR="00DC202F" w:rsidRPr="009F75AE" w:rsidRDefault="00DC202F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E63A" w14:textId="77777777" w:rsidR="00DC202F" w:rsidRPr="009F75AE" w:rsidRDefault="00DC202F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2846" w14:textId="77777777" w:rsidR="00DC202F" w:rsidRPr="009F75AE" w:rsidRDefault="00DC202F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</w:tr>
      <w:tr w:rsidR="00DC202F" w:rsidRPr="009F75AE" w14:paraId="287FE8F6" w14:textId="77777777" w:rsidTr="00DC20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EC66" w14:textId="7252DD4D" w:rsidR="00DC202F" w:rsidRPr="009F75AE" w:rsidRDefault="00DC202F" w:rsidP="0065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Aktualizace technické dokumentace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F9B8" w14:textId="77777777" w:rsidR="00DC202F" w:rsidRPr="009F75AE" w:rsidRDefault="00DC202F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DAA3" w14:textId="77777777" w:rsidR="00DC202F" w:rsidRPr="009F75AE" w:rsidRDefault="00DC202F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9467" w14:textId="77777777" w:rsidR="00DC202F" w:rsidRPr="009F75AE" w:rsidRDefault="00DC202F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108F" w14:textId="77777777" w:rsidR="00DC202F" w:rsidRPr="009F75AE" w:rsidRDefault="00DC202F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</w:tbl>
    <w:p w14:paraId="06A6CD74" w14:textId="29F06BD8" w:rsidR="008246C2" w:rsidRPr="009F75AE" w:rsidRDefault="0098490C" w:rsidP="001F7A2A">
      <w:pPr>
        <w:pStyle w:val="Nadpis2"/>
      </w:pPr>
      <w:bookmarkStart w:id="30" w:name="_Toc510348672"/>
      <w:r w:rsidRPr="009F75AE">
        <w:t>Řízení změn</w:t>
      </w:r>
      <w:r w:rsidR="00E87593" w:rsidRPr="009F75AE">
        <w:t xml:space="preserve"> a konfigurací</w:t>
      </w:r>
      <w:bookmarkEnd w:id="30"/>
    </w:p>
    <w:p w14:paraId="46799A23" w14:textId="6800AE5F" w:rsidR="008246C2" w:rsidRPr="009F75AE" w:rsidRDefault="008246C2" w:rsidP="008246C2">
      <w:pPr>
        <w:pStyle w:val="Nadpis3"/>
      </w:pPr>
      <w:bookmarkStart w:id="31" w:name="_Toc510348673"/>
      <w:r w:rsidRPr="009F75AE">
        <w:t>Provozní změny</w:t>
      </w:r>
      <w:bookmarkEnd w:id="31"/>
    </w:p>
    <w:p w14:paraId="10F9DA14" w14:textId="405DFB26" w:rsidR="009B4F92" w:rsidRPr="009F75AE" w:rsidRDefault="009B4F92" w:rsidP="00D04065">
      <w:pPr>
        <w:pStyle w:val="Zkladntext"/>
      </w:pPr>
      <w:r w:rsidRPr="009F75AE">
        <w:t xml:space="preserve">Provozní změny jsou změny systému, které nemají vliv na rozsah systému nebo </w:t>
      </w:r>
      <w:r w:rsidR="00834986" w:rsidRPr="009F75AE">
        <w:t xml:space="preserve">Servisních služeb </w:t>
      </w:r>
      <w:r w:rsidRPr="009F75AE">
        <w:t xml:space="preserve">dle Smlouvy </w:t>
      </w:r>
      <w:r w:rsidR="00834986" w:rsidRPr="009F75AE">
        <w:t xml:space="preserve">včetně </w:t>
      </w:r>
      <w:r w:rsidRPr="009F75AE">
        <w:t>jejích příloh</w:t>
      </w:r>
      <w:r w:rsidR="00834986" w:rsidRPr="009F75AE">
        <w:t xml:space="preserve"> a schválené dokumentace</w:t>
      </w:r>
      <w:r w:rsidRPr="009F75AE">
        <w:t xml:space="preserve">, např. změny spojené s řešením vad, optimalizací systému, drobné rekonfigurace, správa uživatelů, úpravy monitoringu nebo aktualizace </w:t>
      </w:r>
      <w:r w:rsidR="002F4A1A" w:rsidRPr="009F75AE">
        <w:t>firmware zařízení nebo SW produktů</w:t>
      </w:r>
      <w:r w:rsidRPr="009F75AE">
        <w:t>. Provozní změny mohou nastat jako součást řešení incidentů, požadavků, problémů</w:t>
      </w:r>
      <w:r w:rsidR="00351972" w:rsidRPr="009F75AE">
        <w:t xml:space="preserve">, ošetření rizik nebo </w:t>
      </w:r>
      <w:r w:rsidRPr="009F75AE">
        <w:t xml:space="preserve">pravidelných a proaktivních činností. </w:t>
      </w:r>
    </w:p>
    <w:p w14:paraId="5C2FF1ED" w14:textId="594EAA41" w:rsidR="009B4F92" w:rsidRPr="009F75AE" w:rsidRDefault="009B4F92" w:rsidP="009B4F92">
      <w:pPr>
        <w:pStyle w:val="Zkladntext"/>
      </w:pPr>
      <w:r w:rsidRPr="009F75AE">
        <w:t>Řízením změn a konfigurací je rozuměn proces evidence provozních změn v ServiceDesku (včetně procesu jejich schvalování) a v konfigurační databázi (CMDB). Všechny provozní změny musí být schváleny Objednatelem, a to buď ve standardním režimu (schvalování změn 1x týdně nebo průběžně v pracovní době) nebo v režimu urgentní změny, kde může změnu schválit Manager on Duty (</w:t>
      </w:r>
      <w:proofErr w:type="spellStart"/>
      <w:r w:rsidRPr="009F75AE">
        <w:t>MoD</w:t>
      </w:r>
      <w:proofErr w:type="spellEnd"/>
      <w:r w:rsidRPr="009F75AE">
        <w:t>) určený Objednatelem.</w:t>
      </w:r>
    </w:p>
    <w:p w14:paraId="39E66345" w14:textId="7BF36A90" w:rsidR="0019601F" w:rsidRPr="009F75AE" w:rsidRDefault="0019601F" w:rsidP="009B4F92">
      <w:pPr>
        <w:pStyle w:val="Zkladntext"/>
      </w:pPr>
      <w:r w:rsidRPr="009F75AE">
        <w:t xml:space="preserve">Podmínkou schválení změn je jejich otestování na </w:t>
      </w:r>
      <w:proofErr w:type="spellStart"/>
      <w:r w:rsidRPr="009F75AE">
        <w:t>Pre</w:t>
      </w:r>
      <w:proofErr w:type="spellEnd"/>
      <w:r w:rsidRPr="009F75AE">
        <w:t>-Produkčním prostředí. Pokud to není možné z technickýc</w:t>
      </w:r>
      <w:r w:rsidR="00536D41" w:rsidRPr="009F75AE">
        <w:t>h</w:t>
      </w:r>
      <w:r w:rsidRPr="009F75AE">
        <w:t xml:space="preserve"> nebo časových důvodů, rozhoduje o nasazení změny do produkčního prostředí Objednatel nebo </w:t>
      </w:r>
      <w:proofErr w:type="spellStart"/>
      <w:r w:rsidRPr="009F75AE">
        <w:t>MoD</w:t>
      </w:r>
      <w:proofErr w:type="spellEnd"/>
      <w:r w:rsidRPr="009F75AE">
        <w:t xml:space="preserve">. </w:t>
      </w:r>
    </w:p>
    <w:p w14:paraId="0A51C955" w14:textId="444C0B0D" w:rsidR="003A6E05" w:rsidRPr="009F75AE" w:rsidRDefault="009B4F92" w:rsidP="009B4F92">
      <w:pPr>
        <w:pStyle w:val="Zkladntext"/>
      </w:pPr>
      <w:r w:rsidRPr="009F75AE">
        <w:t xml:space="preserve">Dodavatel je odpovědný za pravidelnou aktualizaci technické dokumentace </w:t>
      </w:r>
      <w:r w:rsidR="00E97012" w:rsidRPr="009F75AE">
        <w:t>vytvořené v rámci realizace Díla</w:t>
      </w:r>
      <w:r w:rsidRPr="009F75AE">
        <w:t xml:space="preserve"> včetně promítnutí provedených provozních změn.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992"/>
        <w:gridCol w:w="992"/>
      </w:tblGrid>
      <w:tr w:rsidR="003A6E05" w:rsidRPr="009F75AE" w14:paraId="7C224DAB" w14:textId="77777777" w:rsidTr="00CC37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7F64" w14:textId="77777777" w:rsidR="003A6E05" w:rsidRPr="009F75AE" w:rsidRDefault="003A6E05" w:rsidP="00CC37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Oblast/činnost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52467" w14:textId="77777777" w:rsidR="003A6E05" w:rsidRPr="009F75AE" w:rsidRDefault="003A6E05" w:rsidP="00CC37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Odpovědnost</w:t>
            </w:r>
          </w:p>
        </w:tc>
      </w:tr>
      <w:tr w:rsidR="003A6E05" w:rsidRPr="009F75AE" w14:paraId="2B302616" w14:textId="77777777" w:rsidTr="00CC37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998C" w14:textId="52D3E06D" w:rsidR="003A6E05" w:rsidRPr="009F75AE" w:rsidRDefault="003A6E05" w:rsidP="00CC37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7695" w14:textId="77777777" w:rsidR="003A6E05" w:rsidRPr="009F75AE" w:rsidRDefault="003A6E05" w:rsidP="00CC37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Správce AISG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3374" w14:textId="77777777" w:rsidR="003A6E05" w:rsidRPr="009F75AE" w:rsidRDefault="003A6E05" w:rsidP="00CC37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Provozovatel AISG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D6C3" w14:textId="77777777" w:rsidR="003A6E05" w:rsidRPr="009F75AE" w:rsidRDefault="003A6E05" w:rsidP="00CC37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SPCSS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C6B6" w14:textId="77777777" w:rsidR="003A6E05" w:rsidRPr="009F75AE" w:rsidRDefault="003A6E05" w:rsidP="00CC37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</w:t>
            </w:r>
            <w:proofErr w:type="spellEnd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vatel</w:t>
            </w:r>
            <w:proofErr w:type="spellEnd"/>
          </w:p>
        </w:tc>
      </w:tr>
      <w:tr w:rsidR="003A6E05" w:rsidRPr="009F75AE" w14:paraId="3E8A771C" w14:textId="77777777" w:rsidTr="00CC37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D808" w14:textId="7078C043" w:rsidR="003A6E05" w:rsidRPr="009F75AE" w:rsidRDefault="00543FDB" w:rsidP="00CC3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Řízení </w:t>
            </w:r>
            <w:r w:rsidR="00CA56C7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provozních 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změn a</w:t>
            </w:r>
            <w:r w:rsidR="003A6E05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konfigurací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9408" w14:textId="77777777" w:rsidR="003A6E05" w:rsidRPr="009F75AE" w:rsidRDefault="003A6E05" w:rsidP="00CC37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CAC0" w14:textId="2555A95D" w:rsidR="003A6E05" w:rsidRPr="009F75AE" w:rsidRDefault="00DC202F" w:rsidP="00CC37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0B68" w14:textId="77777777" w:rsidR="003A6E05" w:rsidRPr="009F75AE" w:rsidRDefault="003A6E05" w:rsidP="00CC37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5E96" w14:textId="77777777" w:rsidR="003A6E05" w:rsidRPr="009F75AE" w:rsidRDefault="003A6E05" w:rsidP="00CC37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</w:tr>
      <w:tr w:rsidR="003A6E05" w:rsidRPr="009F75AE" w14:paraId="686ACF5E" w14:textId="77777777" w:rsidTr="00CC37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461C" w14:textId="6374B3E9" w:rsidR="003A6E05" w:rsidRPr="009F75AE" w:rsidRDefault="00543FDB" w:rsidP="00CC3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Řízení </w:t>
            </w:r>
            <w:r w:rsidR="00CA56C7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provozních 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změn a konfigurací</w:t>
            </w:r>
            <w:r w:rsidR="003A6E05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9151" w14:textId="77777777" w:rsidR="003A6E05" w:rsidRPr="009F75AE" w:rsidRDefault="003A6E05" w:rsidP="00CC37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8E8C" w14:textId="624F209C" w:rsidR="003A6E05" w:rsidRPr="009F75AE" w:rsidRDefault="00DC202F" w:rsidP="00CC37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343A" w14:textId="77777777" w:rsidR="003A6E05" w:rsidRPr="009F75AE" w:rsidRDefault="003A6E05" w:rsidP="00CC37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64B9" w14:textId="77777777" w:rsidR="003A6E05" w:rsidRPr="009F75AE" w:rsidRDefault="003A6E05" w:rsidP="00CC37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130DD5" w:rsidRPr="009F75AE" w14:paraId="0CB084BD" w14:textId="77777777" w:rsidTr="00C413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C96B" w14:textId="0F26EF4D" w:rsidR="00C4134E" w:rsidRPr="009F75AE" w:rsidRDefault="00C4134E" w:rsidP="0065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Testování změn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FD84" w14:textId="77777777" w:rsidR="00C4134E" w:rsidRPr="009F75AE" w:rsidRDefault="00C4134E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7D28" w14:textId="7B43C1F8" w:rsidR="00C4134E" w:rsidRPr="009F75AE" w:rsidRDefault="00C4134E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36F4" w14:textId="77777777" w:rsidR="00C4134E" w:rsidRPr="009F75AE" w:rsidRDefault="00C4134E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1D29" w14:textId="77777777" w:rsidR="00C4134E" w:rsidRPr="009F75AE" w:rsidRDefault="00C4134E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</w:tr>
      <w:tr w:rsidR="00C4134E" w:rsidRPr="009F75AE" w14:paraId="741353B4" w14:textId="77777777" w:rsidTr="00C413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0E24" w14:textId="63B727E6" w:rsidR="00C4134E" w:rsidRPr="009F75AE" w:rsidRDefault="00C4134E" w:rsidP="0065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Testování změn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5FDB" w14:textId="77777777" w:rsidR="00C4134E" w:rsidRPr="009F75AE" w:rsidRDefault="00C4134E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3A3D" w14:textId="3C004BA0" w:rsidR="00C4134E" w:rsidRPr="009F75AE" w:rsidRDefault="00C4134E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FC4A" w14:textId="77777777" w:rsidR="00C4134E" w:rsidRPr="009F75AE" w:rsidRDefault="00C4134E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A3AF" w14:textId="77777777" w:rsidR="00C4134E" w:rsidRPr="009F75AE" w:rsidRDefault="00C4134E" w:rsidP="00650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</w:tbl>
    <w:p w14:paraId="16394339" w14:textId="3FFEEF02" w:rsidR="003A6E05" w:rsidRPr="009F75AE" w:rsidRDefault="003A6E05" w:rsidP="003A6E05">
      <w:pPr>
        <w:pStyle w:val="Zkladntext"/>
      </w:pPr>
    </w:p>
    <w:p w14:paraId="26F8D5A7" w14:textId="2460B87D" w:rsidR="008246C2" w:rsidRPr="009F75AE" w:rsidRDefault="008246C2" w:rsidP="008246C2">
      <w:pPr>
        <w:pStyle w:val="Nadpis3"/>
      </w:pPr>
      <w:bookmarkStart w:id="32" w:name="_Toc510348674"/>
      <w:r w:rsidRPr="009F75AE">
        <w:t>Změn</w:t>
      </w:r>
      <w:r w:rsidR="009B4F92" w:rsidRPr="009F75AE">
        <w:t>ové požadavky</w:t>
      </w:r>
      <w:r w:rsidR="00B81EF1" w:rsidRPr="009F75AE">
        <w:t xml:space="preserve"> a </w:t>
      </w:r>
      <w:r w:rsidR="009504FB" w:rsidRPr="009F75AE">
        <w:t>Služby rozvoje</w:t>
      </w:r>
      <w:bookmarkEnd w:id="32"/>
    </w:p>
    <w:p w14:paraId="3BE19509" w14:textId="041C7130" w:rsidR="00B81EF1" w:rsidRPr="009F75AE" w:rsidRDefault="00B81EF1" w:rsidP="00D04065">
      <w:pPr>
        <w:pStyle w:val="Zkladntext"/>
      </w:pPr>
      <w:r w:rsidRPr="009F75AE">
        <w:t xml:space="preserve">Řízení </w:t>
      </w:r>
      <w:r w:rsidR="00834986" w:rsidRPr="009F75AE">
        <w:t xml:space="preserve">ostatních </w:t>
      </w:r>
      <w:r w:rsidRPr="009F75AE">
        <w:t xml:space="preserve">změn systému, které </w:t>
      </w:r>
      <w:r w:rsidR="009504FB" w:rsidRPr="009F75AE">
        <w:t xml:space="preserve">mají vliv na rozsah systému nebo </w:t>
      </w:r>
      <w:r w:rsidR="00834986" w:rsidRPr="009F75AE">
        <w:t xml:space="preserve">Servisních služeb </w:t>
      </w:r>
      <w:r w:rsidR="009504FB" w:rsidRPr="009F75AE">
        <w:t xml:space="preserve">dle Smlouvy </w:t>
      </w:r>
      <w:r w:rsidR="00834986" w:rsidRPr="009F75AE">
        <w:t xml:space="preserve">včetně jejích příloh </w:t>
      </w:r>
      <w:r w:rsidR="009504FB" w:rsidRPr="009F75AE">
        <w:t xml:space="preserve">a </w:t>
      </w:r>
      <w:r w:rsidR="00834986" w:rsidRPr="009F75AE">
        <w:t>schválené dokumentace</w:t>
      </w:r>
      <w:r w:rsidR="009504FB" w:rsidRPr="009F75AE">
        <w:t xml:space="preserve">, probíhá primárně </w:t>
      </w:r>
      <w:r w:rsidR="00111733" w:rsidRPr="009F75AE">
        <w:t xml:space="preserve">formou Služeb rozvoje dle kapitoly 2 této přílohy Smlouvy nebo (v průběhu implementace Etapy 2) </w:t>
      </w:r>
      <w:r w:rsidR="009504FB" w:rsidRPr="009F75AE">
        <w:t>formou Změnového řízení dle čl. V Smlouvy.</w:t>
      </w:r>
    </w:p>
    <w:p w14:paraId="26EA27D3" w14:textId="70B270C5" w:rsidR="00902AE4" w:rsidRPr="009F75AE" w:rsidRDefault="009504FB" w:rsidP="009504FB">
      <w:pPr>
        <w:pStyle w:val="Zkladntext"/>
      </w:pPr>
      <w:r w:rsidRPr="009F75AE">
        <w:t>Při implementaci těchto větších změn jsou pro jednotlivé drobné změny</w:t>
      </w:r>
      <w:r w:rsidR="00834986" w:rsidRPr="009F75AE">
        <w:t xml:space="preserve">, ze kterých jsou složeny, </w:t>
      </w:r>
      <w:r w:rsidRPr="009F75AE">
        <w:t>dodržovány provozní procesy platné pro Servisní služby, zejména řízení změn a konfigurací a řízení součinností, způsobem obdobným jako pro provozní změny.</w:t>
      </w:r>
    </w:p>
    <w:p w14:paraId="0927B77C" w14:textId="116921B2" w:rsidR="00902AE4" w:rsidRPr="009F75AE" w:rsidRDefault="00902AE4" w:rsidP="00D04065">
      <w:pPr>
        <w:pStyle w:val="Nadpis3"/>
      </w:pPr>
      <w:bookmarkStart w:id="33" w:name="_Toc510348675"/>
      <w:r w:rsidRPr="009F75AE">
        <w:lastRenderedPageBreak/>
        <w:t>Řízení přechodu do produktivního provozu</w:t>
      </w:r>
      <w:bookmarkEnd w:id="33"/>
    </w:p>
    <w:p w14:paraId="386BC61A" w14:textId="5DCC6375" w:rsidR="00AE7F7C" w:rsidRPr="009F75AE" w:rsidRDefault="00AE7F7C" w:rsidP="00AE7F7C">
      <w:pPr>
        <w:pStyle w:val="Zkladntext"/>
      </w:pPr>
      <w:r w:rsidRPr="009F75AE">
        <w:t>Při implementaci změn většího rozsahu jsou dodržovány principy a požadavky realizace Díla, zjednodušené v míře odpovídající řídícím strukturám provozu a rozsahu změn. Jedná se zejména o rozdělení odpovědností při implementaci a dále o oblasti vývoje, testování a dokumentace. Z pohledu řízení provozu a ISO 20000 jde o proces Řízení přecho</w:t>
      </w:r>
      <w:r w:rsidR="00130DD5" w:rsidRPr="009F75AE">
        <w:t>d</w:t>
      </w:r>
      <w:r w:rsidRPr="009F75AE">
        <w:t>u do produktivního provozu (</w:t>
      </w:r>
      <w:proofErr w:type="spellStart"/>
      <w:r w:rsidRPr="009F75AE">
        <w:t>Release</w:t>
      </w:r>
      <w:proofErr w:type="spellEnd"/>
      <w:r w:rsidRPr="009F75AE">
        <w:t xml:space="preserve"> Management).</w:t>
      </w:r>
    </w:p>
    <w:p w14:paraId="45A7B848" w14:textId="6D1E7C01" w:rsidR="001F7A2A" w:rsidRPr="009F75AE" w:rsidRDefault="001F7A2A" w:rsidP="001F7A2A">
      <w:pPr>
        <w:pStyle w:val="Nadpis2"/>
      </w:pPr>
      <w:bookmarkStart w:id="34" w:name="_Toc510348676"/>
      <w:r w:rsidRPr="009F75AE">
        <w:t>Řízení problémů</w:t>
      </w:r>
      <w:bookmarkEnd w:id="34"/>
    </w:p>
    <w:p w14:paraId="12FDE489" w14:textId="023ED650" w:rsidR="00E87A5D" w:rsidRPr="009F75AE" w:rsidRDefault="00E87A5D" w:rsidP="003F078A">
      <w:pPr>
        <w:jc w:val="both"/>
      </w:pPr>
      <w:r w:rsidRPr="009F75AE">
        <w:t>Problém je příčinou jednoho nebo více incidentů. Příčina problému obvykle není známa v čase vyřešení incidentu a hrozí opakování výskytu incidentu. Proces řízení problémů řídí další zkoumání a řešení problému</w:t>
      </w:r>
      <w:r w:rsidR="00B631E5" w:rsidRPr="009F75AE">
        <w:t>, včetně vyhodnocení efektivity řešení</w:t>
      </w:r>
      <w:r w:rsidRPr="009F75AE">
        <w:t xml:space="preserve">.  Cílem řízení problémů není případným problémům zabránit, ale řešit je. Každý problém je třeba včas identifikovat, navrhnout řešení a řešení schválit. </w:t>
      </w:r>
    </w:p>
    <w:p w14:paraId="31351E3B" w14:textId="2226482F" w:rsidR="00E87A5D" w:rsidRPr="009F75AE" w:rsidRDefault="00E87A5D" w:rsidP="003F078A">
      <w:pPr>
        <w:jc w:val="both"/>
      </w:pPr>
      <w:r w:rsidRPr="009F75AE">
        <w:t>Problémy jsou průběžně identifikovány všemi účastníky provozu na základě analýzy incidentů. Odpovědnost za návrhy a implementaci řešení vychází z</w:t>
      </w:r>
      <w:r w:rsidR="00424E73" w:rsidRPr="009F75AE">
        <w:t xml:space="preserve"> </w:t>
      </w:r>
      <w:r w:rsidRPr="009F75AE">
        <w:t xml:space="preserve">rozdělení odpovědností </w:t>
      </w:r>
      <w:r w:rsidR="00424E73" w:rsidRPr="009F75AE">
        <w:t>Dodavatele, Objednatele a SPCSS za části AISG</w:t>
      </w:r>
      <w:r w:rsidRPr="009F75AE">
        <w:t xml:space="preserve">. Řešení problému schvaluje Objednatel. Pokud řešení problému vyžaduje změnový požadavek nebo realizaci Služeb rozvoje, postupuje se podle pravidel řízení změn. </w:t>
      </w:r>
    </w:p>
    <w:p w14:paraId="6757C9E2" w14:textId="67D358AF" w:rsidR="00076ABD" w:rsidRPr="009F75AE" w:rsidRDefault="00076ABD" w:rsidP="00076ABD">
      <w:pPr>
        <w:pStyle w:val="Zkladntext"/>
      </w:pPr>
      <w:r w:rsidRPr="009F75AE">
        <w:t xml:space="preserve">Dodavatel je povinen řešit problémy v rámci provozní doby systému bez zbytečného </w:t>
      </w:r>
      <w:r w:rsidR="008825E9" w:rsidRPr="009F75AE">
        <w:t>odkladu</w:t>
      </w:r>
      <w:r w:rsidRPr="009F75AE">
        <w:t>, s ohledem na závažnost problému, určenou Objednatelem</w:t>
      </w:r>
      <w:r w:rsidR="00424E73" w:rsidRPr="009F75AE">
        <w:t>. Do určení příčiny problému řeší Dodavatel problémy přidělené Objednatelem jako problémy v odpovědnosti Dodavatele</w:t>
      </w:r>
      <w:r w:rsidRPr="009F75AE">
        <w:rPr>
          <w:i/>
        </w:rPr>
        <w:t>.</w:t>
      </w:r>
    </w:p>
    <w:p w14:paraId="5DD59BB1" w14:textId="1C7EDF66" w:rsidR="00E87A5D" w:rsidRPr="009F75AE" w:rsidRDefault="00E87A5D" w:rsidP="00E87A5D">
      <w:r w:rsidRPr="009F75AE">
        <w:t>Stav řešení je sledován v rámci jednání a úkolů řídících struktur provozu na úrovni vedení projektu a evidován v řídícím dokumentu „</w:t>
      </w:r>
      <w:r w:rsidRPr="009F75AE">
        <w:rPr>
          <w:b/>
        </w:rPr>
        <w:t xml:space="preserve">Registr </w:t>
      </w:r>
      <w:r w:rsidR="00F7355B" w:rsidRPr="009F75AE">
        <w:rPr>
          <w:b/>
        </w:rPr>
        <w:t xml:space="preserve">otevřených otázek, </w:t>
      </w:r>
      <w:r w:rsidRPr="009F75AE">
        <w:rPr>
          <w:b/>
        </w:rPr>
        <w:t>problémů a změn</w:t>
      </w:r>
      <w:r w:rsidRPr="009F75AE">
        <w:t xml:space="preserve">“.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992"/>
        <w:gridCol w:w="992"/>
      </w:tblGrid>
      <w:tr w:rsidR="00D5658E" w:rsidRPr="009F75AE" w14:paraId="61DE3D08" w14:textId="77777777" w:rsidTr="00BE5D2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0E2" w14:textId="77777777" w:rsidR="00D5658E" w:rsidRPr="009F75AE" w:rsidRDefault="00D5658E" w:rsidP="00BE5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Oblast/činnost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0DF95" w14:textId="77777777" w:rsidR="00D5658E" w:rsidRPr="009F75AE" w:rsidRDefault="00D5658E" w:rsidP="00BE5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Odpovědnost</w:t>
            </w:r>
          </w:p>
        </w:tc>
      </w:tr>
      <w:tr w:rsidR="00D5658E" w:rsidRPr="009F75AE" w14:paraId="297A9339" w14:textId="77777777" w:rsidTr="00D040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36F2" w14:textId="56F7882F" w:rsidR="00D5658E" w:rsidRPr="009F75AE" w:rsidRDefault="00D5658E" w:rsidP="00BE5D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AFFD" w14:textId="77777777" w:rsidR="00D5658E" w:rsidRPr="009F75AE" w:rsidRDefault="00D5658E" w:rsidP="00BE5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Správce AISG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6116" w14:textId="77777777" w:rsidR="00D5658E" w:rsidRPr="009F75AE" w:rsidRDefault="00D5658E" w:rsidP="00BE5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Provozovatel AISG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83A6" w14:textId="77777777" w:rsidR="00D5658E" w:rsidRPr="009F75AE" w:rsidRDefault="00D5658E" w:rsidP="00BE5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SPCSS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5E67" w14:textId="77777777" w:rsidR="00D5658E" w:rsidRPr="009F75AE" w:rsidRDefault="00D5658E" w:rsidP="00BE5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</w:t>
            </w:r>
            <w:proofErr w:type="spellEnd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vatel</w:t>
            </w:r>
            <w:proofErr w:type="spellEnd"/>
          </w:p>
        </w:tc>
      </w:tr>
      <w:tr w:rsidR="00D5658E" w:rsidRPr="009F75AE" w14:paraId="27C612BD" w14:textId="77777777" w:rsidTr="00BE5D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CAA5" w14:textId="089D1B79" w:rsidR="00D5658E" w:rsidRPr="009F75AE" w:rsidRDefault="00D5658E" w:rsidP="00BE5D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Analýza incidentů a identifikace problémů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0D15" w14:textId="77777777" w:rsidR="00D5658E" w:rsidRPr="009F75AE" w:rsidRDefault="00D5658E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C31C" w14:textId="03B97908" w:rsidR="00D5658E" w:rsidRPr="009F75AE" w:rsidRDefault="00D5658E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D2E6" w14:textId="77777777" w:rsidR="00D5658E" w:rsidRPr="009F75AE" w:rsidRDefault="00D5658E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B791" w14:textId="30325C63" w:rsidR="00D5658E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D5658E" w:rsidRPr="009F75AE" w14:paraId="551C7CD1" w14:textId="77777777" w:rsidTr="00BE5D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A710" w14:textId="0E33A5A3" w:rsidR="00D5658E" w:rsidRPr="009F75AE" w:rsidRDefault="00D5658E" w:rsidP="00D565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Analýza incidentů a identifikace problémů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F8CF" w14:textId="77777777" w:rsidR="00D5658E" w:rsidRPr="009F75AE" w:rsidRDefault="00D5658E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21E5" w14:textId="044079A0" w:rsidR="00D5658E" w:rsidRPr="009F75AE" w:rsidRDefault="00D5658E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4267" w14:textId="1EA69C55" w:rsidR="00D5658E" w:rsidRPr="009F75AE" w:rsidRDefault="00844F66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5F0E" w14:textId="77777777" w:rsidR="00D5658E" w:rsidRPr="009F75AE" w:rsidRDefault="00D5658E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D5658E" w:rsidRPr="009F75AE" w14:paraId="224442D8" w14:textId="77777777" w:rsidTr="00BE5D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5E3B" w14:textId="73C3C14A" w:rsidR="00D5658E" w:rsidRPr="009F75AE" w:rsidRDefault="00D5658E" w:rsidP="00D565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Evidence problémů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AD3C" w14:textId="28972782" w:rsidR="00D5658E" w:rsidRPr="009F75AE" w:rsidRDefault="00D5658E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D2A6" w14:textId="64887E52" w:rsidR="00D5658E" w:rsidRPr="009F75AE" w:rsidRDefault="00D5658E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342C" w14:textId="1EBED476" w:rsidR="00D5658E" w:rsidRPr="009F75AE" w:rsidRDefault="00D5658E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5E36" w14:textId="784A7B8A" w:rsidR="00D5658E" w:rsidRPr="009F75AE" w:rsidRDefault="00D5658E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D5658E" w:rsidRPr="009F75AE" w14:paraId="6FDCD815" w14:textId="77777777" w:rsidTr="00BE5D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4A41" w14:textId="6E6605ED" w:rsidR="00D5658E" w:rsidRPr="009F75AE" w:rsidRDefault="00D5658E" w:rsidP="00BE5D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Návrh řešení problémů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5E67" w14:textId="77777777" w:rsidR="00D5658E" w:rsidRPr="009F75AE" w:rsidRDefault="00D5658E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7780" w14:textId="718FF383" w:rsidR="00D5658E" w:rsidRPr="009F75AE" w:rsidRDefault="00D5658E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A80" w14:textId="77777777" w:rsidR="00D5658E" w:rsidRPr="009F75AE" w:rsidRDefault="00D5658E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018A" w14:textId="13FDB21B" w:rsidR="00D5658E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D5658E" w:rsidRPr="009F75AE" w14:paraId="4F1D48BC" w14:textId="77777777" w:rsidTr="00BE5D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8C60" w14:textId="5AFE3947" w:rsidR="00D5658E" w:rsidRPr="009F75AE" w:rsidRDefault="00D5658E" w:rsidP="00BE5D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Návrh řešení problémů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0455" w14:textId="77777777" w:rsidR="00D5658E" w:rsidRPr="009F75AE" w:rsidRDefault="00D5658E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1954" w14:textId="45D8B815" w:rsidR="00D5658E" w:rsidRPr="009F75AE" w:rsidRDefault="00D5658E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8D4C" w14:textId="56CE5907" w:rsidR="00D5658E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7805" w14:textId="77777777" w:rsidR="00D5658E" w:rsidRPr="009F75AE" w:rsidRDefault="00D5658E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D5658E" w:rsidRPr="009F75AE" w14:paraId="77012A99" w14:textId="77777777" w:rsidTr="00BE5D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4ADF" w14:textId="65E82D16" w:rsidR="00D5658E" w:rsidRPr="009F75AE" w:rsidRDefault="00D5658E" w:rsidP="00D565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Řešení problémů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2AE5" w14:textId="77777777" w:rsidR="00D5658E" w:rsidRPr="009F75AE" w:rsidRDefault="00D5658E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83E2" w14:textId="77777777" w:rsidR="00D5658E" w:rsidRPr="009F75AE" w:rsidRDefault="00D5658E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5622" w14:textId="77777777" w:rsidR="00D5658E" w:rsidRPr="009F75AE" w:rsidRDefault="00D5658E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38CE" w14:textId="6FD19E4B" w:rsidR="00D5658E" w:rsidRPr="009F75AE" w:rsidRDefault="00844F66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D5658E" w:rsidRPr="009F75AE" w14:paraId="351E54E8" w14:textId="77777777" w:rsidTr="00BE5D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21C7" w14:textId="17168C19" w:rsidR="00D5658E" w:rsidRPr="009F75AE" w:rsidRDefault="00D5658E" w:rsidP="00D565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Řešení problémů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7BDF" w14:textId="77777777" w:rsidR="00D5658E" w:rsidRPr="009F75AE" w:rsidRDefault="00D5658E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1D23" w14:textId="77777777" w:rsidR="00D5658E" w:rsidRPr="009F75AE" w:rsidRDefault="00D5658E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B3B0" w14:textId="671CC0AD" w:rsidR="00D5658E" w:rsidRPr="009F75AE" w:rsidRDefault="00844F66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36F5" w14:textId="77777777" w:rsidR="00D5658E" w:rsidRPr="009F75AE" w:rsidRDefault="00D5658E" w:rsidP="00D565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</w:tbl>
    <w:p w14:paraId="54C4DDD2" w14:textId="02E5FEE3" w:rsidR="001F7A2A" w:rsidRPr="009F75AE" w:rsidRDefault="001F7A2A" w:rsidP="001F7A2A">
      <w:pPr>
        <w:pStyle w:val="Nadpis2"/>
      </w:pPr>
      <w:bookmarkStart w:id="35" w:name="_Toc480196893"/>
      <w:bookmarkStart w:id="36" w:name="_Toc510348677"/>
      <w:bookmarkEnd w:id="35"/>
      <w:r w:rsidRPr="009F75AE">
        <w:t>Řízení rizik</w:t>
      </w:r>
      <w:bookmarkEnd w:id="36"/>
    </w:p>
    <w:p w14:paraId="0CE7EA51" w14:textId="6F36E052" w:rsidR="00844F66" w:rsidRPr="009F75AE" w:rsidRDefault="00844F66" w:rsidP="006073E5">
      <w:pPr>
        <w:jc w:val="both"/>
      </w:pPr>
      <w:r w:rsidRPr="009F75AE">
        <w:t>Proces řízení rizik zahrnuje identifikaci a vyhodnocení rizik, stanovení a implementace vhodných opatření a vyhodnocení jejich účinnosti.</w:t>
      </w:r>
    </w:p>
    <w:p w14:paraId="3814E198" w14:textId="77777777" w:rsidR="00844F66" w:rsidRPr="009F75AE" w:rsidRDefault="00844F66" w:rsidP="006073E5">
      <w:pPr>
        <w:jc w:val="both"/>
      </w:pPr>
      <w:r w:rsidRPr="009F75AE">
        <w:t xml:space="preserve">Provozní rizika jsou průběžně identifikována všemi účastníky provozu. Odpovědnost za návrhy a implementaci opatření vychází z rozdělení odpovědností implementace a provozu popsaných ve Smlouvě a jejích přílohách. Opatření schvaluje Objednatel. Pokud implementace opatření vyžaduje změnový požadavek nebo realizaci Služeb rozvoje, postupuje se podle pravidel řízení změn. </w:t>
      </w:r>
    </w:p>
    <w:p w14:paraId="141F5897" w14:textId="77777777" w:rsidR="00844F66" w:rsidRPr="009F75AE" w:rsidRDefault="00844F66" w:rsidP="00844F66">
      <w:r w:rsidRPr="009F75AE">
        <w:rPr>
          <w:u w:val="single"/>
        </w:rPr>
        <w:t>V rámci identifikace rizik musí být určeny</w:t>
      </w:r>
      <w:r w:rsidRPr="009F75AE">
        <w:t>:</w:t>
      </w:r>
    </w:p>
    <w:p w14:paraId="11966091" w14:textId="77777777" w:rsidR="00844F66" w:rsidRPr="009F75AE" w:rsidRDefault="00844F66" w:rsidP="00844F66">
      <w:pPr>
        <w:numPr>
          <w:ilvl w:val="0"/>
          <w:numId w:val="36"/>
        </w:numPr>
        <w:spacing w:after="0" w:line="240" w:lineRule="auto"/>
        <w:jc w:val="both"/>
      </w:pPr>
      <w:r w:rsidRPr="009F75AE">
        <w:t>příčina rizika (reálná událost nebo situace, která je důvodem vzniku rizika);</w:t>
      </w:r>
    </w:p>
    <w:p w14:paraId="510347A2" w14:textId="77777777" w:rsidR="00844F66" w:rsidRPr="009F75AE" w:rsidRDefault="00844F66" w:rsidP="00844F66">
      <w:pPr>
        <w:numPr>
          <w:ilvl w:val="0"/>
          <w:numId w:val="36"/>
        </w:numPr>
        <w:spacing w:after="0" w:line="240" w:lineRule="auto"/>
        <w:jc w:val="both"/>
      </w:pPr>
      <w:r w:rsidRPr="009F75AE">
        <w:t>riziko (událost, která může s určitou pravděpodobností nastat);</w:t>
      </w:r>
    </w:p>
    <w:p w14:paraId="05DFEB18" w14:textId="77777777" w:rsidR="00844F66" w:rsidRPr="009F75AE" w:rsidRDefault="00844F66" w:rsidP="00844F66">
      <w:pPr>
        <w:numPr>
          <w:ilvl w:val="0"/>
          <w:numId w:val="36"/>
        </w:numPr>
        <w:spacing w:after="0" w:line="240" w:lineRule="auto"/>
        <w:jc w:val="both"/>
      </w:pPr>
      <w:r w:rsidRPr="009F75AE">
        <w:lastRenderedPageBreak/>
        <w:t>dopad na kvalitu a parametry poskytované služby.</w:t>
      </w:r>
    </w:p>
    <w:p w14:paraId="7A4AB801" w14:textId="77777777" w:rsidR="00844F66" w:rsidRPr="009F75AE" w:rsidRDefault="00844F66" w:rsidP="00844F66">
      <w:pPr>
        <w:rPr>
          <w:u w:val="single"/>
        </w:rPr>
      </w:pPr>
    </w:p>
    <w:p w14:paraId="1F81F8B9" w14:textId="77777777" w:rsidR="00844F66" w:rsidRPr="009F75AE" w:rsidRDefault="00844F66" w:rsidP="00844F66">
      <w:r w:rsidRPr="009F75AE">
        <w:rPr>
          <w:u w:val="single"/>
        </w:rPr>
        <w:t>Hodnocení rizik probíhá z hledisek</w:t>
      </w:r>
      <w:r w:rsidRPr="009F75AE">
        <w:t>:</w:t>
      </w:r>
    </w:p>
    <w:p w14:paraId="582F9C82" w14:textId="77777777" w:rsidR="00844F66" w:rsidRPr="009F75AE" w:rsidRDefault="00844F66" w:rsidP="00844F66">
      <w:pPr>
        <w:numPr>
          <w:ilvl w:val="0"/>
          <w:numId w:val="36"/>
        </w:numPr>
        <w:spacing w:after="0" w:line="240" w:lineRule="auto"/>
        <w:jc w:val="both"/>
      </w:pPr>
      <w:r w:rsidRPr="009F75AE">
        <w:t>pravděpodobnosti, že riziková situace nastane,</w:t>
      </w:r>
    </w:p>
    <w:p w14:paraId="3594161F" w14:textId="77777777" w:rsidR="00844F66" w:rsidRPr="009F75AE" w:rsidRDefault="00844F66" w:rsidP="00844F66">
      <w:pPr>
        <w:numPr>
          <w:ilvl w:val="0"/>
          <w:numId w:val="36"/>
        </w:numPr>
        <w:spacing w:after="0" w:line="240" w:lineRule="auto"/>
        <w:jc w:val="both"/>
      </w:pPr>
      <w:r w:rsidRPr="009F75AE">
        <w:t>rozsahu dopadu v případě, že riziková událost nastane,</w:t>
      </w:r>
    </w:p>
    <w:p w14:paraId="0D217683" w14:textId="77777777" w:rsidR="00844F66" w:rsidRPr="009F75AE" w:rsidRDefault="00844F66" w:rsidP="00844F66">
      <w:pPr>
        <w:numPr>
          <w:ilvl w:val="0"/>
          <w:numId w:val="36"/>
        </w:numPr>
        <w:spacing w:after="0" w:line="240" w:lineRule="auto"/>
        <w:jc w:val="both"/>
      </w:pPr>
      <w:r w:rsidRPr="009F75AE">
        <w:t>časového horizontu, ve kterém může daná riziková událost nastat.</w:t>
      </w:r>
    </w:p>
    <w:p w14:paraId="57CC2B7F" w14:textId="77777777" w:rsidR="00844F66" w:rsidRPr="009F75AE" w:rsidRDefault="00844F66" w:rsidP="00844F66"/>
    <w:p w14:paraId="2088E33B" w14:textId="003D7A8A" w:rsidR="00076ABD" w:rsidRPr="009F75AE" w:rsidRDefault="00076ABD" w:rsidP="00076ABD">
      <w:pPr>
        <w:pStyle w:val="Zkladntext"/>
      </w:pPr>
      <w:r w:rsidRPr="009F75AE">
        <w:t xml:space="preserve">Dodavatel je povinen implementovat opatření v rámci provozní doby systému bez zbytečného </w:t>
      </w:r>
      <w:r w:rsidR="008825E9" w:rsidRPr="009F75AE">
        <w:t>odkladu</w:t>
      </w:r>
      <w:r w:rsidRPr="009F75AE">
        <w:t>, s ohledem na závažnost rizika, určenou Objednatelem</w:t>
      </w:r>
      <w:r w:rsidRPr="009F75AE">
        <w:rPr>
          <w:i/>
        </w:rPr>
        <w:t>.</w:t>
      </w:r>
    </w:p>
    <w:p w14:paraId="4EAD91E9" w14:textId="77777777" w:rsidR="00844F66" w:rsidRPr="009F75AE" w:rsidRDefault="00844F66" w:rsidP="00844F66">
      <w:r w:rsidRPr="009F75AE">
        <w:t>Stav rizik a jejich opatření je sledován v rámci jednání a úkolů řídících struktur provozu na úrovni vedení projektu a evidován v řídícím dokumentu „</w:t>
      </w:r>
      <w:r w:rsidRPr="009F75AE">
        <w:rPr>
          <w:b/>
        </w:rPr>
        <w:t>Registr rizik</w:t>
      </w:r>
      <w:r w:rsidRPr="009F75AE">
        <w:t xml:space="preserve">“.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992"/>
        <w:gridCol w:w="992"/>
      </w:tblGrid>
      <w:tr w:rsidR="00844F66" w:rsidRPr="009F75AE" w14:paraId="4E5356DC" w14:textId="77777777" w:rsidTr="00BE5D2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8847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Oblast/činnost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4B8D3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Odpovědnost</w:t>
            </w:r>
          </w:p>
        </w:tc>
      </w:tr>
      <w:tr w:rsidR="00844F66" w:rsidRPr="009F75AE" w14:paraId="0F951BFB" w14:textId="77777777" w:rsidTr="00BE5D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1873" w14:textId="77777777" w:rsidR="00844F66" w:rsidRPr="009F75AE" w:rsidRDefault="00844F66" w:rsidP="00BE5D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EE82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Správce AISG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DF72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Provozovatel AISG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F9BE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SPCSS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EC5B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</w:t>
            </w:r>
            <w:proofErr w:type="spellEnd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9F75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vatel</w:t>
            </w:r>
            <w:proofErr w:type="spellEnd"/>
          </w:p>
        </w:tc>
      </w:tr>
      <w:tr w:rsidR="00844F66" w:rsidRPr="009F75AE" w14:paraId="31D79AF5" w14:textId="77777777" w:rsidTr="00BE5D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1325" w14:textId="53638AF6" w:rsidR="00844F66" w:rsidRPr="009F75AE" w:rsidRDefault="00844F66" w:rsidP="00BE5D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Identifikace rizik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5DA9" w14:textId="4F3FBCA9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19D2" w14:textId="0BD6DB3D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00B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A81F" w14:textId="145F7554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844F66" w:rsidRPr="009F75AE" w14:paraId="30286740" w14:textId="77777777" w:rsidTr="00BE5D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4929" w14:textId="055B580D" w:rsidR="00844F66" w:rsidRPr="009F75AE" w:rsidRDefault="00844F66" w:rsidP="00BE5D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Evidence </w:t>
            </w:r>
            <w:r w:rsidR="008C091C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rizik a opatření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8C46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463B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EF05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6564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844F66" w:rsidRPr="009F75AE" w14:paraId="7A6A69A5" w14:textId="77777777" w:rsidTr="00BE5D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C563" w14:textId="57094C29" w:rsidR="00844F66" w:rsidRPr="009F75AE" w:rsidRDefault="00844F66" w:rsidP="00BE5D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Návrh </w:t>
            </w:r>
            <w:r w:rsidR="008C091C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opatření</w:t>
            </w: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3737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010F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929D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55AC" w14:textId="248D514A" w:rsidR="00844F66" w:rsidRPr="009F75AE" w:rsidRDefault="008C091C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844F66" w:rsidRPr="009F75AE" w14:paraId="1D109748" w14:textId="77777777" w:rsidTr="00BE5D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C7B1" w14:textId="1ABB99C3" w:rsidR="00844F66" w:rsidRPr="009F75AE" w:rsidRDefault="00844F66" w:rsidP="00BE5D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Návrh </w:t>
            </w:r>
            <w:r w:rsidR="008C091C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opatření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A8BF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59E3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43A4" w14:textId="0105A801" w:rsidR="00844F66" w:rsidRPr="009F75AE" w:rsidRDefault="008C091C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ACD1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844F66" w:rsidRPr="009F75AE" w14:paraId="1DC18868" w14:textId="77777777" w:rsidTr="00BE5D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7854" w14:textId="2A0691A7" w:rsidR="00844F66" w:rsidRPr="009F75AE" w:rsidRDefault="008C091C" w:rsidP="00BE5D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Implementace opatření</w:t>
            </w:r>
            <w:r w:rsidR="00844F66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(Technická infrastruktura)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F9D2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B5D3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0C8A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B60B" w14:textId="06B987C6" w:rsidR="00844F66" w:rsidRPr="009F75AE" w:rsidRDefault="008C091C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</w:tr>
      <w:tr w:rsidR="00844F66" w:rsidRPr="009F75AE" w14:paraId="6AF8A5F8" w14:textId="77777777" w:rsidTr="00BE5D2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D167" w14:textId="590E75E7" w:rsidR="00844F66" w:rsidRPr="009F75AE" w:rsidRDefault="008C091C" w:rsidP="00BE5D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Implementace opatření</w:t>
            </w:r>
            <w:r w:rsidR="00844F66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E301A"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(Aplikace, SW produkty a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2B2A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E6CA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A8E1" w14:textId="33076383" w:rsidR="00844F66" w:rsidRPr="009F75AE" w:rsidRDefault="008C091C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7CE1" w14:textId="77777777" w:rsidR="00844F66" w:rsidRPr="009F75AE" w:rsidRDefault="00844F66" w:rsidP="00BE5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F75A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</w:tbl>
    <w:p w14:paraId="2ED7EE83" w14:textId="28511238" w:rsidR="008B1D83" w:rsidRPr="009F75AE" w:rsidRDefault="001F7A2A" w:rsidP="001F7A2A">
      <w:pPr>
        <w:pStyle w:val="Nadpis2"/>
      </w:pPr>
      <w:bookmarkStart w:id="37" w:name="_Toc510348678"/>
      <w:r w:rsidRPr="009F75AE">
        <w:t>Řízení kvality</w:t>
      </w:r>
      <w:bookmarkEnd w:id="37"/>
    </w:p>
    <w:p w14:paraId="04E87ABA" w14:textId="54BA9ACD" w:rsidR="00811AB7" w:rsidRPr="009F75AE" w:rsidRDefault="00B813DC" w:rsidP="006073E5">
      <w:pPr>
        <w:jc w:val="both"/>
      </w:pPr>
      <w:r w:rsidRPr="009F75AE">
        <w:t>Řízení kvality provozu probíhá na úrovni v rámci jednání a úkolů řídících struktur provozu na úrovni vedení projektu</w:t>
      </w:r>
      <w:r w:rsidR="00811AB7" w:rsidRPr="009F75AE">
        <w:t xml:space="preserve"> a prostřednictvím pravidelných měsíčních </w:t>
      </w:r>
      <w:r w:rsidR="00F80C52" w:rsidRPr="009F75AE">
        <w:t>zpráv</w:t>
      </w:r>
      <w:r w:rsidRPr="009F75AE">
        <w:t>.</w:t>
      </w:r>
      <w:r w:rsidR="00811AB7" w:rsidRPr="009F75AE">
        <w:t xml:space="preserve"> Pravidelné měsíční </w:t>
      </w:r>
      <w:r w:rsidR="00F80C52" w:rsidRPr="009F75AE">
        <w:t>zprávy</w:t>
      </w:r>
      <w:r w:rsidR="00811AB7" w:rsidRPr="009F75AE">
        <w:t xml:space="preserve"> ze strany Dodavatele jsou součástí Souhrnného měsíčního výkazu </w:t>
      </w:r>
      <w:r w:rsidR="00F80C52" w:rsidRPr="009F75AE">
        <w:t xml:space="preserve">kvality </w:t>
      </w:r>
      <w:r w:rsidR="00811AB7" w:rsidRPr="009F75AE">
        <w:t xml:space="preserve">dle Smlouvy. </w:t>
      </w:r>
    </w:p>
    <w:p w14:paraId="356EC4F0" w14:textId="3EA4B19B" w:rsidR="00B813DC" w:rsidRPr="009F75AE" w:rsidRDefault="00811AB7" w:rsidP="006073E5">
      <w:pPr>
        <w:jc w:val="both"/>
      </w:pPr>
      <w:r w:rsidRPr="009F75AE">
        <w:t>Řízení kvality probíhá zejména v oblastech:</w:t>
      </w:r>
      <w:r w:rsidR="00B813DC" w:rsidRPr="009F75AE">
        <w:t xml:space="preserve"> </w:t>
      </w:r>
    </w:p>
    <w:p w14:paraId="4F3E621F" w14:textId="7C2D388E" w:rsidR="00811AB7" w:rsidRPr="009F75AE" w:rsidRDefault="00811AB7" w:rsidP="00D04065">
      <w:pPr>
        <w:pStyle w:val="Odstavecseseznamem"/>
        <w:numPr>
          <w:ilvl w:val="0"/>
          <w:numId w:val="39"/>
        </w:numPr>
      </w:pPr>
      <w:r w:rsidRPr="009F75AE">
        <w:t>plnění SLA</w:t>
      </w:r>
      <w:r w:rsidR="00F84B03" w:rsidRPr="009F75AE">
        <w:t xml:space="preserve"> parametrů</w:t>
      </w:r>
    </w:p>
    <w:p w14:paraId="6D1EB06D" w14:textId="71E96487" w:rsidR="00811AB7" w:rsidRPr="009F75AE" w:rsidRDefault="00811AB7" w:rsidP="00D04065">
      <w:pPr>
        <w:pStyle w:val="Odstavecseseznamem"/>
        <w:numPr>
          <w:ilvl w:val="0"/>
          <w:numId w:val="39"/>
        </w:numPr>
      </w:pPr>
      <w:r w:rsidRPr="009F75AE">
        <w:t>eskalace, sledování a reporting řešení závažných incidentů s velkým dopadem na uživatele</w:t>
      </w:r>
    </w:p>
    <w:p w14:paraId="143CF6B6" w14:textId="34DA529A" w:rsidR="00811AB7" w:rsidRPr="009F75AE" w:rsidRDefault="00811AB7" w:rsidP="00D04065">
      <w:pPr>
        <w:pStyle w:val="Odstavecseseznamem"/>
        <w:numPr>
          <w:ilvl w:val="0"/>
          <w:numId w:val="39"/>
        </w:numPr>
      </w:pPr>
      <w:r w:rsidRPr="009F75AE">
        <w:t>p</w:t>
      </w:r>
      <w:r w:rsidR="00536D41" w:rsidRPr="009F75AE">
        <w:t>l</w:t>
      </w:r>
      <w:r w:rsidRPr="009F75AE">
        <w:t>něn</w:t>
      </w:r>
      <w:r w:rsidR="00536D41" w:rsidRPr="009F75AE">
        <w:t>í</w:t>
      </w:r>
      <w:r w:rsidRPr="009F75AE">
        <w:t xml:space="preserve"> provozních procesů řízení incidentů a požadavků</w:t>
      </w:r>
    </w:p>
    <w:p w14:paraId="74E23B8F" w14:textId="7C8EB485" w:rsidR="00811AB7" w:rsidRPr="009F75AE" w:rsidRDefault="00811AB7" w:rsidP="00D04065">
      <w:pPr>
        <w:pStyle w:val="Odstavecseseznamem"/>
        <w:numPr>
          <w:ilvl w:val="0"/>
          <w:numId w:val="39"/>
        </w:numPr>
      </w:pPr>
      <w:r w:rsidRPr="009F75AE">
        <w:t>prováděné pravidelné a proaktivní činnosti</w:t>
      </w:r>
    </w:p>
    <w:p w14:paraId="1043E0DA" w14:textId="77777777" w:rsidR="00811AB7" w:rsidRPr="009F75AE" w:rsidRDefault="00811AB7" w:rsidP="00D04065">
      <w:pPr>
        <w:pStyle w:val="Odstavecseseznamem"/>
        <w:numPr>
          <w:ilvl w:val="0"/>
          <w:numId w:val="39"/>
        </w:numPr>
      </w:pPr>
      <w:r w:rsidRPr="009F75AE">
        <w:t>plnění provozního procesu řízení změn a konfigurací</w:t>
      </w:r>
    </w:p>
    <w:p w14:paraId="69C2FC97" w14:textId="62612255" w:rsidR="00811AB7" w:rsidRPr="009F75AE" w:rsidRDefault="00811AB7" w:rsidP="00D04065">
      <w:pPr>
        <w:pStyle w:val="Odstavecseseznamem"/>
        <w:numPr>
          <w:ilvl w:val="0"/>
          <w:numId w:val="39"/>
        </w:numPr>
      </w:pPr>
      <w:r w:rsidRPr="009F75AE">
        <w:t>plánování a řízení změn většího rozsahu, včetně testování a nasazení do produktivního provozu</w:t>
      </w:r>
    </w:p>
    <w:p w14:paraId="226D0C82" w14:textId="506394C4" w:rsidR="00811AB7" w:rsidRPr="009F75AE" w:rsidRDefault="00811AB7" w:rsidP="00D04065">
      <w:pPr>
        <w:pStyle w:val="Odstavecseseznamem"/>
        <w:numPr>
          <w:ilvl w:val="0"/>
          <w:numId w:val="39"/>
        </w:numPr>
      </w:pPr>
      <w:r w:rsidRPr="009F75AE">
        <w:t>stav problémů</w:t>
      </w:r>
    </w:p>
    <w:p w14:paraId="174EF0D5" w14:textId="147DE1E3" w:rsidR="00811AB7" w:rsidRPr="009F75AE" w:rsidRDefault="00811AB7" w:rsidP="00D04065">
      <w:pPr>
        <w:pStyle w:val="Odstavecseseznamem"/>
        <w:numPr>
          <w:ilvl w:val="0"/>
          <w:numId w:val="39"/>
        </w:numPr>
      </w:pPr>
      <w:r w:rsidRPr="009F75AE">
        <w:t>stav rizik</w:t>
      </w:r>
    </w:p>
    <w:p w14:paraId="0AEFD7A2" w14:textId="5DA922DB" w:rsidR="00AA1532" w:rsidRPr="009F75AE" w:rsidRDefault="00AA1532" w:rsidP="00004F1F">
      <w:pPr>
        <w:rPr>
          <w:rFonts w:asciiTheme="majorHAnsi" w:eastAsiaTheme="majorEastAsia" w:hAnsiTheme="majorHAnsi" w:cstheme="majorBidi"/>
          <w:b/>
          <w:bCs/>
          <w:i/>
          <w:sz w:val="56"/>
          <w:szCs w:val="28"/>
        </w:rPr>
      </w:pPr>
      <w:bookmarkStart w:id="38" w:name="_Toc440994583"/>
      <w:bookmarkStart w:id="39" w:name="_Toc440994608"/>
      <w:bookmarkStart w:id="40" w:name="_Toc440996517"/>
      <w:bookmarkStart w:id="41" w:name="_Toc440994584"/>
      <w:bookmarkStart w:id="42" w:name="_Toc440994609"/>
      <w:bookmarkStart w:id="43" w:name="_Toc440996518"/>
      <w:bookmarkStart w:id="44" w:name="_Toc440994585"/>
      <w:bookmarkStart w:id="45" w:name="_Toc440994610"/>
      <w:bookmarkStart w:id="46" w:name="_Toc440996519"/>
      <w:bookmarkStart w:id="47" w:name="_Toc440994586"/>
      <w:bookmarkStart w:id="48" w:name="_Toc440994611"/>
      <w:bookmarkStart w:id="49" w:name="_Toc440996520"/>
      <w:bookmarkStart w:id="50" w:name="_Toc440994587"/>
      <w:bookmarkStart w:id="51" w:name="_Toc440994612"/>
      <w:bookmarkStart w:id="52" w:name="_Toc440996521"/>
      <w:bookmarkStart w:id="53" w:name="_Toc440994588"/>
      <w:bookmarkStart w:id="54" w:name="_Toc440994613"/>
      <w:bookmarkStart w:id="55" w:name="_Toc440996522"/>
      <w:bookmarkStart w:id="56" w:name="_Toc440994589"/>
      <w:bookmarkStart w:id="57" w:name="_Toc440994614"/>
      <w:bookmarkStart w:id="58" w:name="_Toc440996523"/>
      <w:bookmarkStart w:id="59" w:name="_Toc440994590"/>
      <w:bookmarkStart w:id="60" w:name="_Toc440994615"/>
      <w:bookmarkStart w:id="61" w:name="_Toc440996524"/>
      <w:bookmarkStart w:id="62" w:name="_Toc440994591"/>
      <w:bookmarkStart w:id="63" w:name="_Toc440994616"/>
      <w:bookmarkStart w:id="64" w:name="_Toc440996525"/>
      <w:bookmarkStart w:id="65" w:name="_Toc440994592"/>
      <w:bookmarkStart w:id="66" w:name="_Toc440994617"/>
      <w:bookmarkStart w:id="67" w:name="_Toc440996526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9F75AE">
        <w:br w:type="page"/>
      </w:r>
    </w:p>
    <w:p w14:paraId="6DD64138" w14:textId="591EBAC4" w:rsidR="00084DCF" w:rsidRPr="009F75AE" w:rsidRDefault="003F11F7" w:rsidP="00D67FC7">
      <w:pPr>
        <w:pStyle w:val="Heading1NoSpacing"/>
      </w:pPr>
      <w:bookmarkStart w:id="68" w:name="_Toc510348679"/>
      <w:r w:rsidRPr="009F75AE">
        <w:lastRenderedPageBreak/>
        <w:t>Služ</w:t>
      </w:r>
      <w:r w:rsidR="00084DCF" w:rsidRPr="009F75AE">
        <w:t>b</w:t>
      </w:r>
      <w:r w:rsidRPr="009F75AE">
        <w:t>y</w:t>
      </w:r>
      <w:r w:rsidR="00084DCF" w:rsidRPr="009F75AE">
        <w:t xml:space="preserve"> rozvoje</w:t>
      </w:r>
      <w:bookmarkEnd w:id="68"/>
    </w:p>
    <w:p w14:paraId="5CB299E2" w14:textId="0E24CFD9" w:rsidR="00C907D8" w:rsidRPr="009F75AE" w:rsidRDefault="0090057D" w:rsidP="00D67FC7">
      <w:pPr>
        <w:pStyle w:val="BodySingle"/>
      </w:pPr>
      <w:r w:rsidRPr="009F75AE">
        <w:t>Tato kapitola obsahuje základní p</w:t>
      </w:r>
      <w:r w:rsidR="00C907D8" w:rsidRPr="009F75AE">
        <w:t>ravidla objednávání, řízení a vypořádání Služeb rozvoje</w:t>
      </w:r>
      <w:r w:rsidRPr="009F75AE">
        <w:t>. Detailní metodika řízení Služeb rozvoje bude</w:t>
      </w:r>
      <w:r w:rsidR="00C907D8" w:rsidRPr="009F75AE">
        <w:t xml:space="preserve"> dále upřesněna v Řídící dokumentaci</w:t>
      </w:r>
      <w:r w:rsidR="00356A86" w:rsidRPr="009F75AE">
        <w:t xml:space="preserve"> provozu</w:t>
      </w:r>
      <w:r w:rsidR="00C907D8" w:rsidRPr="009F75AE">
        <w:t xml:space="preserve">. </w:t>
      </w:r>
    </w:p>
    <w:p w14:paraId="276288E4" w14:textId="242FCCC2" w:rsidR="00084DCF" w:rsidRPr="009F75AE" w:rsidRDefault="00084DCF" w:rsidP="00D67FC7">
      <w:pPr>
        <w:pStyle w:val="Nadpis2"/>
      </w:pPr>
      <w:bookmarkStart w:id="69" w:name="_Toc510348680"/>
      <w:r w:rsidRPr="009F75AE">
        <w:t xml:space="preserve">Objednávání </w:t>
      </w:r>
      <w:r w:rsidR="008C0C0F" w:rsidRPr="009F75AE">
        <w:t xml:space="preserve">Služeb </w:t>
      </w:r>
      <w:r w:rsidRPr="009F75AE">
        <w:t>rozvoje</w:t>
      </w:r>
      <w:bookmarkEnd w:id="69"/>
    </w:p>
    <w:p w14:paraId="0A2A4B54" w14:textId="77777777" w:rsidR="00084DCF" w:rsidRPr="009F75AE" w:rsidRDefault="00084DCF" w:rsidP="00084D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3988759" w14:textId="4E0B4835" w:rsidR="00084DCF" w:rsidRPr="009F75AE" w:rsidRDefault="00084DCF" w:rsidP="003F11F7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Služby rozvoje jsou objednávány oprávněnou osobou Objednatele, která zašle oprávněné osobě Dodavatele poptávku emailem nebo jiným písemným způsobem. Poptávka minimálně obsahuje:</w:t>
      </w:r>
    </w:p>
    <w:p w14:paraId="5D8D0CCA" w14:textId="58CEFDF9" w:rsidR="00084DCF" w:rsidRPr="009F75AE" w:rsidRDefault="00084DCF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Specifikaci požadované </w:t>
      </w:r>
      <w:r w:rsidR="008C0C0F" w:rsidRPr="009F75AE">
        <w:rPr>
          <w:rFonts w:cs="Times New Roman"/>
        </w:rPr>
        <w:t xml:space="preserve">Služby </w:t>
      </w:r>
      <w:r w:rsidRPr="009F75AE">
        <w:rPr>
          <w:rFonts w:cs="Times New Roman"/>
        </w:rPr>
        <w:t>rozvoje;</w:t>
      </w:r>
    </w:p>
    <w:p w14:paraId="073088B6" w14:textId="17F22EF3" w:rsidR="00084DCF" w:rsidRPr="009F75AE" w:rsidRDefault="00084DCF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Požadovaný termín realizace </w:t>
      </w:r>
      <w:r w:rsidR="008C0C0F" w:rsidRPr="009F75AE">
        <w:rPr>
          <w:rFonts w:cs="Times New Roman"/>
        </w:rPr>
        <w:t>Služby rozvoje</w:t>
      </w:r>
      <w:r w:rsidRPr="009F75AE">
        <w:rPr>
          <w:rFonts w:cs="Times New Roman"/>
        </w:rPr>
        <w:t>;</w:t>
      </w:r>
    </w:p>
    <w:p w14:paraId="6BF97419" w14:textId="3DADC40C" w:rsidR="00084DCF" w:rsidRPr="009F75AE" w:rsidRDefault="00084DCF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Požadovaný termín předložení nabídky, který nesmí být kratší než 1 týden od doručení poptávky, nedohodnou-li se smluvní strany jinak.</w:t>
      </w:r>
    </w:p>
    <w:p w14:paraId="4CB985B2" w14:textId="77777777" w:rsidR="0024373D" w:rsidRPr="009F75AE" w:rsidRDefault="0024373D" w:rsidP="00D67FC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5BE7D5F2" w14:textId="40FFCC8F" w:rsidR="00084DCF" w:rsidRPr="009F75AE" w:rsidRDefault="00084DCF" w:rsidP="003F11F7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Dodavatel v požadovaném termínu předloží emailem nebo jiným písemným způsobem nabídku </w:t>
      </w:r>
      <w:r w:rsidR="008C0C0F" w:rsidRPr="009F75AE">
        <w:rPr>
          <w:rFonts w:cs="Times New Roman"/>
        </w:rPr>
        <w:t xml:space="preserve">Služby </w:t>
      </w:r>
      <w:r w:rsidRPr="009F75AE">
        <w:rPr>
          <w:rFonts w:cs="Times New Roman"/>
        </w:rPr>
        <w:t>rozvoje, která bude obsahovat:</w:t>
      </w:r>
    </w:p>
    <w:p w14:paraId="68079049" w14:textId="38B2194E" w:rsidR="00084DCF" w:rsidRPr="009F75AE" w:rsidRDefault="00084DCF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Způsob řešení poptávky;</w:t>
      </w:r>
    </w:p>
    <w:p w14:paraId="05372587" w14:textId="30577134" w:rsidR="00084DCF" w:rsidRPr="009F75AE" w:rsidRDefault="00084DCF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Termín realizace </w:t>
      </w:r>
      <w:r w:rsidR="008C0C0F" w:rsidRPr="009F75AE">
        <w:rPr>
          <w:rFonts w:cs="Times New Roman"/>
        </w:rPr>
        <w:t>Služby rozvoje</w:t>
      </w:r>
      <w:r w:rsidRPr="009F75AE">
        <w:rPr>
          <w:rFonts w:cs="Times New Roman"/>
        </w:rPr>
        <w:t>;</w:t>
      </w:r>
    </w:p>
    <w:p w14:paraId="2FA759D3" w14:textId="094DDA1E" w:rsidR="00084DCF" w:rsidRPr="009F75AE" w:rsidRDefault="00084DCF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Předpokládanou kapacitní náročnost vyjádřenou v člověkodnech nebo jeho částech</w:t>
      </w:r>
      <w:r w:rsidR="008E301C">
        <w:rPr>
          <w:rFonts w:cs="Times New Roman"/>
        </w:rPr>
        <w:t xml:space="preserve"> a pří</w:t>
      </w:r>
      <w:r w:rsidR="00271A17">
        <w:rPr>
          <w:rFonts w:cs="Times New Roman"/>
        </w:rPr>
        <w:t xml:space="preserve">padně </w:t>
      </w:r>
      <w:r w:rsidR="00D11A1D">
        <w:rPr>
          <w:rFonts w:cs="Times New Roman"/>
        </w:rPr>
        <w:t xml:space="preserve">potřebné </w:t>
      </w:r>
      <w:r w:rsidR="00271A17">
        <w:rPr>
          <w:rFonts w:cs="Times New Roman"/>
        </w:rPr>
        <w:t>Doplňující licence, maintenance a subskripce</w:t>
      </w:r>
      <w:r w:rsidRPr="009F75AE">
        <w:rPr>
          <w:rFonts w:cs="Times New Roman"/>
        </w:rPr>
        <w:t xml:space="preserve">; </w:t>
      </w:r>
    </w:p>
    <w:p w14:paraId="422DCCD1" w14:textId="718F1ECD" w:rsidR="00084DCF" w:rsidRPr="009F75AE" w:rsidRDefault="00084DCF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Maximální cenu služby vypočítanou jako součin kapacitní náročnosti a jednotkové ceny</w:t>
      </w:r>
      <w:r w:rsidR="00271A17">
        <w:rPr>
          <w:rFonts w:cs="Times New Roman"/>
        </w:rPr>
        <w:t xml:space="preserve"> člověkodne pro Služby rozvoje, případně </w:t>
      </w:r>
      <w:r w:rsidR="00D11A1D">
        <w:rPr>
          <w:rFonts w:cs="Times New Roman"/>
        </w:rPr>
        <w:t xml:space="preserve">stanovení </w:t>
      </w:r>
      <w:r w:rsidR="00271A17">
        <w:rPr>
          <w:rFonts w:cs="Times New Roman"/>
        </w:rPr>
        <w:t>cen</w:t>
      </w:r>
      <w:r w:rsidR="00D11A1D">
        <w:rPr>
          <w:rFonts w:cs="Times New Roman"/>
        </w:rPr>
        <w:t>y potřebných</w:t>
      </w:r>
      <w:r w:rsidR="00271A17">
        <w:rPr>
          <w:rFonts w:cs="Times New Roman"/>
        </w:rPr>
        <w:t xml:space="preserve"> Doplňujících licencí, </w:t>
      </w:r>
      <w:proofErr w:type="spellStart"/>
      <w:r w:rsidR="00271A17">
        <w:rPr>
          <w:rFonts w:cs="Times New Roman"/>
        </w:rPr>
        <w:t>maintenancí</w:t>
      </w:r>
      <w:proofErr w:type="spellEnd"/>
      <w:r w:rsidR="00271A17">
        <w:rPr>
          <w:rFonts w:cs="Times New Roman"/>
        </w:rPr>
        <w:t xml:space="preserve"> a subskripcí</w:t>
      </w:r>
      <w:r w:rsidRPr="009F75AE">
        <w:rPr>
          <w:rFonts w:cs="Times New Roman"/>
        </w:rPr>
        <w:t>;</w:t>
      </w:r>
    </w:p>
    <w:p w14:paraId="72174D9B" w14:textId="13E59E4B" w:rsidR="00084DCF" w:rsidRDefault="00084DCF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Požadovanou součinnost Objednatele;</w:t>
      </w:r>
    </w:p>
    <w:p w14:paraId="24F57013" w14:textId="6FB09AB0" w:rsidR="00CE4957" w:rsidRPr="009F75AE" w:rsidRDefault="00CE4957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Požadované změny v Infrastrukturních požadavcích Dodavatele;</w:t>
      </w:r>
    </w:p>
    <w:p w14:paraId="030931CB" w14:textId="259E96E8" w:rsidR="00084DCF" w:rsidRPr="009F75AE" w:rsidRDefault="00084DCF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Rizika realizace </w:t>
      </w:r>
      <w:r w:rsidR="008C0C0F" w:rsidRPr="009F75AE">
        <w:rPr>
          <w:rFonts w:cs="Times New Roman"/>
        </w:rPr>
        <w:t xml:space="preserve">Služby </w:t>
      </w:r>
      <w:r w:rsidRPr="009F75AE">
        <w:rPr>
          <w:rFonts w:cs="Times New Roman"/>
        </w:rPr>
        <w:t xml:space="preserve">rozvoje a způsob jejich </w:t>
      </w:r>
      <w:proofErr w:type="spellStart"/>
      <w:r w:rsidRPr="009F75AE">
        <w:rPr>
          <w:rFonts w:cs="Times New Roman"/>
        </w:rPr>
        <w:t>mitigace</w:t>
      </w:r>
      <w:proofErr w:type="spellEnd"/>
      <w:r w:rsidRPr="009F75AE">
        <w:rPr>
          <w:rFonts w:cs="Times New Roman"/>
        </w:rPr>
        <w:t>.</w:t>
      </w:r>
    </w:p>
    <w:p w14:paraId="45A6B7E2" w14:textId="77777777" w:rsidR="0024373D" w:rsidRPr="009F75AE" w:rsidRDefault="0024373D" w:rsidP="00D67FC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2C7DD3D" w14:textId="501012E7" w:rsidR="00084DCF" w:rsidRPr="009F75AE" w:rsidRDefault="00084DCF" w:rsidP="003F11F7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Objednatel je oprávněn požadovat po Dodavateli upřesnění nebo doplnění nabídky </w:t>
      </w:r>
      <w:r w:rsidR="008C0C0F" w:rsidRPr="009F75AE">
        <w:rPr>
          <w:rFonts w:cs="Times New Roman"/>
        </w:rPr>
        <w:t xml:space="preserve">Služby </w:t>
      </w:r>
      <w:r w:rsidRPr="009F75AE">
        <w:rPr>
          <w:rFonts w:cs="Times New Roman"/>
        </w:rPr>
        <w:t>rozvoje, a to i opakovaně.</w:t>
      </w:r>
    </w:p>
    <w:p w14:paraId="5FBFB227" w14:textId="77777777" w:rsidR="0024373D" w:rsidRPr="009F75AE" w:rsidRDefault="0024373D" w:rsidP="00D67FC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87F3240" w14:textId="3C6AFBBF" w:rsidR="00084DCF" w:rsidRPr="009F75AE" w:rsidRDefault="00084DCF" w:rsidP="003F11F7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Souhlasí-li Objednatel s nabídkou Dodavatele, předá Dodavateli způsobem stanoveným v Řídicí dokumentaci </w:t>
      </w:r>
      <w:r w:rsidR="006215EF" w:rsidRPr="009F75AE">
        <w:rPr>
          <w:rFonts w:cs="Times New Roman"/>
        </w:rPr>
        <w:t xml:space="preserve">provozu </w:t>
      </w:r>
      <w:r w:rsidR="00895BD6" w:rsidRPr="009F75AE">
        <w:rPr>
          <w:rFonts w:cs="Times New Roman"/>
        </w:rPr>
        <w:t>p</w:t>
      </w:r>
      <w:r w:rsidRPr="009F75AE">
        <w:rPr>
          <w:rFonts w:cs="Times New Roman"/>
        </w:rPr>
        <w:t>optávkový formulář</w:t>
      </w:r>
      <w:r w:rsidR="00895BD6" w:rsidRPr="009F75AE">
        <w:rPr>
          <w:rFonts w:cs="Times New Roman"/>
        </w:rPr>
        <w:t xml:space="preserve"> (dále jen „</w:t>
      </w:r>
      <w:r w:rsidR="00895BD6" w:rsidRPr="009F75AE">
        <w:rPr>
          <w:rFonts w:cs="Times New Roman"/>
          <w:b/>
          <w:i/>
        </w:rPr>
        <w:t>Poptávkový formulář</w:t>
      </w:r>
      <w:r w:rsidR="00895BD6" w:rsidRPr="009F75AE">
        <w:rPr>
          <w:rFonts w:cs="Times New Roman"/>
        </w:rPr>
        <w:t>“)</w:t>
      </w:r>
      <w:r w:rsidRPr="009F75AE">
        <w:rPr>
          <w:rFonts w:cs="Times New Roman"/>
        </w:rPr>
        <w:t>, který bude obsahovat:</w:t>
      </w:r>
    </w:p>
    <w:p w14:paraId="62B7777F" w14:textId="13B212D8" w:rsidR="00084DCF" w:rsidRPr="009F75AE" w:rsidRDefault="00084DCF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Specifikaci požadované </w:t>
      </w:r>
      <w:r w:rsidR="008C0C0F" w:rsidRPr="009F75AE">
        <w:rPr>
          <w:rFonts w:cs="Times New Roman"/>
        </w:rPr>
        <w:t xml:space="preserve">Služby </w:t>
      </w:r>
      <w:r w:rsidRPr="009F75AE">
        <w:rPr>
          <w:rFonts w:cs="Times New Roman"/>
        </w:rPr>
        <w:t xml:space="preserve">rozvoje; </w:t>
      </w:r>
    </w:p>
    <w:p w14:paraId="33703075" w14:textId="3189A3AA" w:rsidR="00084DCF" w:rsidRPr="009F75AE" w:rsidRDefault="00084DCF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Požadovaný termín realizace </w:t>
      </w:r>
      <w:r w:rsidR="008C0C0F" w:rsidRPr="009F75AE">
        <w:rPr>
          <w:rFonts w:cs="Times New Roman"/>
        </w:rPr>
        <w:t>S</w:t>
      </w:r>
      <w:r w:rsidRPr="009F75AE">
        <w:rPr>
          <w:rFonts w:cs="Times New Roman"/>
        </w:rPr>
        <w:t>lužby</w:t>
      </w:r>
      <w:r w:rsidR="008C0C0F" w:rsidRPr="009F75AE">
        <w:rPr>
          <w:rFonts w:cs="Times New Roman"/>
        </w:rPr>
        <w:t xml:space="preserve"> rozvoje</w:t>
      </w:r>
      <w:r w:rsidRPr="009F75AE">
        <w:rPr>
          <w:rFonts w:cs="Times New Roman"/>
        </w:rPr>
        <w:t>;</w:t>
      </w:r>
    </w:p>
    <w:p w14:paraId="71FFD2DD" w14:textId="7AF3EB89" w:rsidR="00084DCF" w:rsidRPr="009F75AE" w:rsidRDefault="00084DCF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Kapacitní náročnost;</w:t>
      </w:r>
    </w:p>
    <w:p w14:paraId="7E496ABB" w14:textId="15F4983C" w:rsidR="00084DCF" w:rsidRPr="009F75AE" w:rsidRDefault="00084DCF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Maximální cenu;</w:t>
      </w:r>
    </w:p>
    <w:p w14:paraId="61909147" w14:textId="284298AC" w:rsidR="00084DCF" w:rsidRDefault="00084DCF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Specifikaci součinnosti Objednatele; </w:t>
      </w:r>
    </w:p>
    <w:p w14:paraId="652B5788" w14:textId="3DC7BCDC" w:rsidR="00CE4957" w:rsidRPr="009F75AE" w:rsidRDefault="00CE4957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Aktualizaci Infrastrukturních požadavků Dodavatele;</w:t>
      </w:r>
    </w:p>
    <w:p w14:paraId="022228B0" w14:textId="5949A52F" w:rsidR="00084DCF" w:rsidRPr="009F75AE" w:rsidRDefault="00084DCF" w:rsidP="003F11F7">
      <w:pPr>
        <w:pStyle w:val="Odstavecseseznamem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>Specifikaci případných ostatních povinností Dodavatele.</w:t>
      </w:r>
    </w:p>
    <w:p w14:paraId="51F7F10A" w14:textId="77777777" w:rsidR="0024373D" w:rsidRPr="009F75AE" w:rsidRDefault="0024373D" w:rsidP="00D67FC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37F9DE2" w14:textId="6F48B184" w:rsidR="00084DCF" w:rsidRPr="009F75AE" w:rsidRDefault="00084DCF" w:rsidP="003F11F7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Dodavatel potvrdí přijetí Poptávkového formuláře do 2 pracovních dní způsobem stanoveným v Řídicí dokumentaci </w:t>
      </w:r>
      <w:r w:rsidR="006215EF" w:rsidRPr="009F75AE">
        <w:rPr>
          <w:rFonts w:cs="Times New Roman"/>
        </w:rPr>
        <w:t>provozu</w:t>
      </w:r>
      <w:r w:rsidRPr="009F75AE">
        <w:rPr>
          <w:rFonts w:cs="Times New Roman"/>
        </w:rPr>
        <w:t>.</w:t>
      </w:r>
    </w:p>
    <w:p w14:paraId="071177AB" w14:textId="27AF2221" w:rsidR="00CD2A73" w:rsidRPr="009F75AE" w:rsidRDefault="00CD2A73" w:rsidP="00D67FC7">
      <w:pPr>
        <w:pStyle w:val="Nadpis2"/>
        <w:rPr>
          <w:rFonts w:cs="Times New Roman"/>
        </w:rPr>
      </w:pPr>
      <w:bookmarkStart w:id="70" w:name="_Toc440996529"/>
      <w:bookmarkStart w:id="71" w:name="_Toc510348681"/>
      <w:bookmarkEnd w:id="70"/>
      <w:r w:rsidRPr="009F75AE">
        <w:rPr>
          <w:rFonts w:cs="Times New Roman"/>
        </w:rPr>
        <w:t>Implementace Služeb rozvoje</w:t>
      </w:r>
      <w:bookmarkEnd w:id="71"/>
    </w:p>
    <w:p w14:paraId="04BD0BE8" w14:textId="4A64730C" w:rsidR="00CD2A73" w:rsidRPr="009F75AE" w:rsidRDefault="00CD2A73" w:rsidP="00D04065">
      <w:pPr>
        <w:pStyle w:val="Zkladntext"/>
      </w:pPr>
      <w:r w:rsidRPr="009F75AE">
        <w:t>Při implementaci Služeb rozvoje jsou dodržovány principy a požadavky realizace Díla, zjednodušené v míře odpovídající řídícím strukturám provozu a rozsahu změn v rámci konkrétní služby rozvoje. Jedná se zejména o rozdělení odpovědností při implementaci a dále o oblasti vývoje, testování a dokumentace</w:t>
      </w:r>
      <w:r w:rsidR="006215EF" w:rsidRPr="009F75AE">
        <w:t xml:space="preserve"> systému</w:t>
      </w:r>
      <w:r w:rsidRPr="009F75AE">
        <w:t xml:space="preserve">. </w:t>
      </w:r>
    </w:p>
    <w:p w14:paraId="402FBF8F" w14:textId="125E7A62" w:rsidR="00CD2A73" w:rsidRPr="009F75AE" w:rsidRDefault="00CD2A73" w:rsidP="00D04065">
      <w:pPr>
        <w:pStyle w:val="Zkladntext"/>
      </w:pPr>
      <w:r w:rsidRPr="009F75AE">
        <w:t>Při implementaci Služeb rozvoje jsou dodržovány provozní procesy platné pro Servisní služby, zejména řízení změn a konfigurací a řízení součinností.</w:t>
      </w:r>
    </w:p>
    <w:p w14:paraId="6BD2E684" w14:textId="77777777" w:rsidR="008A6CA4" w:rsidRPr="009F75AE" w:rsidRDefault="008A6CA4" w:rsidP="008A6CA4"/>
    <w:p w14:paraId="77EC927E" w14:textId="32406797" w:rsidR="00084DCF" w:rsidRPr="009F75AE" w:rsidRDefault="00084DCF" w:rsidP="00D67FC7">
      <w:pPr>
        <w:pStyle w:val="Nadpis2"/>
        <w:rPr>
          <w:rFonts w:cs="Times New Roman"/>
        </w:rPr>
      </w:pPr>
      <w:bookmarkStart w:id="72" w:name="_Toc510348682"/>
      <w:r w:rsidRPr="009F75AE">
        <w:lastRenderedPageBreak/>
        <w:t xml:space="preserve">Vypořádání </w:t>
      </w:r>
      <w:r w:rsidR="00DD0D08" w:rsidRPr="009F75AE">
        <w:t xml:space="preserve">Služeb </w:t>
      </w:r>
      <w:r w:rsidRPr="009F75AE">
        <w:t>rozvoje</w:t>
      </w:r>
      <w:bookmarkEnd w:id="72"/>
    </w:p>
    <w:p w14:paraId="084EEA45" w14:textId="08420948" w:rsidR="003C7965" w:rsidRPr="009F75AE" w:rsidRDefault="00084DCF" w:rsidP="001877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5AE">
        <w:rPr>
          <w:rFonts w:cs="Times New Roman"/>
        </w:rPr>
        <w:t xml:space="preserve">Po splnění </w:t>
      </w:r>
      <w:r w:rsidR="00DD0D08" w:rsidRPr="009F75AE">
        <w:rPr>
          <w:rFonts w:cs="Times New Roman"/>
        </w:rPr>
        <w:t xml:space="preserve">Služeb </w:t>
      </w:r>
      <w:r w:rsidRPr="009F75AE">
        <w:rPr>
          <w:rFonts w:cs="Times New Roman"/>
        </w:rPr>
        <w:t xml:space="preserve">rozvoje je Dodavatel povinen k </w:t>
      </w:r>
      <w:r w:rsidR="00DD0D08" w:rsidRPr="009F75AE">
        <w:rPr>
          <w:rFonts w:cs="Times New Roman"/>
        </w:rPr>
        <w:t>A</w:t>
      </w:r>
      <w:r w:rsidRPr="009F75AE">
        <w:rPr>
          <w:rFonts w:cs="Times New Roman"/>
        </w:rPr>
        <w:t xml:space="preserve">kceptačnímu protokolu připojit výkaz skutečně odpracovaných člověkodní nebo jejich částí a adekvátně stanovit finální cenu </w:t>
      </w:r>
      <w:r w:rsidR="00D11A1D">
        <w:rPr>
          <w:rFonts w:cs="Times New Roman"/>
        </w:rPr>
        <w:t xml:space="preserve">práce </w:t>
      </w:r>
      <w:r w:rsidRPr="009F75AE">
        <w:rPr>
          <w:rFonts w:cs="Times New Roman"/>
        </w:rPr>
        <w:t xml:space="preserve">za </w:t>
      </w:r>
      <w:r w:rsidR="00DD0D08" w:rsidRPr="009F75AE">
        <w:rPr>
          <w:rFonts w:cs="Times New Roman"/>
        </w:rPr>
        <w:t>S</w:t>
      </w:r>
      <w:r w:rsidRPr="009F75AE">
        <w:rPr>
          <w:rFonts w:cs="Times New Roman"/>
        </w:rPr>
        <w:t xml:space="preserve">lužbu rozvoje, která nesmí překročit maximální cenu </w:t>
      </w:r>
      <w:r w:rsidR="00D11A1D">
        <w:rPr>
          <w:rFonts w:cs="Times New Roman"/>
        </w:rPr>
        <w:t xml:space="preserve">práce </w:t>
      </w:r>
      <w:r w:rsidRPr="009F75AE">
        <w:rPr>
          <w:rFonts w:cs="Times New Roman"/>
        </w:rPr>
        <w:t>v Poptávkovém formuláři.</w:t>
      </w:r>
    </w:p>
    <w:p w14:paraId="2D282BDA" w14:textId="08FD545E" w:rsidR="00195FAF" w:rsidRPr="009F75AE" w:rsidRDefault="00195FAF" w:rsidP="001877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sectPr w:rsidR="00195FAF" w:rsidRPr="009F75AE" w:rsidSect="008A6CA4">
      <w:headerReference w:type="default" r:id="rId16"/>
      <w:footerReference w:type="default" r:id="rId17"/>
      <w:type w:val="continuous"/>
      <w:pgSz w:w="11906" w:h="16838"/>
      <w:pgMar w:top="1474" w:right="1021" w:bottom="1474" w:left="102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DD387A" w15:done="0"/>
  <w15:commentEx w15:paraId="5A05A0A8" w15:paraIdParent="52DD387A" w15:done="0"/>
  <w15:commentEx w15:paraId="4088C228" w15:paraIdParent="52DD387A" w15:done="0"/>
  <w15:commentEx w15:paraId="29BEA28F" w15:done="0"/>
  <w15:commentEx w15:paraId="54285DA1" w15:paraIdParent="29BEA2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DD387A" w16cid:durableId="1E71A70B"/>
  <w16cid:commentId w16cid:paraId="5A05A0A8" w16cid:durableId="1E75FB5D"/>
  <w16cid:commentId w16cid:paraId="4088C228" w16cid:durableId="1E71A7A2"/>
  <w16cid:commentId w16cid:paraId="29BEA28F" w16cid:durableId="1E71A70D"/>
  <w16cid:commentId w16cid:paraId="54285DA1" w16cid:durableId="1E71A9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CD974" w14:textId="77777777" w:rsidR="006C6DF7" w:rsidRDefault="006C6DF7">
      <w:pPr>
        <w:spacing w:after="0" w:line="240" w:lineRule="auto"/>
      </w:pPr>
      <w:r>
        <w:separator/>
      </w:r>
    </w:p>
  </w:endnote>
  <w:endnote w:type="continuationSeparator" w:id="0">
    <w:p w14:paraId="3D380E1E" w14:textId="77777777" w:rsidR="006C6DF7" w:rsidRDefault="006C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BTCENormal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59B8D" w14:textId="77777777" w:rsidR="006A507C" w:rsidRDefault="006A507C">
    <w:pPr>
      <w:pStyle w:val="Zpat"/>
    </w:pPr>
    <w:proofErr w:type="spellStart"/>
    <w:r>
      <w:t>Footer</w:t>
    </w:r>
    <w:proofErr w:type="spellEnd"/>
    <w:r>
      <w:t xml:space="preserve"> text </w:t>
    </w:r>
    <w:proofErr w:type="spellStart"/>
    <w:r>
      <w:t>goes</w:t>
    </w:r>
    <w:proofErr w:type="spellEnd"/>
    <w:r>
      <w:t xml:space="preserve"> </w:t>
    </w:r>
    <w:proofErr w:type="spellStart"/>
    <w:r>
      <w:t>here</w:t>
    </w:r>
    <w:proofErr w:type="spellEnd"/>
  </w:p>
  <w:p w14:paraId="110D5BD3" w14:textId="76CA2684" w:rsidR="006A507C" w:rsidRDefault="006A507C">
    <w:pPr>
      <w:pStyle w:val="Zpat"/>
    </w:pPr>
    <w:proofErr w:type="spellStart"/>
    <w:r>
      <w:t>PwC</w:t>
    </w:r>
    <w:proofErr w:type="spellEnd"/>
    <w:r>
      <w:ptab w:relativeTo="margin" w:alignment="center" w:leader="none"/>
    </w:r>
    <w:r>
      <w:ptab w:relativeTo="margin" w:alignment="right" w:leader="none"/>
    </w:r>
    <w:proofErr w:type="spellStart"/>
    <w:r>
      <w:t>Page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fldSimple w:instr=" NUMPAGES   \* MERGEFORMAT ">
      <w:r>
        <w:rPr>
          <w:noProof/>
        </w:rPr>
        <w:t>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18B86" w14:textId="1558E6B5" w:rsidR="006A507C" w:rsidRPr="002D6D16" w:rsidRDefault="006A507C" w:rsidP="002D6D16">
    <w:pPr>
      <w:pStyle w:val="Zpat"/>
      <w:tabs>
        <w:tab w:val="center" w:pos="4932"/>
        <w:tab w:val="right" w:pos="9864"/>
      </w:tabs>
    </w:pPr>
    <w:r>
      <w:tab/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073E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49693" w14:textId="373F3771" w:rsidR="006A507C" w:rsidRDefault="006A507C">
    <w:pPr>
      <w:pStyle w:val="Zpat"/>
      <w:tabs>
        <w:tab w:val="left" w:pos="1755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88857"/>
      <w:docPartObj>
        <w:docPartGallery w:val="Page Numbers (Bottom of Page)"/>
        <w:docPartUnique/>
      </w:docPartObj>
    </w:sdtPr>
    <w:sdtEndPr/>
    <w:sdtContent>
      <w:p w14:paraId="4549F4C5" w14:textId="63BC8394" w:rsidR="006A507C" w:rsidRDefault="006A507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E5">
          <w:rPr>
            <w:noProof/>
          </w:rPr>
          <w:t>4</w:t>
        </w:r>
        <w:r>
          <w:fldChar w:fldCharType="end"/>
        </w:r>
      </w:p>
    </w:sdtContent>
  </w:sdt>
  <w:p w14:paraId="5E16CC70" w14:textId="5004B537" w:rsidR="006A507C" w:rsidRPr="00CC64F4" w:rsidRDefault="006A507C" w:rsidP="00CC64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41C78" w14:textId="77777777" w:rsidR="006C6DF7" w:rsidRDefault="006C6DF7">
      <w:pPr>
        <w:spacing w:after="0" w:line="240" w:lineRule="auto"/>
      </w:pPr>
      <w:r>
        <w:separator/>
      </w:r>
    </w:p>
  </w:footnote>
  <w:footnote w:type="continuationSeparator" w:id="0">
    <w:p w14:paraId="2A8C8695" w14:textId="77777777" w:rsidR="006C6DF7" w:rsidRDefault="006C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margin" w:tblpY="1248"/>
      <w:tblOverlap w:val="never"/>
      <w:tblW w:w="5000" w:type="pct"/>
      <w:tblBorders>
        <w:top w:val="single" w:sz="6" w:space="0" w:color="DC6900" w:themeColor="text2"/>
        <w:left w:val="single" w:sz="6" w:space="0" w:color="DC6900" w:themeColor="text2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A507C" w14:paraId="342AEC52" w14:textId="77777777">
      <w:trPr>
        <w:trHeight w:hRule="exact" w:val="227"/>
      </w:trPr>
      <w:tc>
        <w:tcPr>
          <w:tcW w:w="5000" w:type="pct"/>
        </w:tcPr>
        <w:p w14:paraId="0B50C1E4" w14:textId="77777777" w:rsidR="006A507C" w:rsidRDefault="006A507C">
          <w:pPr>
            <w:rPr>
              <w:sz w:val="14"/>
              <w:szCs w:val="14"/>
            </w:rPr>
          </w:pPr>
        </w:p>
      </w:tc>
    </w:tr>
  </w:tbl>
  <w:p w14:paraId="6DB8CADF" w14:textId="1D2B848F" w:rsidR="006A507C" w:rsidRDefault="006A507C">
    <w:pPr>
      <w:pStyle w:val="Zhlav"/>
    </w:pPr>
    <w:proofErr w:type="spellStart"/>
    <w:r>
      <w:t>Header</w:t>
    </w:r>
    <w:proofErr w:type="spellEnd"/>
    <w:r>
      <w:t xml:space="preserve"> </w:t>
    </w:r>
    <w:proofErr w:type="spellStart"/>
    <w:r>
      <w:t>goes</w:t>
    </w:r>
    <w:proofErr w:type="spellEnd"/>
    <w:r>
      <w:t xml:space="preserve"> </w:t>
    </w:r>
    <w:proofErr w:type="spellStart"/>
    <w:r>
      <w:t>here</w:t>
    </w:r>
    <w:proofErr w:type="spellEnd"/>
    <w:r>
      <w:ptab w:relativeTo="margin" w:alignment="center" w:leader="none"/>
    </w:r>
    <w:r>
      <w:ptab w:relativeTo="margin" w:alignment="right" w:leader="none"/>
    </w:r>
    <w:r>
      <w:t>Draft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2286A" w14:textId="5FA8D5F8" w:rsidR="006A507C" w:rsidRDefault="006A507C">
    <w:pPr>
      <w:pStyle w:val="Zhlav"/>
      <w:rPr>
        <w:rFonts w:ascii="Georgia" w:hAnsi="Georgia"/>
      </w:rPr>
    </w:pPr>
    <w:r>
      <w:rPr>
        <w:rFonts w:ascii="Georgia" w:hAnsi="Georgia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C5E7E" w14:textId="00DF81E8" w:rsidR="006A507C" w:rsidRDefault="006A507C" w:rsidP="008A6CA4">
    <w:pPr>
      <w:pStyle w:val="Zhlav"/>
      <w:jc w:val="right"/>
    </w:pPr>
    <w:r>
      <w:t xml:space="preserve">Příloha č. </w:t>
    </w:r>
    <w:r w:rsidR="006073E5">
      <w:t>1.5 ZD</w:t>
    </w:r>
    <w:r>
      <w:t xml:space="preserve"> – Servisní služby a Služby rozvoje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895D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08D895E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08D895F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0AF5859"/>
    <w:multiLevelType w:val="hybridMultilevel"/>
    <w:tmpl w:val="177E9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E85FED"/>
    <w:multiLevelType w:val="hybridMultilevel"/>
    <w:tmpl w:val="8DA4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18F33C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418F33D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4215E30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04215E31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04215E32"/>
    <w:multiLevelType w:val="multilevel"/>
    <w:tmpl w:val="00000008"/>
    <w:name w:val="HTML-List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04215E33"/>
    <w:multiLevelType w:val="multilevel"/>
    <w:tmpl w:val="00000009"/>
    <w:name w:val="HTML-List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4215E34"/>
    <w:multiLevelType w:val="multilevel"/>
    <w:tmpl w:val="0000000A"/>
    <w:name w:val="HTML-List1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slovanseznam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slovanseznam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slovanseznam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slovanseznam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>
    <w:nsid w:val="0D77448E"/>
    <w:multiLevelType w:val="hybridMultilevel"/>
    <w:tmpl w:val="729E7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C026C1"/>
    <w:multiLevelType w:val="hybridMultilevel"/>
    <w:tmpl w:val="FC26D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253BBC"/>
    <w:multiLevelType w:val="hybridMultilevel"/>
    <w:tmpl w:val="E0885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8435B1"/>
    <w:multiLevelType w:val="hybridMultilevel"/>
    <w:tmpl w:val="10C0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6849C4"/>
    <w:multiLevelType w:val="multilevel"/>
    <w:tmpl w:val="CD4C98AE"/>
    <w:name w:val="PwCListBullets12"/>
    <w:numStyleLink w:val="PwCListBullets1"/>
  </w:abstractNum>
  <w:abstractNum w:abstractNumId="18">
    <w:nsid w:val="16E5728B"/>
    <w:multiLevelType w:val="hybridMultilevel"/>
    <w:tmpl w:val="FC002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1604BB"/>
    <w:multiLevelType w:val="hybridMultilevel"/>
    <w:tmpl w:val="726CF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962357"/>
    <w:multiLevelType w:val="hybridMultilevel"/>
    <w:tmpl w:val="70EA4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849F5"/>
    <w:multiLevelType w:val="multilevel"/>
    <w:tmpl w:val="EE3860A0"/>
    <w:name w:val="PwCListNumbers12"/>
    <w:numStyleLink w:val="PwCListNumbers1"/>
  </w:abstractNum>
  <w:abstractNum w:abstractNumId="22">
    <w:nsid w:val="1FB87FE3"/>
    <w:multiLevelType w:val="multilevel"/>
    <w:tmpl w:val="1A0A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0EF1797"/>
    <w:multiLevelType w:val="hybridMultilevel"/>
    <w:tmpl w:val="7BF60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365779"/>
    <w:multiLevelType w:val="hybridMultilevel"/>
    <w:tmpl w:val="F4448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905486"/>
    <w:multiLevelType w:val="multilevel"/>
    <w:tmpl w:val="CD4C98AE"/>
    <w:numStyleLink w:val="PwCListBullets1"/>
  </w:abstractNum>
  <w:abstractNum w:abstractNumId="26">
    <w:nsid w:val="28C37CB9"/>
    <w:multiLevelType w:val="hybridMultilevel"/>
    <w:tmpl w:val="48A41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3513E0"/>
    <w:multiLevelType w:val="hybridMultilevel"/>
    <w:tmpl w:val="51E8B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AA0DB5"/>
    <w:multiLevelType w:val="hybridMultilevel"/>
    <w:tmpl w:val="12384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7F3666"/>
    <w:multiLevelType w:val="hybridMultilevel"/>
    <w:tmpl w:val="27623D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2F1E4738"/>
    <w:multiLevelType w:val="hybridMultilevel"/>
    <w:tmpl w:val="EDC8C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EB3B97"/>
    <w:multiLevelType w:val="hybridMultilevel"/>
    <w:tmpl w:val="79FAC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EF7F4D"/>
    <w:multiLevelType w:val="hybridMultilevel"/>
    <w:tmpl w:val="3CA26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4033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8D0FDA"/>
    <w:multiLevelType w:val="hybridMultilevel"/>
    <w:tmpl w:val="8B60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57486E"/>
    <w:multiLevelType w:val="multilevel"/>
    <w:tmpl w:val="EE3860A0"/>
    <w:numStyleLink w:val="PwCListNumbers1"/>
  </w:abstractNum>
  <w:abstractNum w:abstractNumId="35">
    <w:nsid w:val="3EE52A50"/>
    <w:multiLevelType w:val="multilevel"/>
    <w:tmpl w:val="EE12AE72"/>
    <w:styleLink w:val="PwCAppendixList1"/>
    <w:lvl w:ilvl="0">
      <w:start w:val="1"/>
      <w:numFmt w:val="upperLetter"/>
      <w:pStyle w:val="Appendix"/>
      <w:lvlText w:val="Appendix %1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3D2002C"/>
    <w:multiLevelType w:val="multilevel"/>
    <w:tmpl w:val="A42A5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9C12967"/>
    <w:multiLevelType w:val="hybridMultilevel"/>
    <w:tmpl w:val="281AB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817226"/>
    <w:multiLevelType w:val="hybridMultilevel"/>
    <w:tmpl w:val="F09AD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9D3086"/>
    <w:multiLevelType w:val="hybridMultilevel"/>
    <w:tmpl w:val="A808B3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A7874C4"/>
    <w:multiLevelType w:val="hybridMultilevel"/>
    <w:tmpl w:val="C4A6A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587ED8"/>
    <w:multiLevelType w:val="hybridMultilevel"/>
    <w:tmpl w:val="16F63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A32762"/>
    <w:multiLevelType w:val="hybridMultilevel"/>
    <w:tmpl w:val="2C68F1B0"/>
    <w:lvl w:ilvl="0" w:tplc="E6107626">
      <w:numFmt w:val="bullet"/>
      <w:lvlText w:val="•"/>
      <w:lvlJc w:val="left"/>
      <w:pPr>
        <w:ind w:left="1080" w:hanging="720"/>
      </w:pPr>
      <w:rPr>
        <w:rFonts w:ascii="Georgia" w:eastAsiaTheme="minorHAns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401664"/>
    <w:multiLevelType w:val="multilevel"/>
    <w:tmpl w:val="EE12AE72"/>
    <w:numStyleLink w:val="PwCAppendixList1"/>
  </w:abstractNum>
  <w:abstractNum w:abstractNumId="44">
    <w:nsid w:val="6807104E"/>
    <w:multiLevelType w:val="hybridMultilevel"/>
    <w:tmpl w:val="56EE8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A605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6E4342E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>
    <w:nsid w:val="714D5638"/>
    <w:multiLevelType w:val="multilevel"/>
    <w:tmpl w:val="BAA0FA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Seznamsodrkami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Seznamsodrkami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Seznamsodrkami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9">
    <w:nsid w:val="72BF4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0">
    <w:nsid w:val="7B913D1B"/>
    <w:multiLevelType w:val="hybridMultilevel"/>
    <w:tmpl w:val="018A5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57726C"/>
    <w:multiLevelType w:val="hybridMultilevel"/>
    <w:tmpl w:val="B80644AA"/>
    <w:lvl w:ilvl="0" w:tplc="B2085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F043C1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9B22F21C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34"/>
  </w:num>
  <w:num w:numId="4">
    <w:abstractNumId w:val="25"/>
  </w:num>
  <w:num w:numId="5">
    <w:abstractNumId w:val="35"/>
  </w:num>
  <w:num w:numId="6">
    <w:abstractNumId w:val="43"/>
  </w:num>
  <w:num w:numId="7">
    <w:abstractNumId w:val="46"/>
  </w:num>
  <w:num w:numId="8">
    <w:abstractNumId w:val="49"/>
  </w:num>
  <w:num w:numId="9">
    <w:abstractNumId w:val="41"/>
  </w:num>
  <w:num w:numId="10">
    <w:abstractNumId w:val="18"/>
  </w:num>
  <w:num w:numId="11">
    <w:abstractNumId w:val="23"/>
  </w:num>
  <w:num w:numId="12">
    <w:abstractNumId w:val="19"/>
  </w:num>
  <w:num w:numId="13">
    <w:abstractNumId w:val="38"/>
  </w:num>
  <w:num w:numId="14">
    <w:abstractNumId w:val="14"/>
  </w:num>
  <w:num w:numId="15">
    <w:abstractNumId w:val="27"/>
  </w:num>
  <w:num w:numId="16">
    <w:abstractNumId w:val="28"/>
  </w:num>
  <w:num w:numId="17">
    <w:abstractNumId w:val="15"/>
  </w:num>
  <w:num w:numId="18">
    <w:abstractNumId w:val="50"/>
  </w:num>
  <w:num w:numId="19">
    <w:abstractNumId w:val="30"/>
  </w:num>
  <w:num w:numId="20">
    <w:abstractNumId w:val="20"/>
  </w:num>
  <w:num w:numId="21">
    <w:abstractNumId w:val="32"/>
  </w:num>
  <w:num w:numId="22">
    <w:abstractNumId w:val="4"/>
  </w:num>
  <w:num w:numId="23">
    <w:abstractNumId w:val="26"/>
  </w:num>
  <w:num w:numId="24">
    <w:abstractNumId w:val="44"/>
  </w:num>
  <w:num w:numId="25">
    <w:abstractNumId w:val="31"/>
  </w:num>
  <w:num w:numId="26">
    <w:abstractNumId w:val="16"/>
  </w:num>
  <w:num w:numId="27">
    <w:abstractNumId w:val="47"/>
  </w:num>
  <w:num w:numId="28">
    <w:abstractNumId w:val="36"/>
  </w:num>
  <w:num w:numId="29">
    <w:abstractNumId w:val="51"/>
  </w:num>
  <w:num w:numId="30">
    <w:abstractNumId w:val="45"/>
  </w:num>
  <w:num w:numId="31">
    <w:abstractNumId w:val="22"/>
  </w:num>
  <w:num w:numId="32">
    <w:abstractNumId w:val="37"/>
  </w:num>
  <w:num w:numId="33">
    <w:abstractNumId w:val="42"/>
  </w:num>
  <w:num w:numId="34">
    <w:abstractNumId w:val="13"/>
  </w:num>
  <w:num w:numId="35">
    <w:abstractNumId w:val="49"/>
  </w:num>
  <w:num w:numId="36">
    <w:abstractNumId w:val="29"/>
  </w:num>
  <w:num w:numId="37">
    <w:abstractNumId w:val="39"/>
  </w:num>
  <w:num w:numId="38">
    <w:abstractNumId w:val="33"/>
  </w:num>
  <w:num w:numId="39">
    <w:abstractNumId w:val="24"/>
  </w:num>
  <w:num w:numId="40">
    <w:abstractNumId w:val="40"/>
  </w:num>
  <w:num w:numId="41">
    <w:abstractNumId w:val="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.Jirousek@spcss.cz">
    <w15:presenceInfo w15:providerId="None" w15:userId="Jan.Jirousek@spcss.cz"/>
  </w15:person>
  <w15:person w15:author="Jan Jiroušek">
    <w15:presenceInfo w15:providerId="None" w15:userId="Jan Jirouš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rawingGridVerticalSpacing w:val="873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5A"/>
    <w:rsid w:val="00000EE0"/>
    <w:rsid w:val="00001097"/>
    <w:rsid w:val="00001265"/>
    <w:rsid w:val="00001DA8"/>
    <w:rsid w:val="0000249E"/>
    <w:rsid w:val="00002B81"/>
    <w:rsid w:val="00004C0F"/>
    <w:rsid w:val="00004F1F"/>
    <w:rsid w:val="00005D26"/>
    <w:rsid w:val="00007E43"/>
    <w:rsid w:val="00010289"/>
    <w:rsid w:val="00011174"/>
    <w:rsid w:val="00015828"/>
    <w:rsid w:val="0001599E"/>
    <w:rsid w:val="000166CE"/>
    <w:rsid w:val="00020A23"/>
    <w:rsid w:val="00023A4E"/>
    <w:rsid w:val="00025103"/>
    <w:rsid w:val="000312B9"/>
    <w:rsid w:val="000314DD"/>
    <w:rsid w:val="00031DB0"/>
    <w:rsid w:val="00033185"/>
    <w:rsid w:val="0003408C"/>
    <w:rsid w:val="00035A31"/>
    <w:rsid w:val="00037A58"/>
    <w:rsid w:val="0004209B"/>
    <w:rsid w:val="00042442"/>
    <w:rsid w:val="00043AD8"/>
    <w:rsid w:val="000462BC"/>
    <w:rsid w:val="0004688E"/>
    <w:rsid w:val="00046C07"/>
    <w:rsid w:val="000478FF"/>
    <w:rsid w:val="00047B2F"/>
    <w:rsid w:val="00047FC9"/>
    <w:rsid w:val="0005361C"/>
    <w:rsid w:val="00053CFF"/>
    <w:rsid w:val="00053FDB"/>
    <w:rsid w:val="0005401D"/>
    <w:rsid w:val="000571F4"/>
    <w:rsid w:val="0005785D"/>
    <w:rsid w:val="00060566"/>
    <w:rsid w:val="00060568"/>
    <w:rsid w:val="00060814"/>
    <w:rsid w:val="0006147E"/>
    <w:rsid w:val="00061A72"/>
    <w:rsid w:val="000644DA"/>
    <w:rsid w:val="0006533E"/>
    <w:rsid w:val="00066FAF"/>
    <w:rsid w:val="00070D78"/>
    <w:rsid w:val="0007140C"/>
    <w:rsid w:val="000757BA"/>
    <w:rsid w:val="000759B3"/>
    <w:rsid w:val="000766D6"/>
    <w:rsid w:val="00076ABD"/>
    <w:rsid w:val="00077860"/>
    <w:rsid w:val="00077917"/>
    <w:rsid w:val="00080F53"/>
    <w:rsid w:val="0008113C"/>
    <w:rsid w:val="000819E6"/>
    <w:rsid w:val="00084DCF"/>
    <w:rsid w:val="00086734"/>
    <w:rsid w:val="000872A7"/>
    <w:rsid w:val="00087664"/>
    <w:rsid w:val="000876DC"/>
    <w:rsid w:val="00093196"/>
    <w:rsid w:val="000A3978"/>
    <w:rsid w:val="000A3EBE"/>
    <w:rsid w:val="000A552C"/>
    <w:rsid w:val="000A57B2"/>
    <w:rsid w:val="000A5926"/>
    <w:rsid w:val="000A5E5F"/>
    <w:rsid w:val="000A6213"/>
    <w:rsid w:val="000B00DA"/>
    <w:rsid w:val="000B4F51"/>
    <w:rsid w:val="000B5FE1"/>
    <w:rsid w:val="000C0EF0"/>
    <w:rsid w:val="000C1402"/>
    <w:rsid w:val="000C3A6B"/>
    <w:rsid w:val="000C41DB"/>
    <w:rsid w:val="000C439F"/>
    <w:rsid w:val="000C5794"/>
    <w:rsid w:val="000C64E1"/>
    <w:rsid w:val="000D0949"/>
    <w:rsid w:val="000D1F6B"/>
    <w:rsid w:val="000D35BA"/>
    <w:rsid w:val="000D4C8A"/>
    <w:rsid w:val="000D5FF8"/>
    <w:rsid w:val="000D6128"/>
    <w:rsid w:val="000E18EE"/>
    <w:rsid w:val="000E1DA0"/>
    <w:rsid w:val="000E1DD6"/>
    <w:rsid w:val="000E1FEB"/>
    <w:rsid w:val="000E2274"/>
    <w:rsid w:val="000E2316"/>
    <w:rsid w:val="000E4689"/>
    <w:rsid w:val="000E4BE1"/>
    <w:rsid w:val="000E532D"/>
    <w:rsid w:val="000E62A5"/>
    <w:rsid w:val="000F0C93"/>
    <w:rsid w:val="000F2301"/>
    <w:rsid w:val="000F32B0"/>
    <w:rsid w:val="000F4EF7"/>
    <w:rsid w:val="000F5097"/>
    <w:rsid w:val="000F7C52"/>
    <w:rsid w:val="0010031E"/>
    <w:rsid w:val="00100761"/>
    <w:rsid w:val="001010A0"/>
    <w:rsid w:val="0010248B"/>
    <w:rsid w:val="00104868"/>
    <w:rsid w:val="00104E16"/>
    <w:rsid w:val="0010681C"/>
    <w:rsid w:val="0010727A"/>
    <w:rsid w:val="0011072F"/>
    <w:rsid w:val="00111733"/>
    <w:rsid w:val="00113347"/>
    <w:rsid w:val="001133EF"/>
    <w:rsid w:val="0011458B"/>
    <w:rsid w:val="0011507D"/>
    <w:rsid w:val="001157B1"/>
    <w:rsid w:val="00115B3E"/>
    <w:rsid w:val="00122434"/>
    <w:rsid w:val="00122D14"/>
    <w:rsid w:val="00122FC3"/>
    <w:rsid w:val="00130DD5"/>
    <w:rsid w:val="001325F8"/>
    <w:rsid w:val="0013501B"/>
    <w:rsid w:val="001353AE"/>
    <w:rsid w:val="0014071B"/>
    <w:rsid w:val="00140D1A"/>
    <w:rsid w:val="001419C7"/>
    <w:rsid w:val="00142EC1"/>
    <w:rsid w:val="00143294"/>
    <w:rsid w:val="00144EC3"/>
    <w:rsid w:val="0014549C"/>
    <w:rsid w:val="001459FB"/>
    <w:rsid w:val="00145AA1"/>
    <w:rsid w:val="00146BE6"/>
    <w:rsid w:val="00147730"/>
    <w:rsid w:val="0015323F"/>
    <w:rsid w:val="0015497D"/>
    <w:rsid w:val="001551A3"/>
    <w:rsid w:val="0015621D"/>
    <w:rsid w:val="00156BF1"/>
    <w:rsid w:val="00157DA5"/>
    <w:rsid w:val="00161BF6"/>
    <w:rsid w:val="001623B2"/>
    <w:rsid w:val="001627E0"/>
    <w:rsid w:val="00162AB8"/>
    <w:rsid w:val="001649B7"/>
    <w:rsid w:val="0016554D"/>
    <w:rsid w:val="00165D77"/>
    <w:rsid w:val="00167103"/>
    <w:rsid w:val="00170E3E"/>
    <w:rsid w:val="00172464"/>
    <w:rsid w:val="00172EB6"/>
    <w:rsid w:val="00180340"/>
    <w:rsid w:val="00182092"/>
    <w:rsid w:val="001824AD"/>
    <w:rsid w:val="00182D0F"/>
    <w:rsid w:val="00183828"/>
    <w:rsid w:val="00183D56"/>
    <w:rsid w:val="00184D54"/>
    <w:rsid w:val="001877EA"/>
    <w:rsid w:val="00190142"/>
    <w:rsid w:val="0019030E"/>
    <w:rsid w:val="00190378"/>
    <w:rsid w:val="00190726"/>
    <w:rsid w:val="0019275B"/>
    <w:rsid w:val="00194ADA"/>
    <w:rsid w:val="00195FAF"/>
    <w:rsid w:val="0019601F"/>
    <w:rsid w:val="0019673F"/>
    <w:rsid w:val="00197359"/>
    <w:rsid w:val="001A0991"/>
    <w:rsid w:val="001A1901"/>
    <w:rsid w:val="001A2E81"/>
    <w:rsid w:val="001A3072"/>
    <w:rsid w:val="001A3B7C"/>
    <w:rsid w:val="001B01C2"/>
    <w:rsid w:val="001B2AE1"/>
    <w:rsid w:val="001B36AE"/>
    <w:rsid w:val="001B4F1F"/>
    <w:rsid w:val="001B5000"/>
    <w:rsid w:val="001B65FE"/>
    <w:rsid w:val="001B7AB9"/>
    <w:rsid w:val="001C16AF"/>
    <w:rsid w:val="001C2457"/>
    <w:rsid w:val="001C3FDC"/>
    <w:rsid w:val="001C6960"/>
    <w:rsid w:val="001D3F5A"/>
    <w:rsid w:val="001D449D"/>
    <w:rsid w:val="001E0238"/>
    <w:rsid w:val="001E2455"/>
    <w:rsid w:val="001E4CB2"/>
    <w:rsid w:val="001E4DD7"/>
    <w:rsid w:val="001E5164"/>
    <w:rsid w:val="001E6265"/>
    <w:rsid w:val="001F10F9"/>
    <w:rsid w:val="001F24EC"/>
    <w:rsid w:val="001F2853"/>
    <w:rsid w:val="001F41A0"/>
    <w:rsid w:val="001F4C2E"/>
    <w:rsid w:val="001F71DD"/>
    <w:rsid w:val="001F7A2A"/>
    <w:rsid w:val="001F7E72"/>
    <w:rsid w:val="00201C6C"/>
    <w:rsid w:val="00201D0B"/>
    <w:rsid w:val="002039CC"/>
    <w:rsid w:val="00204220"/>
    <w:rsid w:val="0021107A"/>
    <w:rsid w:val="00212164"/>
    <w:rsid w:val="00212F19"/>
    <w:rsid w:val="00214D33"/>
    <w:rsid w:val="00215791"/>
    <w:rsid w:val="00216F13"/>
    <w:rsid w:val="00217005"/>
    <w:rsid w:val="00217919"/>
    <w:rsid w:val="002239E4"/>
    <w:rsid w:val="00223BAE"/>
    <w:rsid w:val="00225930"/>
    <w:rsid w:val="00232181"/>
    <w:rsid w:val="002335D2"/>
    <w:rsid w:val="002336BB"/>
    <w:rsid w:val="00233FF3"/>
    <w:rsid w:val="002340E3"/>
    <w:rsid w:val="00234653"/>
    <w:rsid w:val="00235D9B"/>
    <w:rsid w:val="0024029F"/>
    <w:rsid w:val="00240884"/>
    <w:rsid w:val="00241600"/>
    <w:rsid w:val="0024373D"/>
    <w:rsid w:val="00244A11"/>
    <w:rsid w:val="00244F78"/>
    <w:rsid w:val="0024550E"/>
    <w:rsid w:val="00246C37"/>
    <w:rsid w:val="0025104B"/>
    <w:rsid w:val="00251234"/>
    <w:rsid w:val="00257C96"/>
    <w:rsid w:val="002617F6"/>
    <w:rsid w:val="00261D42"/>
    <w:rsid w:val="00264200"/>
    <w:rsid w:val="00266A7D"/>
    <w:rsid w:val="00267CFF"/>
    <w:rsid w:val="0027131E"/>
    <w:rsid w:val="00271A17"/>
    <w:rsid w:val="002753C1"/>
    <w:rsid w:val="002754E0"/>
    <w:rsid w:val="0027574F"/>
    <w:rsid w:val="002758AB"/>
    <w:rsid w:val="00277D79"/>
    <w:rsid w:val="0028094F"/>
    <w:rsid w:val="00281361"/>
    <w:rsid w:val="00283362"/>
    <w:rsid w:val="002946C8"/>
    <w:rsid w:val="002947E3"/>
    <w:rsid w:val="00294A96"/>
    <w:rsid w:val="00294D15"/>
    <w:rsid w:val="002960B4"/>
    <w:rsid w:val="00296678"/>
    <w:rsid w:val="00297B04"/>
    <w:rsid w:val="002A00DE"/>
    <w:rsid w:val="002A04CE"/>
    <w:rsid w:val="002A0D48"/>
    <w:rsid w:val="002A15D7"/>
    <w:rsid w:val="002A2C46"/>
    <w:rsid w:val="002A53CA"/>
    <w:rsid w:val="002A6A7F"/>
    <w:rsid w:val="002B3D70"/>
    <w:rsid w:val="002B409A"/>
    <w:rsid w:val="002B6357"/>
    <w:rsid w:val="002B686A"/>
    <w:rsid w:val="002C28AB"/>
    <w:rsid w:val="002C3137"/>
    <w:rsid w:val="002C3360"/>
    <w:rsid w:val="002C400F"/>
    <w:rsid w:val="002C42DE"/>
    <w:rsid w:val="002C6D53"/>
    <w:rsid w:val="002C714E"/>
    <w:rsid w:val="002C7DA7"/>
    <w:rsid w:val="002D18AE"/>
    <w:rsid w:val="002D224F"/>
    <w:rsid w:val="002D6324"/>
    <w:rsid w:val="002D6D16"/>
    <w:rsid w:val="002E377C"/>
    <w:rsid w:val="002E643C"/>
    <w:rsid w:val="002E6DB3"/>
    <w:rsid w:val="002E7A7C"/>
    <w:rsid w:val="002F36BB"/>
    <w:rsid w:val="002F378E"/>
    <w:rsid w:val="002F3D0D"/>
    <w:rsid w:val="002F4A1A"/>
    <w:rsid w:val="002F4B0F"/>
    <w:rsid w:val="002F5113"/>
    <w:rsid w:val="002F55B7"/>
    <w:rsid w:val="002F5B2D"/>
    <w:rsid w:val="002F61A6"/>
    <w:rsid w:val="002F701E"/>
    <w:rsid w:val="00300E00"/>
    <w:rsid w:val="00302E0F"/>
    <w:rsid w:val="0030345F"/>
    <w:rsid w:val="0030370F"/>
    <w:rsid w:val="003049B3"/>
    <w:rsid w:val="003050E2"/>
    <w:rsid w:val="003063E8"/>
    <w:rsid w:val="00306AFF"/>
    <w:rsid w:val="00312059"/>
    <w:rsid w:val="003151B0"/>
    <w:rsid w:val="00316840"/>
    <w:rsid w:val="00321419"/>
    <w:rsid w:val="00322D46"/>
    <w:rsid w:val="00326077"/>
    <w:rsid w:val="00326B12"/>
    <w:rsid w:val="00327EA8"/>
    <w:rsid w:val="00330234"/>
    <w:rsid w:val="00331B0C"/>
    <w:rsid w:val="00332809"/>
    <w:rsid w:val="00335D31"/>
    <w:rsid w:val="003364CA"/>
    <w:rsid w:val="003413FC"/>
    <w:rsid w:val="0034147F"/>
    <w:rsid w:val="00343395"/>
    <w:rsid w:val="00344B60"/>
    <w:rsid w:val="00351972"/>
    <w:rsid w:val="0035199B"/>
    <w:rsid w:val="00351DF9"/>
    <w:rsid w:val="003536AE"/>
    <w:rsid w:val="00354287"/>
    <w:rsid w:val="00354B57"/>
    <w:rsid w:val="0035512A"/>
    <w:rsid w:val="00355429"/>
    <w:rsid w:val="00356A86"/>
    <w:rsid w:val="003577E0"/>
    <w:rsid w:val="00360D42"/>
    <w:rsid w:val="003612DE"/>
    <w:rsid w:val="00361C4B"/>
    <w:rsid w:val="003620A2"/>
    <w:rsid w:val="00363206"/>
    <w:rsid w:val="003635A2"/>
    <w:rsid w:val="00363830"/>
    <w:rsid w:val="00364612"/>
    <w:rsid w:val="0036620B"/>
    <w:rsid w:val="00366CD9"/>
    <w:rsid w:val="00371902"/>
    <w:rsid w:val="003769AD"/>
    <w:rsid w:val="00380016"/>
    <w:rsid w:val="00383726"/>
    <w:rsid w:val="003838C1"/>
    <w:rsid w:val="00383C97"/>
    <w:rsid w:val="00386E6B"/>
    <w:rsid w:val="00387058"/>
    <w:rsid w:val="00387440"/>
    <w:rsid w:val="003972BA"/>
    <w:rsid w:val="003A1520"/>
    <w:rsid w:val="003A208A"/>
    <w:rsid w:val="003A20EF"/>
    <w:rsid w:val="003A2804"/>
    <w:rsid w:val="003A2D33"/>
    <w:rsid w:val="003A3AE5"/>
    <w:rsid w:val="003A6E05"/>
    <w:rsid w:val="003B01F0"/>
    <w:rsid w:val="003B66A3"/>
    <w:rsid w:val="003B7A04"/>
    <w:rsid w:val="003C101B"/>
    <w:rsid w:val="003C12C0"/>
    <w:rsid w:val="003C12F3"/>
    <w:rsid w:val="003C16D2"/>
    <w:rsid w:val="003C188D"/>
    <w:rsid w:val="003C1B77"/>
    <w:rsid w:val="003C2C34"/>
    <w:rsid w:val="003C3CC2"/>
    <w:rsid w:val="003C7965"/>
    <w:rsid w:val="003C7DCD"/>
    <w:rsid w:val="003D004A"/>
    <w:rsid w:val="003D0888"/>
    <w:rsid w:val="003D3223"/>
    <w:rsid w:val="003D382C"/>
    <w:rsid w:val="003D444B"/>
    <w:rsid w:val="003D5B0C"/>
    <w:rsid w:val="003D6095"/>
    <w:rsid w:val="003D67AD"/>
    <w:rsid w:val="003D79B0"/>
    <w:rsid w:val="003D79EE"/>
    <w:rsid w:val="003E21A9"/>
    <w:rsid w:val="003E2B2C"/>
    <w:rsid w:val="003E3155"/>
    <w:rsid w:val="003E3449"/>
    <w:rsid w:val="003E36E3"/>
    <w:rsid w:val="003E5265"/>
    <w:rsid w:val="003E5E15"/>
    <w:rsid w:val="003E6792"/>
    <w:rsid w:val="003E732E"/>
    <w:rsid w:val="003F078A"/>
    <w:rsid w:val="003F11F7"/>
    <w:rsid w:val="003F15E9"/>
    <w:rsid w:val="003F1B26"/>
    <w:rsid w:val="003F21FB"/>
    <w:rsid w:val="003F2578"/>
    <w:rsid w:val="003F511C"/>
    <w:rsid w:val="003F75BA"/>
    <w:rsid w:val="0040162C"/>
    <w:rsid w:val="004017EE"/>
    <w:rsid w:val="00402C91"/>
    <w:rsid w:val="00402CB4"/>
    <w:rsid w:val="00405346"/>
    <w:rsid w:val="0040741D"/>
    <w:rsid w:val="00412482"/>
    <w:rsid w:val="00412A4A"/>
    <w:rsid w:val="00412E1F"/>
    <w:rsid w:val="00414BDC"/>
    <w:rsid w:val="00415C34"/>
    <w:rsid w:val="00415E1F"/>
    <w:rsid w:val="004177EE"/>
    <w:rsid w:val="00417966"/>
    <w:rsid w:val="00420529"/>
    <w:rsid w:val="00421450"/>
    <w:rsid w:val="00422469"/>
    <w:rsid w:val="00424B7F"/>
    <w:rsid w:val="00424E73"/>
    <w:rsid w:val="00427D10"/>
    <w:rsid w:val="00430F50"/>
    <w:rsid w:val="004310F5"/>
    <w:rsid w:val="00433B74"/>
    <w:rsid w:val="0043602E"/>
    <w:rsid w:val="00436BA5"/>
    <w:rsid w:val="004426B2"/>
    <w:rsid w:val="004432CA"/>
    <w:rsid w:val="00443B52"/>
    <w:rsid w:val="00444224"/>
    <w:rsid w:val="0044695F"/>
    <w:rsid w:val="00446C45"/>
    <w:rsid w:val="004511A6"/>
    <w:rsid w:val="004545CD"/>
    <w:rsid w:val="00456E6F"/>
    <w:rsid w:val="00457898"/>
    <w:rsid w:val="00460CED"/>
    <w:rsid w:val="00463964"/>
    <w:rsid w:val="004646EB"/>
    <w:rsid w:val="00465974"/>
    <w:rsid w:val="00466836"/>
    <w:rsid w:val="00467035"/>
    <w:rsid w:val="00467F13"/>
    <w:rsid w:val="0047056E"/>
    <w:rsid w:val="00472F25"/>
    <w:rsid w:val="0047525A"/>
    <w:rsid w:val="0047560D"/>
    <w:rsid w:val="0048041A"/>
    <w:rsid w:val="00480AD9"/>
    <w:rsid w:val="00480D94"/>
    <w:rsid w:val="004817D4"/>
    <w:rsid w:val="004829C1"/>
    <w:rsid w:val="00483484"/>
    <w:rsid w:val="00483E74"/>
    <w:rsid w:val="0048436B"/>
    <w:rsid w:val="00485FEA"/>
    <w:rsid w:val="00486229"/>
    <w:rsid w:val="0048727C"/>
    <w:rsid w:val="004901BA"/>
    <w:rsid w:val="00492006"/>
    <w:rsid w:val="00492561"/>
    <w:rsid w:val="004929FC"/>
    <w:rsid w:val="00492F2A"/>
    <w:rsid w:val="00493ED7"/>
    <w:rsid w:val="00496539"/>
    <w:rsid w:val="004A1BC1"/>
    <w:rsid w:val="004A2240"/>
    <w:rsid w:val="004A2826"/>
    <w:rsid w:val="004A4793"/>
    <w:rsid w:val="004A579D"/>
    <w:rsid w:val="004A79EA"/>
    <w:rsid w:val="004A7DAA"/>
    <w:rsid w:val="004B0468"/>
    <w:rsid w:val="004B06BF"/>
    <w:rsid w:val="004B1157"/>
    <w:rsid w:val="004B15B8"/>
    <w:rsid w:val="004B2089"/>
    <w:rsid w:val="004B2840"/>
    <w:rsid w:val="004B4CAD"/>
    <w:rsid w:val="004B62F8"/>
    <w:rsid w:val="004C01DE"/>
    <w:rsid w:val="004C1B59"/>
    <w:rsid w:val="004C33F1"/>
    <w:rsid w:val="004C38A8"/>
    <w:rsid w:val="004C3F0F"/>
    <w:rsid w:val="004C5484"/>
    <w:rsid w:val="004C5703"/>
    <w:rsid w:val="004C5973"/>
    <w:rsid w:val="004C72A3"/>
    <w:rsid w:val="004C72CC"/>
    <w:rsid w:val="004D0E89"/>
    <w:rsid w:val="004D271A"/>
    <w:rsid w:val="004D34BB"/>
    <w:rsid w:val="004D4BB5"/>
    <w:rsid w:val="004D502C"/>
    <w:rsid w:val="004D5921"/>
    <w:rsid w:val="004D6138"/>
    <w:rsid w:val="004E04C2"/>
    <w:rsid w:val="004E0E57"/>
    <w:rsid w:val="004E17C0"/>
    <w:rsid w:val="004E2E01"/>
    <w:rsid w:val="004E3EE1"/>
    <w:rsid w:val="004E5F5C"/>
    <w:rsid w:val="004F1095"/>
    <w:rsid w:val="004F2857"/>
    <w:rsid w:val="004F390D"/>
    <w:rsid w:val="004F60AF"/>
    <w:rsid w:val="00502BC4"/>
    <w:rsid w:val="00503C15"/>
    <w:rsid w:val="00504B61"/>
    <w:rsid w:val="0050500E"/>
    <w:rsid w:val="00505042"/>
    <w:rsid w:val="00505D17"/>
    <w:rsid w:val="00505F66"/>
    <w:rsid w:val="00506FC7"/>
    <w:rsid w:val="00507A8A"/>
    <w:rsid w:val="0051046A"/>
    <w:rsid w:val="00511AE6"/>
    <w:rsid w:val="00511D22"/>
    <w:rsid w:val="0051259C"/>
    <w:rsid w:val="00513446"/>
    <w:rsid w:val="0051557F"/>
    <w:rsid w:val="00516C1B"/>
    <w:rsid w:val="00517DD1"/>
    <w:rsid w:val="00521AE7"/>
    <w:rsid w:val="005262F7"/>
    <w:rsid w:val="005314C1"/>
    <w:rsid w:val="00531B0C"/>
    <w:rsid w:val="0053253C"/>
    <w:rsid w:val="00532D5C"/>
    <w:rsid w:val="00535EAA"/>
    <w:rsid w:val="00536D41"/>
    <w:rsid w:val="00536DDA"/>
    <w:rsid w:val="00542ACF"/>
    <w:rsid w:val="0054386B"/>
    <w:rsid w:val="00543FDB"/>
    <w:rsid w:val="00544659"/>
    <w:rsid w:val="005449F6"/>
    <w:rsid w:val="0054554E"/>
    <w:rsid w:val="0055265C"/>
    <w:rsid w:val="00553967"/>
    <w:rsid w:val="00554760"/>
    <w:rsid w:val="00556511"/>
    <w:rsid w:val="0055679B"/>
    <w:rsid w:val="00557F00"/>
    <w:rsid w:val="005601D8"/>
    <w:rsid w:val="00561AA0"/>
    <w:rsid w:val="005635D9"/>
    <w:rsid w:val="00565DC4"/>
    <w:rsid w:val="00565DC6"/>
    <w:rsid w:val="00567741"/>
    <w:rsid w:val="0056787E"/>
    <w:rsid w:val="00571A4C"/>
    <w:rsid w:val="00571E55"/>
    <w:rsid w:val="00572269"/>
    <w:rsid w:val="005722AC"/>
    <w:rsid w:val="00575873"/>
    <w:rsid w:val="00575CDB"/>
    <w:rsid w:val="00576F59"/>
    <w:rsid w:val="00577315"/>
    <w:rsid w:val="005774A4"/>
    <w:rsid w:val="00580434"/>
    <w:rsid w:val="00581DD2"/>
    <w:rsid w:val="00582C03"/>
    <w:rsid w:val="00583AC5"/>
    <w:rsid w:val="005866BD"/>
    <w:rsid w:val="005903F3"/>
    <w:rsid w:val="0059076B"/>
    <w:rsid w:val="005911F7"/>
    <w:rsid w:val="00591654"/>
    <w:rsid w:val="00593100"/>
    <w:rsid w:val="00594460"/>
    <w:rsid w:val="005957A0"/>
    <w:rsid w:val="005964C1"/>
    <w:rsid w:val="005A1DF0"/>
    <w:rsid w:val="005A1F8C"/>
    <w:rsid w:val="005A3DB3"/>
    <w:rsid w:val="005A3DFC"/>
    <w:rsid w:val="005A518C"/>
    <w:rsid w:val="005A57CD"/>
    <w:rsid w:val="005A7FF6"/>
    <w:rsid w:val="005B0CDC"/>
    <w:rsid w:val="005B0F4C"/>
    <w:rsid w:val="005B1874"/>
    <w:rsid w:val="005B2555"/>
    <w:rsid w:val="005C0233"/>
    <w:rsid w:val="005C3E06"/>
    <w:rsid w:val="005C421D"/>
    <w:rsid w:val="005C678E"/>
    <w:rsid w:val="005C6937"/>
    <w:rsid w:val="005C77A7"/>
    <w:rsid w:val="005D06C2"/>
    <w:rsid w:val="005D1DE4"/>
    <w:rsid w:val="005D2636"/>
    <w:rsid w:val="005D3F9C"/>
    <w:rsid w:val="005D555C"/>
    <w:rsid w:val="005D5FAE"/>
    <w:rsid w:val="005D6D64"/>
    <w:rsid w:val="005D7827"/>
    <w:rsid w:val="005E07C2"/>
    <w:rsid w:val="005E2673"/>
    <w:rsid w:val="005E4473"/>
    <w:rsid w:val="005E7C17"/>
    <w:rsid w:val="005F1E05"/>
    <w:rsid w:val="005F2A1E"/>
    <w:rsid w:val="005F2C6A"/>
    <w:rsid w:val="005F2E5D"/>
    <w:rsid w:val="005F4C02"/>
    <w:rsid w:val="005F71B0"/>
    <w:rsid w:val="00600CEC"/>
    <w:rsid w:val="00601569"/>
    <w:rsid w:val="00601B39"/>
    <w:rsid w:val="006024E1"/>
    <w:rsid w:val="006032D7"/>
    <w:rsid w:val="00606062"/>
    <w:rsid w:val="006066F1"/>
    <w:rsid w:val="006073E5"/>
    <w:rsid w:val="00607426"/>
    <w:rsid w:val="00607709"/>
    <w:rsid w:val="006122BD"/>
    <w:rsid w:val="006129DB"/>
    <w:rsid w:val="00612E6E"/>
    <w:rsid w:val="0061368B"/>
    <w:rsid w:val="00615267"/>
    <w:rsid w:val="00616048"/>
    <w:rsid w:val="006161FC"/>
    <w:rsid w:val="006203B6"/>
    <w:rsid w:val="006206A5"/>
    <w:rsid w:val="006208BE"/>
    <w:rsid w:val="006215EF"/>
    <w:rsid w:val="00622575"/>
    <w:rsid w:val="00622661"/>
    <w:rsid w:val="00623853"/>
    <w:rsid w:val="006238E5"/>
    <w:rsid w:val="006241E5"/>
    <w:rsid w:val="006249ED"/>
    <w:rsid w:val="00624A65"/>
    <w:rsid w:val="00625230"/>
    <w:rsid w:val="0062552B"/>
    <w:rsid w:val="00625A33"/>
    <w:rsid w:val="00625B51"/>
    <w:rsid w:val="00625DCD"/>
    <w:rsid w:val="006310C2"/>
    <w:rsid w:val="00631410"/>
    <w:rsid w:val="006315E5"/>
    <w:rsid w:val="00631DC3"/>
    <w:rsid w:val="00631E8B"/>
    <w:rsid w:val="00633E2E"/>
    <w:rsid w:val="00633E67"/>
    <w:rsid w:val="00635044"/>
    <w:rsid w:val="00636DDE"/>
    <w:rsid w:val="00637279"/>
    <w:rsid w:val="00640108"/>
    <w:rsid w:val="006413B1"/>
    <w:rsid w:val="006415C7"/>
    <w:rsid w:val="00641935"/>
    <w:rsid w:val="0064572B"/>
    <w:rsid w:val="00646F8B"/>
    <w:rsid w:val="006470BD"/>
    <w:rsid w:val="006478B1"/>
    <w:rsid w:val="00647C5D"/>
    <w:rsid w:val="00650178"/>
    <w:rsid w:val="00651D28"/>
    <w:rsid w:val="00653960"/>
    <w:rsid w:val="00654095"/>
    <w:rsid w:val="006563A7"/>
    <w:rsid w:val="006603A0"/>
    <w:rsid w:val="00660B12"/>
    <w:rsid w:val="0066128F"/>
    <w:rsid w:val="006635EB"/>
    <w:rsid w:val="00665AF6"/>
    <w:rsid w:val="00666CDB"/>
    <w:rsid w:val="00666EEF"/>
    <w:rsid w:val="00666F41"/>
    <w:rsid w:val="00670841"/>
    <w:rsid w:val="00672802"/>
    <w:rsid w:val="00673227"/>
    <w:rsid w:val="006734F3"/>
    <w:rsid w:val="00674AE5"/>
    <w:rsid w:val="00675A08"/>
    <w:rsid w:val="00683F74"/>
    <w:rsid w:val="00684B3D"/>
    <w:rsid w:val="00685C3D"/>
    <w:rsid w:val="006877B1"/>
    <w:rsid w:val="006879C7"/>
    <w:rsid w:val="00693C3E"/>
    <w:rsid w:val="0069772F"/>
    <w:rsid w:val="00697C97"/>
    <w:rsid w:val="006A0B72"/>
    <w:rsid w:val="006A1CAA"/>
    <w:rsid w:val="006A25D7"/>
    <w:rsid w:val="006A4851"/>
    <w:rsid w:val="006A4951"/>
    <w:rsid w:val="006A507C"/>
    <w:rsid w:val="006A5E3B"/>
    <w:rsid w:val="006A5FA8"/>
    <w:rsid w:val="006A7D0A"/>
    <w:rsid w:val="006B195F"/>
    <w:rsid w:val="006B22A5"/>
    <w:rsid w:val="006B2934"/>
    <w:rsid w:val="006B336E"/>
    <w:rsid w:val="006B40C2"/>
    <w:rsid w:val="006B6592"/>
    <w:rsid w:val="006C022B"/>
    <w:rsid w:val="006C054E"/>
    <w:rsid w:val="006C101E"/>
    <w:rsid w:val="006C1A66"/>
    <w:rsid w:val="006C1C3A"/>
    <w:rsid w:val="006C6DF7"/>
    <w:rsid w:val="006D1278"/>
    <w:rsid w:val="006D1815"/>
    <w:rsid w:val="006D1DD6"/>
    <w:rsid w:val="006D53DD"/>
    <w:rsid w:val="006E0FC0"/>
    <w:rsid w:val="006E20FD"/>
    <w:rsid w:val="006E354E"/>
    <w:rsid w:val="006E5F11"/>
    <w:rsid w:val="006E6D7C"/>
    <w:rsid w:val="006E6EE1"/>
    <w:rsid w:val="006E7379"/>
    <w:rsid w:val="006F1785"/>
    <w:rsid w:val="006F1A30"/>
    <w:rsid w:val="006F1A7D"/>
    <w:rsid w:val="006F27EF"/>
    <w:rsid w:val="006F336B"/>
    <w:rsid w:val="006F45D3"/>
    <w:rsid w:val="006F47BB"/>
    <w:rsid w:val="006F5C67"/>
    <w:rsid w:val="006F61C4"/>
    <w:rsid w:val="006F6D8A"/>
    <w:rsid w:val="006F7969"/>
    <w:rsid w:val="007008E9"/>
    <w:rsid w:val="00701428"/>
    <w:rsid w:val="0070370E"/>
    <w:rsid w:val="00703CA1"/>
    <w:rsid w:val="0070440D"/>
    <w:rsid w:val="00706BC6"/>
    <w:rsid w:val="0070723A"/>
    <w:rsid w:val="00716BB8"/>
    <w:rsid w:val="00716F60"/>
    <w:rsid w:val="00720513"/>
    <w:rsid w:val="00721204"/>
    <w:rsid w:val="007215D8"/>
    <w:rsid w:val="007257E2"/>
    <w:rsid w:val="00725EF5"/>
    <w:rsid w:val="007312A0"/>
    <w:rsid w:val="00732A19"/>
    <w:rsid w:val="00732DB8"/>
    <w:rsid w:val="00732EB5"/>
    <w:rsid w:val="007331E7"/>
    <w:rsid w:val="00733E7B"/>
    <w:rsid w:val="0073474E"/>
    <w:rsid w:val="0073506E"/>
    <w:rsid w:val="00737D9C"/>
    <w:rsid w:val="00740D41"/>
    <w:rsid w:val="00740EBA"/>
    <w:rsid w:val="00742C65"/>
    <w:rsid w:val="00743D8A"/>
    <w:rsid w:val="00744A2E"/>
    <w:rsid w:val="00744D20"/>
    <w:rsid w:val="00744F79"/>
    <w:rsid w:val="0074602C"/>
    <w:rsid w:val="00746DCD"/>
    <w:rsid w:val="00750457"/>
    <w:rsid w:val="00750B4B"/>
    <w:rsid w:val="00750DE1"/>
    <w:rsid w:val="007523B8"/>
    <w:rsid w:val="00754A64"/>
    <w:rsid w:val="0075766E"/>
    <w:rsid w:val="0076314C"/>
    <w:rsid w:val="00764203"/>
    <w:rsid w:val="007649D4"/>
    <w:rsid w:val="007717E5"/>
    <w:rsid w:val="00773DEE"/>
    <w:rsid w:val="00773FDA"/>
    <w:rsid w:val="0077442C"/>
    <w:rsid w:val="007753F1"/>
    <w:rsid w:val="007768D9"/>
    <w:rsid w:val="00776E05"/>
    <w:rsid w:val="00777F48"/>
    <w:rsid w:val="00780588"/>
    <w:rsid w:val="00780667"/>
    <w:rsid w:val="00781518"/>
    <w:rsid w:val="00781C74"/>
    <w:rsid w:val="0078207C"/>
    <w:rsid w:val="007850CA"/>
    <w:rsid w:val="007902EA"/>
    <w:rsid w:val="00791495"/>
    <w:rsid w:val="00792A78"/>
    <w:rsid w:val="007964D1"/>
    <w:rsid w:val="00796DE8"/>
    <w:rsid w:val="00796F00"/>
    <w:rsid w:val="0079768D"/>
    <w:rsid w:val="007A11CC"/>
    <w:rsid w:val="007A459C"/>
    <w:rsid w:val="007A52C1"/>
    <w:rsid w:val="007A5EF1"/>
    <w:rsid w:val="007A79D1"/>
    <w:rsid w:val="007A7EDB"/>
    <w:rsid w:val="007B092F"/>
    <w:rsid w:val="007B11EC"/>
    <w:rsid w:val="007B2DA5"/>
    <w:rsid w:val="007B32A8"/>
    <w:rsid w:val="007B5A51"/>
    <w:rsid w:val="007B7F8B"/>
    <w:rsid w:val="007C1AAD"/>
    <w:rsid w:val="007C1EAA"/>
    <w:rsid w:val="007C2253"/>
    <w:rsid w:val="007C2B73"/>
    <w:rsid w:val="007C3243"/>
    <w:rsid w:val="007C3979"/>
    <w:rsid w:val="007C7D28"/>
    <w:rsid w:val="007D2A42"/>
    <w:rsid w:val="007D3ACE"/>
    <w:rsid w:val="007D3BC1"/>
    <w:rsid w:val="007D6D84"/>
    <w:rsid w:val="007E00B0"/>
    <w:rsid w:val="007E084C"/>
    <w:rsid w:val="007E1BAB"/>
    <w:rsid w:val="007E1FD5"/>
    <w:rsid w:val="007E21F1"/>
    <w:rsid w:val="007E25E7"/>
    <w:rsid w:val="007E4551"/>
    <w:rsid w:val="007F00D0"/>
    <w:rsid w:val="007F03E0"/>
    <w:rsid w:val="007F1359"/>
    <w:rsid w:val="007F154A"/>
    <w:rsid w:val="007F23F3"/>
    <w:rsid w:val="007F2F46"/>
    <w:rsid w:val="007F314F"/>
    <w:rsid w:val="007F53C6"/>
    <w:rsid w:val="007F546E"/>
    <w:rsid w:val="007F5E7E"/>
    <w:rsid w:val="007F7144"/>
    <w:rsid w:val="00802869"/>
    <w:rsid w:val="0080308D"/>
    <w:rsid w:val="0080320E"/>
    <w:rsid w:val="0080632F"/>
    <w:rsid w:val="0080757C"/>
    <w:rsid w:val="00807F8F"/>
    <w:rsid w:val="008116B2"/>
    <w:rsid w:val="00811AB7"/>
    <w:rsid w:val="00813455"/>
    <w:rsid w:val="008158C6"/>
    <w:rsid w:val="00815E0B"/>
    <w:rsid w:val="00817A10"/>
    <w:rsid w:val="00817B86"/>
    <w:rsid w:val="00817DB8"/>
    <w:rsid w:val="00820766"/>
    <w:rsid w:val="00820A72"/>
    <w:rsid w:val="008219E0"/>
    <w:rsid w:val="0082286D"/>
    <w:rsid w:val="008246C2"/>
    <w:rsid w:val="008306DD"/>
    <w:rsid w:val="00831F1F"/>
    <w:rsid w:val="00833037"/>
    <w:rsid w:val="008346DF"/>
    <w:rsid w:val="00834986"/>
    <w:rsid w:val="00835CA0"/>
    <w:rsid w:val="00835E20"/>
    <w:rsid w:val="00840BDD"/>
    <w:rsid w:val="008415ED"/>
    <w:rsid w:val="00842066"/>
    <w:rsid w:val="00842749"/>
    <w:rsid w:val="00843589"/>
    <w:rsid w:val="00844F66"/>
    <w:rsid w:val="00846224"/>
    <w:rsid w:val="00846EA3"/>
    <w:rsid w:val="00852DD9"/>
    <w:rsid w:val="00853A5E"/>
    <w:rsid w:val="00854743"/>
    <w:rsid w:val="00855C05"/>
    <w:rsid w:val="00855F71"/>
    <w:rsid w:val="00860811"/>
    <w:rsid w:val="00861FBE"/>
    <w:rsid w:val="0086265B"/>
    <w:rsid w:val="00863C12"/>
    <w:rsid w:val="0086428C"/>
    <w:rsid w:val="008663EF"/>
    <w:rsid w:val="00866AC7"/>
    <w:rsid w:val="0087290B"/>
    <w:rsid w:val="00873180"/>
    <w:rsid w:val="008733E7"/>
    <w:rsid w:val="008740F1"/>
    <w:rsid w:val="0087775D"/>
    <w:rsid w:val="008804FB"/>
    <w:rsid w:val="00881769"/>
    <w:rsid w:val="008824F7"/>
    <w:rsid w:val="008825E9"/>
    <w:rsid w:val="00882A6F"/>
    <w:rsid w:val="00885C5A"/>
    <w:rsid w:val="008865F8"/>
    <w:rsid w:val="00887792"/>
    <w:rsid w:val="00895BD6"/>
    <w:rsid w:val="00897E60"/>
    <w:rsid w:val="008A10CD"/>
    <w:rsid w:val="008A1919"/>
    <w:rsid w:val="008A5F5C"/>
    <w:rsid w:val="008A60E6"/>
    <w:rsid w:val="008A66BD"/>
    <w:rsid w:val="008A6BBE"/>
    <w:rsid w:val="008A6CA4"/>
    <w:rsid w:val="008A6F52"/>
    <w:rsid w:val="008A7936"/>
    <w:rsid w:val="008A7D8E"/>
    <w:rsid w:val="008A7EF5"/>
    <w:rsid w:val="008B1D83"/>
    <w:rsid w:val="008B1F2A"/>
    <w:rsid w:val="008B2737"/>
    <w:rsid w:val="008B3AC8"/>
    <w:rsid w:val="008B4039"/>
    <w:rsid w:val="008B440F"/>
    <w:rsid w:val="008B56A9"/>
    <w:rsid w:val="008B6407"/>
    <w:rsid w:val="008C091C"/>
    <w:rsid w:val="008C0C0F"/>
    <w:rsid w:val="008C0FEF"/>
    <w:rsid w:val="008C2D3C"/>
    <w:rsid w:val="008C507B"/>
    <w:rsid w:val="008D012E"/>
    <w:rsid w:val="008D0AA5"/>
    <w:rsid w:val="008D0B99"/>
    <w:rsid w:val="008D4D15"/>
    <w:rsid w:val="008D74B2"/>
    <w:rsid w:val="008E0D6B"/>
    <w:rsid w:val="008E19E9"/>
    <w:rsid w:val="008E2B8E"/>
    <w:rsid w:val="008E301C"/>
    <w:rsid w:val="008E39C5"/>
    <w:rsid w:val="008E6942"/>
    <w:rsid w:val="008F057B"/>
    <w:rsid w:val="008F057C"/>
    <w:rsid w:val="008F0732"/>
    <w:rsid w:val="008F15D1"/>
    <w:rsid w:val="008F2D30"/>
    <w:rsid w:val="008F4921"/>
    <w:rsid w:val="008F609A"/>
    <w:rsid w:val="008F6D79"/>
    <w:rsid w:val="008F7BE2"/>
    <w:rsid w:val="0090057D"/>
    <w:rsid w:val="00902AE4"/>
    <w:rsid w:val="00911A7E"/>
    <w:rsid w:val="0091423A"/>
    <w:rsid w:val="009142A1"/>
    <w:rsid w:val="00915324"/>
    <w:rsid w:val="009168A9"/>
    <w:rsid w:val="00917769"/>
    <w:rsid w:val="00917977"/>
    <w:rsid w:val="009209B1"/>
    <w:rsid w:val="009211B8"/>
    <w:rsid w:val="00921CD7"/>
    <w:rsid w:val="009235B0"/>
    <w:rsid w:val="009264C2"/>
    <w:rsid w:val="0092688E"/>
    <w:rsid w:val="009274F5"/>
    <w:rsid w:val="00927636"/>
    <w:rsid w:val="0092784F"/>
    <w:rsid w:val="00931AFB"/>
    <w:rsid w:val="0093316F"/>
    <w:rsid w:val="00934641"/>
    <w:rsid w:val="00936334"/>
    <w:rsid w:val="00941A7E"/>
    <w:rsid w:val="009421B4"/>
    <w:rsid w:val="00942FC7"/>
    <w:rsid w:val="009440AB"/>
    <w:rsid w:val="00944802"/>
    <w:rsid w:val="009451B2"/>
    <w:rsid w:val="009453B5"/>
    <w:rsid w:val="00946444"/>
    <w:rsid w:val="009504FB"/>
    <w:rsid w:val="00950ECE"/>
    <w:rsid w:val="00951A01"/>
    <w:rsid w:val="00952D01"/>
    <w:rsid w:val="0095438F"/>
    <w:rsid w:val="00955231"/>
    <w:rsid w:val="00956E7B"/>
    <w:rsid w:val="00957B76"/>
    <w:rsid w:val="009630D3"/>
    <w:rsid w:val="00963B6B"/>
    <w:rsid w:val="00965D06"/>
    <w:rsid w:val="00965D76"/>
    <w:rsid w:val="009710F2"/>
    <w:rsid w:val="0097164A"/>
    <w:rsid w:val="00971C79"/>
    <w:rsid w:val="00972174"/>
    <w:rsid w:val="009742D6"/>
    <w:rsid w:val="009749B5"/>
    <w:rsid w:val="00977728"/>
    <w:rsid w:val="0097773A"/>
    <w:rsid w:val="009778C4"/>
    <w:rsid w:val="00977C29"/>
    <w:rsid w:val="00980722"/>
    <w:rsid w:val="00980874"/>
    <w:rsid w:val="00980C9E"/>
    <w:rsid w:val="00981385"/>
    <w:rsid w:val="009823ED"/>
    <w:rsid w:val="0098490C"/>
    <w:rsid w:val="009852C7"/>
    <w:rsid w:val="00990009"/>
    <w:rsid w:val="00994D8B"/>
    <w:rsid w:val="0099692E"/>
    <w:rsid w:val="009A0994"/>
    <w:rsid w:val="009A19E1"/>
    <w:rsid w:val="009A1A29"/>
    <w:rsid w:val="009A260F"/>
    <w:rsid w:val="009A5446"/>
    <w:rsid w:val="009A6EEF"/>
    <w:rsid w:val="009B2BF0"/>
    <w:rsid w:val="009B30EB"/>
    <w:rsid w:val="009B3F00"/>
    <w:rsid w:val="009B4F92"/>
    <w:rsid w:val="009B5837"/>
    <w:rsid w:val="009B59DF"/>
    <w:rsid w:val="009B7575"/>
    <w:rsid w:val="009B7DC5"/>
    <w:rsid w:val="009C019D"/>
    <w:rsid w:val="009C10DE"/>
    <w:rsid w:val="009C1A4F"/>
    <w:rsid w:val="009C2C77"/>
    <w:rsid w:val="009C2E24"/>
    <w:rsid w:val="009C5BE4"/>
    <w:rsid w:val="009C69FA"/>
    <w:rsid w:val="009C6BC9"/>
    <w:rsid w:val="009C6D25"/>
    <w:rsid w:val="009D2601"/>
    <w:rsid w:val="009D2E7C"/>
    <w:rsid w:val="009D63E1"/>
    <w:rsid w:val="009D6ACD"/>
    <w:rsid w:val="009D7E1F"/>
    <w:rsid w:val="009E1219"/>
    <w:rsid w:val="009E17DD"/>
    <w:rsid w:val="009E19AC"/>
    <w:rsid w:val="009E2461"/>
    <w:rsid w:val="009E301A"/>
    <w:rsid w:val="009E5575"/>
    <w:rsid w:val="009E65BC"/>
    <w:rsid w:val="009E7327"/>
    <w:rsid w:val="009E735D"/>
    <w:rsid w:val="009F1380"/>
    <w:rsid w:val="009F1466"/>
    <w:rsid w:val="009F1AA4"/>
    <w:rsid w:val="009F2B27"/>
    <w:rsid w:val="009F38AE"/>
    <w:rsid w:val="009F3E34"/>
    <w:rsid w:val="009F66E5"/>
    <w:rsid w:val="009F6C52"/>
    <w:rsid w:val="009F75AE"/>
    <w:rsid w:val="00A01087"/>
    <w:rsid w:val="00A012C7"/>
    <w:rsid w:val="00A0193E"/>
    <w:rsid w:val="00A02F62"/>
    <w:rsid w:val="00A04605"/>
    <w:rsid w:val="00A04BB8"/>
    <w:rsid w:val="00A06953"/>
    <w:rsid w:val="00A10689"/>
    <w:rsid w:val="00A118C8"/>
    <w:rsid w:val="00A11C85"/>
    <w:rsid w:val="00A1348E"/>
    <w:rsid w:val="00A13AA4"/>
    <w:rsid w:val="00A1455C"/>
    <w:rsid w:val="00A16C02"/>
    <w:rsid w:val="00A1756B"/>
    <w:rsid w:val="00A204F8"/>
    <w:rsid w:val="00A207C0"/>
    <w:rsid w:val="00A20EFF"/>
    <w:rsid w:val="00A223BF"/>
    <w:rsid w:val="00A26C2E"/>
    <w:rsid w:val="00A26CDB"/>
    <w:rsid w:val="00A27FA1"/>
    <w:rsid w:val="00A34518"/>
    <w:rsid w:val="00A36B73"/>
    <w:rsid w:val="00A4074C"/>
    <w:rsid w:val="00A41466"/>
    <w:rsid w:val="00A42EF4"/>
    <w:rsid w:val="00A43438"/>
    <w:rsid w:val="00A440D9"/>
    <w:rsid w:val="00A447CE"/>
    <w:rsid w:val="00A450F8"/>
    <w:rsid w:val="00A4590B"/>
    <w:rsid w:val="00A474C8"/>
    <w:rsid w:val="00A47E74"/>
    <w:rsid w:val="00A51C5F"/>
    <w:rsid w:val="00A52D40"/>
    <w:rsid w:val="00A53433"/>
    <w:rsid w:val="00A537D7"/>
    <w:rsid w:val="00A54098"/>
    <w:rsid w:val="00A563EE"/>
    <w:rsid w:val="00A56A3C"/>
    <w:rsid w:val="00A601BF"/>
    <w:rsid w:val="00A6020C"/>
    <w:rsid w:val="00A61822"/>
    <w:rsid w:val="00A63216"/>
    <w:rsid w:val="00A6659D"/>
    <w:rsid w:val="00A665DB"/>
    <w:rsid w:val="00A702B9"/>
    <w:rsid w:val="00A71BA0"/>
    <w:rsid w:val="00A71C84"/>
    <w:rsid w:val="00A7252F"/>
    <w:rsid w:val="00A72946"/>
    <w:rsid w:val="00A77105"/>
    <w:rsid w:val="00A80032"/>
    <w:rsid w:val="00A807BE"/>
    <w:rsid w:val="00A813A1"/>
    <w:rsid w:val="00A814D6"/>
    <w:rsid w:val="00A81A82"/>
    <w:rsid w:val="00A82484"/>
    <w:rsid w:val="00A82CDF"/>
    <w:rsid w:val="00A83BD9"/>
    <w:rsid w:val="00A83E59"/>
    <w:rsid w:val="00A84A41"/>
    <w:rsid w:val="00A86DE0"/>
    <w:rsid w:val="00A87CCD"/>
    <w:rsid w:val="00A90FBD"/>
    <w:rsid w:val="00A91181"/>
    <w:rsid w:val="00A926AA"/>
    <w:rsid w:val="00A95488"/>
    <w:rsid w:val="00A96363"/>
    <w:rsid w:val="00A97631"/>
    <w:rsid w:val="00AA1532"/>
    <w:rsid w:val="00AA6514"/>
    <w:rsid w:val="00AB2970"/>
    <w:rsid w:val="00AB2C7A"/>
    <w:rsid w:val="00AB5D14"/>
    <w:rsid w:val="00AC5517"/>
    <w:rsid w:val="00AC6B8A"/>
    <w:rsid w:val="00AC79FC"/>
    <w:rsid w:val="00AD3B56"/>
    <w:rsid w:val="00AD3C05"/>
    <w:rsid w:val="00AD3C73"/>
    <w:rsid w:val="00AD5A24"/>
    <w:rsid w:val="00AE0B05"/>
    <w:rsid w:val="00AE1388"/>
    <w:rsid w:val="00AE1761"/>
    <w:rsid w:val="00AE340A"/>
    <w:rsid w:val="00AE7F7C"/>
    <w:rsid w:val="00AF1BCC"/>
    <w:rsid w:val="00AF41B1"/>
    <w:rsid w:val="00AF47C6"/>
    <w:rsid w:val="00AF49A5"/>
    <w:rsid w:val="00AF4FE8"/>
    <w:rsid w:val="00AF6040"/>
    <w:rsid w:val="00AF60A6"/>
    <w:rsid w:val="00AF67E6"/>
    <w:rsid w:val="00B009A7"/>
    <w:rsid w:val="00B00E30"/>
    <w:rsid w:val="00B01467"/>
    <w:rsid w:val="00B02FFE"/>
    <w:rsid w:val="00B03234"/>
    <w:rsid w:val="00B04F7F"/>
    <w:rsid w:val="00B1050E"/>
    <w:rsid w:val="00B12A38"/>
    <w:rsid w:val="00B13354"/>
    <w:rsid w:val="00B1524B"/>
    <w:rsid w:val="00B16A10"/>
    <w:rsid w:val="00B219D6"/>
    <w:rsid w:val="00B2257D"/>
    <w:rsid w:val="00B225AC"/>
    <w:rsid w:val="00B22AEA"/>
    <w:rsid w:val="00B25795"/>
    <w:rsid w:val="00B27186"/>
    <w:rsid w:val="00B31745"/>
    <w:rsid w:val="00B31E97"/>
    <w:rsid w:val="00B33627"/>
    <w:rsid w:val="00B3522C"/>
    <w:rsid w:val="00B37C63"/>
    <w:rsid w:val="00B42C24"/>
    <w:rsid w:val="00B444A0"/>
    <w:rsid w:val="00B449DA"/>
    <w:rsid w:val="00B44FC3"/>
    <w:rsid w:val="00B45CD5"/>
    <w:rsid w:val="00B46DDD"/>
    <w:rsid w:val="00B5136B"/>
    <w:rsid w:val="00B5221B"/>
    <w:rsid w:val="00B52EC3"/>
    <w:rsid w:val="00B5480C"/>
    <w:rsid w:val="00B55D51"/>
    <w:rsid w:val="00B56E5D"/>
    <w:rsid w:val="00B61A73"/>
    <w:rsid w:val="00B6316A"/>
    <w:rsid w:val="00B631E5"/>
    <w:rsid w:val="00B639A3"/>
    <w:rsid w:val="00B65F19"/>
    <w:rsid w:val="00B6635E"/>
    <w:rsid w:val="00B67AAD"/>
    <w:rsid w:val="00B71AAC"/>
    <w:rsid w:val="00B721A4"/>
    <w:rsid w:val="00B7321B"/>
    <w:rsid w:val="00B73DAA"/>
    <w:rsid w:val="00B77033"/>
    <w:rsid w:val="00B7721E"/>
    <w:rsid w:val="00B77694"/>
    <w:rsid w:val="00B779EB"/>
    <w:rsid w:val="00B808F2"/>
    <w:rsid w:val="00B813DC"/>
    <w:rsid w:val="00B81EF1"/>
    <w:rsid w:val="00B822D4"/>
    <w:rsid w:val="00B82504"/>
    <w:rsid w:val="00B82717"/>
    <w:rsid w:val="00B86901"/>
    <w:rsid w:val="00B86B29"/>
    <w:rsid w:val="00B87B22"/>
    <w:rsid w:val="00B87B87"/>
    <w:rsid w:val="00B9222F"/>
    <w:rsid w:val="00B9468C"/>
    <w:rsid w:val="00B948C5"/>
    <w:rsid w:val="00B9569D"/>
    <w:rsid w:val="00B95D82"/>
    <w:rsid w:val="00B96B89"/>
    <w:rsid w:val="00B97C5D"/>
    <w:rsid w:val="00BA04EA"/>
    <w:rsid w:val="00BA0A9B"/>
    <w:rsid w:val="00BA13D3"/>
    <w:rsid w:val="00BA1A1C"/>
    <w:rsid w:val="00BA22B9"/>
    <w:rsid w:val="00BA33B1"/>
    <w:rsid w:val="00BA4498"/>
    <w:rsid w:val="00BA5753"/>
    <w:rsid w:val="00BA5C10"/>
    <w:rsid w:val="00BA6F6E"/>
    <w:rsid w:val="00BA733C"/>
    <w:rsid w:val="00BB1590"/>
    <w:rsid w:val="00BB1BEC"/>
    <w:rsid w:val="00BB3C09"/>
    <w:rsid w:val="00BB54D1"/>
    <w:rsid w:val="00BB567C"/>
    <w:rsid w:val="00BB6583"/>
    <w:rsid w:val="00BB6A59"/>
    <w:rsid w:val="00BB6F5A"/>
    <w:rsid w:val="00BB7605"/>
    <w:rsid w:val="00BC0FC8"/>
    <w:rsid w:val="00BC11E8"/>
    <w:rsid w:val="00BC13BE"/>
    <w:rsid w:val="00BC4661"/>
    <w:rsid w:val="00BC4CFC"/>
    <w:rsid w:val="00BC548F"/>
    <w:rsid w:val="00BC6DFD"/>
    <w:rsid w:val="00BC76E0"/>
    <w:rsid w:val="00BD1585"/>
    <w:rsid w:val="00BD19A5"/>
    <w:rsid w:val="00BD2923"/>
    <w:rsid w:val="00BD4593"/>
    <w:rsid w:val="00BD51DE"/>
    <w:rsid w:val="00BD6D30"/>
    <w:rsid w:val="00BE13BC"/>
    <w:rsid w:val="00BE154D"/>
    <w:rsid w:val="00BE1BA9"/>
    <w:rsid w:val="00BE31C9"/>
    <w:rsid w:val="00BE3C46"/>
    <w:rsid w:val="00BE5D2F"/>
    <w:rsid w:val="00BF1769"/>
    <w:rsid w:val="00BF36CE"/>
    <w:rsid w:val="00BF46D5"/>
    <w:rsid w:val="00BF56E4"/>
    <w:rsid w:val="00C02FA7"/>
    <w:rsid w:val="00C047E1"/>
    <w:rsid w:val="00C048AC"/>
    <w:rsid w:val="00C061A3"/>
    <w:rsid w:val="00C074D4"/>
    <w:rsid w:val="00C10D4A"/>
    <w:rsid w:val="00C10FC4"/>
    <w:rsid w:val="00C1110F"/>
    <w:rsid w:val="00C115DD"/>
    <w:rsid w:val="00C119A8"/>
    <w:rsid w:val="00C15E46"/>
    <w:rsid w:val="00C160C9"/>
    <w:rsid w:val="00C16C1F"/>
    <w:rsid w:val="00C17455"/>
    <w:rsid w:val="00C1773C"/>
    <w:rsid w:val="00C20F03"/>
    <w:rsid w:val="00C219FC"/>
    <w:rsid w:val="00C22DF0"/>
    <w:rsid w:val="00C2731F"/>
    <w:rsid w:val="00C3112D"/>
    <w:rsid w:val="00C314E3"/>
    <w:rsid w:val="00C325BB"/>
    <w:rsid w:val="00C34922"/>
    <w:rsid w:val="00C34F1A"/>
    <w:rsid w:val="00C407C4"/>
    <w:rsid w:val="00C409B9"/>
    <w:rsid w:val="00C40DD2"/>
    <w:rsid w:val="00C4134E"/>
    <w:rsid w:val="00C4269E"/>
    <w:rsid w:val="00C4311C"/>
    <w:rsid w:val="00C43167"/>
    <w:rsid w:val="00C44CFA"/>
    <w:rsid w:val="00C455BB"/>
    <w:rsid w:val="00C46569"/>
    <w:rsid w:val="00C46EEB"/>
    <w:rsid w:val="00C47731"/>
    <w:rsid w:val="00C52982"/>
    <w:rsid w:val="00C54739"/>
    <w:rsid w:val="00C57FA5"/>
    <w:rsid w:val="00C6039A"/>
    <w:rsid w:val="00C607EC"/>
    <w:rsid w:val="00C63EE0"/>
    <w:rsid w:val="00C6531C"/>
    <w:rsid w:val="00C66ACF"/>
    <w:rsid w:val="00C700EC"/>
    <w:rsid w:val="00C7050B"/>
    <w:rsid w:val="00C70C96"/>
    <w:rsid w:val="00C71837"/>
    <w:rsid w:val="00C72774"/>
    <w:rsid w:val="00C75A51"/>
    <w:rsid w:val="00C77B30"/>
    <w:rsid w:val="00C77CDA"/>
    <w:rsid w:val="00C801B0"/>
    <w:rsid w:val="00C820A3"/>
    <w:rsid w:val="00C82546"/>
    <w:rsid w:val="00C83BA4"/>
    <w:rsid w:val="00C8596C"/>
    <w:rsid w:val="00C907D8"/>
    <w:rsid w:val="00C90B9A"/>
    <w:rsid w:val="00C94152"/>
    <w:rsid w:val="00CA02A1"/>
    <w:rsid w:val="00CA1426"/>
    <w:rsid w:val="00CA5455"/>
    <w:rsid w:val="00CA56C7"/>
    <w:rsid w:val="00CB074B"/>
    <w:rsid w:val="00CB0D78"/>
    <w:rsid w:val="00CB2534"/>
    <w:rsid w:val="00CB4B2F"/>
    <w:rsid w:val="00CB5A9E"/>
    <w:rsid w:val="00CB5B6E"/>
    <w:rsid w:val="00CC09EE"/>
    <w:rsid w:val="00CC376B"/>
    <w:rsid w:val="00CC3A08"/>
    <w:rsid w:val="00CC5E77"/>
    <w:rsid w:val="00CC64F4"/>
    <w:rsid w:val="00CD09B0"/>
    <w:rsid w:val="00CD1396"/>
    <w:rsid w:val="00CD2A73"/>
    <w:rsid w:val="00CD37A2"/>
    <w:rsid w:val="00CD4128"/>
    <w:rsid w:val="00CD622D"/>
    <w:rsid w:val="00CD6B39"/>
    <w:rsid w:val="00CD7D1A"/>
    <w:rsid w:val="00CE041E"/>
    <w:rsid w:val="00CE2CBD"/>
    <w:rsid w:val="00CE3F14"/>
    <w:rsid w:val="00CE4009"/>
    <w:rsid w:val="00CE43BB"/>
    <w:rsid w:val="00CE4957"/>
    <w:rsid w:val="00CF047D"/>
    <w:rsid w:val="00CF0D80"/>
    <w:rsid w:val="00CF3994"/>
    <w:rsid w:val="00CF40B4"/>
    <w:rsid w:val="00CF49F6"/>
    <w:rsid w:val="00CF62EC"/>
    <w:rsid w:val="00CF74B0"/>
    <w:rsid w:val="00CF7676"/>
    <w:rsid w:val="00D04065"/>
    <w:rsid w:val="00D11A1D"/>
    <w:rsid w:val="00D13BCB"/>
    <w:rsid w:val="00D14962"/>
    <w:rsid w:val="00D14CA4"/>
    <w:rsid w:val="00D16EA8"/>
    <w:rsid w:val="00D17662"/>
    <w:rsid w:val="00D2190F"/>
    <w:rsid w:val="00D22AB8"/>
    <w:rsid w:val="00D23BEF"/>
    <w:rsid w:val="00D25ABB"/>
    <w:rsid w:val="00D25EBE"/>
    <w:rsid w:val="00D26F43"/>
    <w:rsid w:val="00D271CD"/>
    <w:rsid w:val="00D2733C"/>
    <w:rsid w:val="00D27552"/>
    <w:rsid w:val="00D3088A"/>
    <w:rsid w:val="00D32610"/>
    <w:rsid w:val="00D359C1"/>
    <w:rsid w:val="00D35B81"/>
    <w:rsid w:val="00D35E72"/>
    <w:rsid w:val="00D36098"/>
    <w:rsid w:val="00D3733C"/>
    <w:rsid w:val="00D40DA4"/>
    <w:rsid w:val="00D4113B"/>
    <w:rsid w:val="00D411E2"/>
    <w:rsid w:val="00D41F2E"/>
    <w:rsid w:val="00D4259F"/>
    <w:rsid w:val="00D42C0F"/>
    <w:rsid w:val="00D42E07"/>
    <w:rsid w:val="00D42EA6"/>
    <w:rsid w:val="00D446BC"/>
    <w:rsid w:val="00D44BA1"/>
    <w:rsid w:val="00D55D21"/>
    <w:rsid w:val="00D563D9"/>
    <w:rsid w:val="00D5658E"/>
    <w:rsid w:val="00D6115F"/>
    <w:rsid w:val="00D61389"/>
    <w:rsid w:val="00D61FD7"/>
    <w:rsid w:val="00D6245B"/>
    <w:rsid w:val="00D63F78"/>
    <w:rsid w:val="00D64D08"/>
    <w:rsid w:val="00D65B21"/>
    <w:rsid w:val="00D6661E"/>
    <w:rsid w:val="00D67FC7"/>
    <w:rsid w:val="00D70E3B"/>
    <w:rsid w:val="00D71F14"/>
    <w:rsid w:val="00D72E5F"/>
    <w:rsid w:val="00D74C88"/>
    <w:rsid w:val="00D76C36"/>
    <w:rsid w:val="00D77307"/>
    <w:rsid w:val="00D779BC"/>
    <w:rsid w:val="00D804FA"/>
    <w:rsid w:val="00D80C8F"/>
    <w:rsid w:val="00D82BB5"/>
    <w:rsid w:val="00D82C0D"/>
    <w:rsid w:val="00D83C35"/>
    <w:rsid w:val="00D86FB2"/>
    <w:rsid w:val="00D87AC9"/>
    <w:rsid w:val="00D91BFB"/>
    <w:rsid w:val="00DA0A57"/>
    <w:rsid w:val="00DA17E2"/>
    <w:rsid w:val="00DA35A5"/>
    <w:rsid w:val="00DA4519"/>
    <w:rsid w:val="00DA5794"/>
    <w:rsid w:val="00DA7ED7"/>
    <w:rsid w:val="00DB4355"/>
    <w:rsid w:val="00DB4CD1"/>
    <w:rsid w:val="00DB5193"/>
    <w:rsid w:val="00DC202F"/>
    <w:rsid w:val="00DC5CC3"/>
    <w:rsid w:val="00DC63C8"/>
    <w:rsid w:val="00DC752B"/>
    <w:rsid w:val="00DC7D79"/>
    <w:rsid w:val="00DD08D2"/>
    <w:rsid w:val="00DD0D08"/>
    <w:rsid w:val="00DD1FC0"/>
    <w:rsid w:val="00DD3393"/>
    <w:rsid w:val="00DD3AE1"/>
    <w:rsid w:val="00DD52A6"/>
    <w:rsid w:val="00DD622E"/>
    <w:rsid w:val="00DD65ED"/>
    <w:rsid w:val="00DD7B1C"/>
    <w:rsid w:val="00DD7C58"/>
    <w:rsid w:val="00DE170B"/>
    <w:rsid w:val="00DE297D"/>
    <w:rsid w:val="00DE339B"/>
    <w:rsid w:val="00DE414E"/>
    <w:rsid w:val="00DE472D"/>
    <w:rsid w:val="00DE533C"/>
    <w:rsid w:val="00DE6811"/>
    <w:rsid w:val="00DF26E2"/>
    <w:rsid w:val="00DF2B24"/>
    <w:rsid w:val="00DF4974"/>
    <w:rsid w:val="00DF4E12"/>
    <w:rsid w:val="00DF6AAF"/>
    <w:rsid w:val="00DF78C9"/>
    <w:rsid w:val="00E0591C"/>
    <w:rsid w:val="00E05B0D"/>
    <w:rsid w:val="00E07317"/>
    <w:rsid w:val="00E109EA"/>
    <w:rsid w:val="00E12837"/>
    <w:rsid w:val="00E208F8"/>
    <w:rsid w:val="00E237FE"/>
    <w:rsid w:val="00E25D1D"/>
    <w:rsid w:val="00E27D2C"/>
    <w:rsid w:val="00E27D84"/>
    <w:rsid w:val="00E27DB6"/>
    <w:rsid w:val="00E302E6"/>
    <w:rsid w:val="00E30994"/>
    <w:rsid w:val="00E32040"/>
    <w:rsid w:val="00E3330A"/>
    <w:rsid w:val="00E34D4A"/>
    <w:rsid w:val="00E3502A"/>
    <w:rsid w:val="00E36E12"/>
    <w:rsid w:val="00E40704"/>
    <w:rsid w:val="00E41496"/>
    <w:rsid w:val="00E43F63"/>
    <w:rsid w:val="00E45AA5"/>
    <w:rsid w:val="00E50A90"/>
    <w:rsid w:val="00E52CE6"/>
    <w:rsid w:val="00E54614"/>
    <w:rsid w:val="00E574FB"/>
    <w:rsid w:val="00E64443"/>
    <w:rsid w:val="00E661E8"/>
    <w:rsid w:val="00E66358"/>
    <w:rsid w:val="00E705B9"/>
    <w:rsid w:val="00E73DB3"/>
    <w:rsid w:val="00E75F9F"/>
    <w:rsid w:val="00E76EF9"/>
    <w:rsid w:val="00E82D97"/>
    <w:rsid w:val="00E8316A"/>
    <w:rsid w:val="00E86154"/>
    <w:rsid w:val="00E86885"/>
    <w:rsid w:val="00E87149"/>
    <w:rsid w:val="00E87593"/>
    <w:rsid w:val="00E87A5D"/>
    <w:rsid w:val="00E9253C"/>
    <w:rsid w:val="00E95799"/>
    <w:rsid w:val="00E97012"/>
    <w:rsid w:val="00E97250"/>
    <w:rsid w:val="00E973CC"/>
    <w:rsid w:val="00EA4DB6"/>
    <w:rsid w:val="00EA5EAB"/>
    <w:rsid w:val="00EA60E7"/>
    <w:rsid w:val="00EA768E"/>
    <w:rsid w:val="00EB0C32"/>
    <w:rsid w:val="00EB35AC"/>
    <w:rsid w:val="00EB454A"/>
    <w:rsid w:val="00EB555E"/>
    <w:rsid w:val="00EB7F0C"/>
    <w:rsid w:val="00EC0948"/>
    <w:rsid w:val="00EC35DD"/>
    <w:rsid w:val="00EC4134"/>
    <w:rsid w:val="00EC5C65"/>
    <w:rsid w:val="00EC5D8F"/>
    <w:rsid w:val="00EC6060"/>
    <w:rsid w:val="00EC66E4"/>
    <w:rsid w:val="00EC6784"/>
    <w:rsid w:val="00EC6960"/>
    <w:rsid w:val="00EC7072"/>
    <w:rsid w:val="00EC7499"/>
    <w:rsid w:val="00EC74DE"/>
    <w:rsid w:val="00ED1E07"/>
    <w:rsid w:val="00ED48C9"/>
    <w:rsid w:val="00ED605B"/>
    <w:rsid w:val="00ED6AC3"/>
    <w:rsid w:val="00ED79DD"/>
    <w:rsid w:val="00ED7B7F"/>
    <w:rsid w:val="00EE4D79"/>
    <w:rsid w:val="00EE4E87"/>
    <w:rsid w:val="00EF1A41"/>
    <w:rsid w:val="00EF79AA"/>
    <w:rsid w:val="00EF7AEA"/>
    <w:rsid w:val="00F017DE"/>
    <w:rsid w:val="00F033B5"/>
    <w:rsid w:val="00F04403"/>
    <w:rsid w:val="00F046AF"/>
    <w:rsid w:val="00F06A46"/>
    <w:rsid w:val="00F07ACA"/>
    <w:rsid w:val="00F07DC7"/>
    <w:rsid w:val="00F10F58"/>
    <w:rsid w:val="00F11FAA"/>
    <w:rsid w:val="00F12D45"/>
    <w:rsid w:val="00F13D38"/>
    <w:rsid w:val="00F13E9A"/>
    <w:rsid w:val="00F148F3"/>
    <w:rsid w:val="00F14F27"/>
    <w:rsid w:val="00F14F7B"/>
    <w:rsid w:val="00F22E8F"/>
    <w:rsid w:val="00F257BA"/>
    <w:rsid w:val="00F308E2"/>
    <w:rsid w:val="00F30947"/>
    <w:rsid w:val="00F31AE5"/>
    <w:rsid w:val="00F32849"/>
    <w:rsid w:val="00F33E77"/>
    <w:rsid w:val="00F37089"/>
    <w:rsid w:val="00F377F5"/>
    <w:rsid w:val="00F4209D"/>
    <w:rsid w:val="00F44062"/>
    <w:rsid w:val="00F45799"/>
    <w:rsid w:val="00F46CA0"/>
    <w:rsid w:val="00F528E1"/>
    <w:rsid w:val="00F53373"/>
    <w:rsid w:val="00F53BC8"/>
    <w:rsid w:val="00F55288"/>
    <w:rsid w:val="00F55651"/>
    <w:rsid w:val="00F615E2"/>
    <w:rsid w:val="00F63337"/>
    <w:rsid w:val="00F63AB5"/>
    <w:rsid w:val="00F67CCF"/>
    <w:rsid w:val="00F70E97"/>
    <w:rsid w:val="00F71030"/>
    <w:rsid w:val="00F71523"/>
    <w:rsid w:val="00F72251"/>
    <w:rsid w:val="00F7355B"/>
    <w:rsid w:val="00F74DAC"/>
    <w:rsid w:val="00F77811"/>
    <w:rsid w:val="00F80C52"/>
    <w:rsid w:val="00F81749"/>
    <w:rsid w:val="00F82A80"/>
    <w:rsid w:val="00F82F3C"/>
    <w:rsid w:val="00F830CE"/>
    <w:rsid w:val="00F83A36"/>
    <w:rsid w:val="00F84B03"/>
    <w:rsid w:val="00F85C2F"/>
    <w:rsid w:val="00F86F27"/>
    <w:rsid w:val="00F87FD2"/>
    <w:rsid w:val="00F93C52"/>
    <w:rsid w:val="00F95B6E"/>
    <w:rsid w:val="00F97604"/>
    <w:rsid w:val="00FA005E"/>
    <w:rsid w:val="00FA01DA"/>
    <w:rsid w:val="00FA034E"/>
    <w:rsid w:val="00FA0578"/>
    <w:rsid w:val="00FA10F6"/>
    <w:rsid w:val="00FA1589"/>
    <w:rsid w:val="00FA165D"/>
    <w:rsid w:val="00FA2614"/>
    <w:rsid w:val="00FA3239"/>
    <w:rsid w:val="00FA3857"/>
    <w:rsid w:val="00FA3BA3"/>
    <w:rsid w:val="00FA40ED"/>
    <w:rsid w:val="00FA448B"/>
    <w:rsid w:val="00FA7EC9"/>
    <w:rsid w:val="00FB0846"/>
    <w:rsid w:val="00FB4005"/>
    <w:rsid w:val="00FB5EF8"/>
    <w:rsid w:val="00FB7078"/>
    <w:rsid w:val="00FB7670"/>
    <w:rsid w:val="00FC146A"/>
    <w:rsid w:val="00FC217D"/>
    <w:rsid w:val="00FC3C18"/>
    <w:rsid w:val="00FC4C3E"/>
    <w:rsid w:val="00FC58AC"/>
    <w:rsid w:val="00FC5A13"/>
    <w:rsid w:val="00FC5B46"/>
    <w:rsid w:val="00FC5D81"/>
    <w:rsid w:val="00FD0535"/>
    <w:rsid w:val="00FD0D66"/>
    <w:rsid w:val="00FD13ED"/>
    <w:rsid w:val="00FD285B"/>
    <w:rsid w:val="00FD29AA"/>
    <w:rsid w:val="00FD6A32"/>
    <w:rsid w:val="00FD6C1F"/>
    <w:rsid w:val="00FE0083"/>
    <w:rsid w:val="00FE1C66"/>
    <w:rsid w:val="00FE2979"/>
    <w:rsid w:val="00FE2C50"/>
    <w:rsid w:val="00FE335A"/>
    <w:rsid w:val="00FE467F"/>
    <w:rsid w:val="00FE4F08"/>
    <w:rsid w:val="00FE50F5"/>
    <w:rsid w:val="00FF0C5F"/>
    <w:rsid w:val="00FF0D82"/>
    <w:rsid w:val="00FF1A28"/>
    <w:rsid w:val="00FF36E1"/>
    <w:rsid w:val="00FF441D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33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List Bullet" w:uiPriority="13" w:qFormat="1"/>
    <w:lsdException w:name="List Number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nhideWhenUsed="0" w:qFormat="1"/>
    <w:lsdException w:name="Default Paragraph Font" w:uiPriority="1"/>
    <w:lsdException w:name="Body Text" w:qFormat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Subtitle" w:semiHidden="0" w:uiPriority="11" w:unhideWhenUsed="0" w:qFormat="1"/>
    <w:lsdException w:name="Block Text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6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rsid w:val="00E07317"/>
    <w:rPr>
      <w:lang w:val="cs-CZ"/>
    </w:rPr>
  </w:style>
  <w:style w:type="paragraph" w:styleId="Nadpis1">
    <w:name w:val="heading 1"/>
    <w:basedOn w:val="Normln"/>
    <w:next w:val="Nadpis2"/>
    <w:link w:val="Nadpis1Char1"/>
    <w:uiPriority w:val="99"/>
    <w:qFormat/>
    <w:rsid w:val="00AA1532"/>
    <w:pPr>
      <w:keepNext/>
      <w:keepLines/>
      <w:numPr>
        <w:numId w:val="8"/>
      </w:numPr>
      <w:spacing w:after="480" w:line="600" w:lineRule="atLeast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Nadpis2">
    <w:name w:val="heading 2"/>
    <w:basedOn w:val="Normln"/>
    <w:next w:val="Zkladntext"/>
    <w:link w:val="Nadpis2Char1"/>
    <w:uiPriority w:val="99"/>
    <w:unhideWhenUsed/>
    <w:qFormat/>
    <w:rsid w:val="00DE297D"/>
    <w:pPr>
      <w:keepNext/>
      <w:keepLines/>
      <w:numPr>
        <w:ilvl w:val="1"/>
        <w:numId w:val="8"/>
      </w:numPr>
      <w:spacing w:before="36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paragraph" w:styleId="Nadpis3">
    <w:name w:val="heading 3"/>
    <w:basedOn w:val="Normln"/>
    <w:next w:val="Zkladntext"/>
    <w:link w:val="Nadpis3Char1"/>
    <w:uiPriority w:val="99"/>
    <w:unhideWhenUsed/>
    <w:qFormat/>
    <w:rsid w:val="001C6960"/>
    <w:pPr>
      <w:keepNext/>
      <w:keepLines/>
      <w:numPr>
        <w:ilvl w:val="2"/>
        <w:numId w:val="8"/>
      </w:numPr>
      <w:spacing w:before="240" w:line="240" w:lineRule="auto"/>
      <w:outlineLvl w:val="2"/>
    </w:pPr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paragraph" w:styleId="Nadpis4">
    <w:name w:val="heading 4"/>
    <w:basedOn w:val="Normln"/>
    <w:next w:val="Zkladntext"/>
    <w:link w:val="Nadpis4Char1"/>
    <w:uiPriority w:val="99"/>
    <w:unhideWhenUsed/>
    <w:qFormat/>
    <w:rsid w:val="00B1050E"/>
    <w:pPr>
      <w:keepNext/>
      <w:keepLines/>
      <w:numPr>
        <w:ilvl w:val="3"/>
        <w:numId w:val="8"/>
      </w:numPr>
      <w:spacing w:after="120" w:line="240" w:lineRule="auto"/>
      <w:outlineLvl w:val="3"/>
    </w:pPr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paragraph" w:styleId="Nadpis5">
    <w:name w:val="heading 5"/>
    <w:basedOn w:val="Normln"/>
    <w:next w:val="Zkladntext"/>
    <w:link w:val="Nadpis5Char1"/>
    <w:uiPriority w:val="99"/>
    <w:unhideWhenUsed/>
    <w:qFormat/>
    <w:rsid w:val="000D1F6B"/>
    <w:pPr>
      <w:keepNext/>
      <w:keepLines/>
      <w:numPr>
        <w:ilvl w:val="4"/>
        <w:numId w:val="8"/>
      </w:numPr>
      <w:spacing w:after="120" w:line="240" w:lineRule="auto"/>
      <w:outlineLvl w:val="4"/>
    </w:pPr>
    <w:rPr>
      <w:rFonts w:asciiTheme="majorHAnsi" w:eastAsiaTheme="majorEastAsia" w:hAnsiTheme="majorHAnsi" w:cstheme="majorBidi"/>
      <w:color w:val="DC6900" w:themeColor="text2"/>
    </w:rPr>
  </w:style>
  <w:style w:type="paragraph" w:styleId="Nadpis6">
    <w:name w:val="heading 6"/>
    <w:basedOn w:val="Normln"/>
    <w:next w:val="Normln"/>
    <w:link w:val="Nadpis6Char1"/>
    <w:uiPriority w:val="99"/>
    <w:unhideWhenUsed/>
    <w:qFormat/>
    <w:rsid w:val="00E07317"/>
    <w:pPr>
      <w:keepNext/>
      <w:keepLines/>
      <w:numPr>
        <w:ilvl w:val="5"/>
        <w:numId w:val="8"/>
      </w:numPr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Nadpis7">
    <w:name w:val="heading 7"/>
    <w:basedOn w:val="Normln"/>
    <w:next w:val="Normln"/>
    <w:link w:val="Nadpis7Char1"/>
    <w:uiPriority w:val="99"/>
    <w:unhideWhenUsed/>
    <w:qFormat/>
    <w:rsid w:val="00E07317"/>
    <w:pPr>
      <w:keepNext/>
      <w:keepLines/>
      <w:numPr>
        <w:ilvl w:val="6"/>
        <w:numId w:val="8"/>
      </w:numPr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Nadpis8">
    <w:name w:val="heading 8"/>
    <w:basedOn w:val="Normln"/>
    <w:next w:val="Normln"/>
    <w:link w:val="Nadpis8Char1"/>
    <w:uiPriority w:val="99"/>
    <w:unhideWhenUsed/>
    <w:qFormat/>
    <w:rsid w:val="00E07317"/>
    <w:pPr>
      <w:keepNext/>
      <w:keepLines/>
      <w:numPr>
        <w:ilvl w:val="7"/>
        <w:numId w:val="8"/>
      </w:numPr>
      <w:spacing w:after="40" w:line="240" w:lineRule="auto"/>
      <w:outlineLvl w:val="7"/>
    </w:pPr>
    <w:rPr>
      <w:rFonts w:asciiTheme="majorHAnsi" w:eastAsiaTheme="majorEastAsia" w:hAnsiTheme="majorHAnsi" w:cstheme="majorBidi"/>
      <w:color w:val="DC6900" w:themeColor="text2"/>
    </w:rPr>
  </w:style>
  <w:style w:type="paragraph" w:styleId="Nadpis9">
    <w:name w:val="heading 9"/>
    <w:basedOn w:val="Normln"/>
    <w:next w:val="Normln"/>
    <w:link w:val="Nadpis9Char1"/>
    <w:uiPriority w:val="99"/>
    <w:unhideWhenUsed/>
    <w:qFormat/>
    <w:rsid w:val="00E07317"/>
    <w:pPr>
      <w:keepNext/>
      <w:keepLines/>
      <w:numPr>
        <w:ilvl w:val="8"/>
        <w:numId w:val="8"/>
      </w:numPr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DC6900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uiPriority w:val="99"/>
    <w:unhideWhenUsed/>
    <w:qFormat/>
    <w:rsid w:val="00DE297D"/>
    <w:pPr>
      <w:jc w:val="both"/>
    </w:pPr>
  </w:style>
  <w:style w:type="character" w:customStyle="1" w:styleId="ZkladntextChar1">
    <w:name w:val="Základní text Char1"/>
    <w:basedOn w:val="Standardnpsmoodstavce"/>
    <w:link w:val="Zkladntext"/>
    <w:uiPriority w:val="99"/>
    <w:rsid w:val="00DE297D"/>
    <w:rPr>
      <w:lang w:val="cs-CZ"/>
    </w:rPr>
  </w:style>
  <w:style w:type="paragraph" w:customStyle="1" w:styleId="BodySingle">
    <w:name w:val="Body Single"/>
    <w:basedOn w:val="Zkladntext"/>
    <w:link w:val="BodySingleChar"/>
    <w:qFormat/>
    <w:rsid w:val="00E07317"/>
    <w:pPr>
      <w:spacing w:after="0"/>
    </w:pPr>
  </w:style>
  <w:style w:type="paragraph" w:styleId="Zhlav">
    <w:name w:val="header"/>
    <w:basedOn w:val="Normln"/>
    <w:link w:val="ZhlavChar1"/>
    <w:uiPriority w:val="99"/>
    <w:unhideWhenUsed/>
    <w:rsid w:val="00E07317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ZkladntextChar1"/>
    <w:link w:val="BodySingle"/>
    <w:rsid w:val="00E07317"/>
    <w:rPr>
      <w:lang w:val="cs-CZ"/>
    </w:rPr>
  </w:style>
  <w:style w:type="character" w:customStyle="1" w:styleId="ZhlavChar1">
    <w:name w:val="Záhlaví Char1"/>
    <w:basedOn w:val="Standardnpsmoodstavce"/>
    <w:link w:val="Zhlav"/>
    <w:uiPriority w:val="99"/>
    <w:rsid w:val="00E07317"/>
    <w:rPr>
      <w:rFonts w:asciiTheme="minorHAnsi" w:hAnsiTheme="minorHAnsi"/>
      <w:sz w:val="19"/>
    </w:rPr>
  </w:style>
  <w:style w:type="paragraph" w:styleId="Zpat">
    <w:name w:val="footer"/>
    <w:basedOn w:val="Normln"/>
    <w:link w:val="ZpatChar1"/>
    <w:uiPriority w:val="99"/>
    <w:unhideWhenUsed/>
    <w:rsid w:val="00E07317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ZpatChar1">
    <w:name w:val="Zápatí Char1"/>
    <w:basedOn w:val="Standardnpsmoodstavce"/>
    <w:link w:val="Zpat"/>
    <w:uiPriority w:val="99"/>
    <w:rsid w:val="00E07317"/>
    <w:rPr>
      <w:rFonts w:asciiTheme="minorHAnsi" w:hAnsiTheme="minorHAnsi"/>
      <w:sz w:val="19"/>
    </w:rPr>
  </w:style>
  <w:style w:type="character" w:customStyle="1" w:styleId="Nadpis1Char1">
    <w:name w:val="Nadpis 1 Char1"/>
    <w:basedOn w:val="Standardnpsmoodstavce"/>
    <w:link w:val="Nadpis1"/>
    <w:uiPriority w:val="99"/>
    <w:rsid w:val="00AA1532"/>
    <w:rPr>
      <w:rFonts w:asciiTheme="majorHAnsi" w:eastAsiaTheme="majorEastAsia" w:hAnsiTheme="majorHAnsi" w:cstheme="majorBidi"/>
      <w:b/>
      <w:bCs/>
      <w:i/>
      <w:sz w:val="56"/>
      <w:szCs w:val="28"/>
      <w:lang w:val="cs-CZ"/>
    </w:rPr>
  </w:style>
  <w:style w:type="character" w:customStyle="1" w:styleId="Nadpis2Char1">
    <w:name w:val="Nadpis 2 Char1"/>
    <w:basedOn w:val="Standardnpsmoodstavce"/>
    <w:link w:val="Nadpis2"/>
    <w:uiPriority w:val="99"/>
    <w:rsid w:val="00DE297D"/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  <w:lang w:val="cs-CZ"/>
    </w:rPr>
  </w:style>
  <w:style w:type="character" w:customStyle="1" w:styleId="Nadpis3Char1">
    <w:name w:val="Nadpis 3 Char1"/>
    <w:basedOn w:val="Standardnpsmoodstavce"/>
    <w:link w:val="Nadpis3"/>
    <w:uiPriority w:val="99"/>
    <w:rsid w:val="001C6960"/>
    <w:rPr>
      <w:rFonts w:asciiTheme="majorHAnsi" w:eastAsiaTheme="majorEastAsia" w:hAnsiTheme="majorHAnsi" w:cstheme="majorBidi"/>
      <w:bCs/>
      <w:i/>
      <w:color w:val="DC6900" w:themeColor="text2"/>
      <w:sz w:val="32"/>
      <w:lang w:val="cs-CZ"/>
    </w:rPr>
  </w:style>
  <w:style w:type="character" w:customStyle="1" w:styleId="Nadpis4Char1">
    <w:name w:val="Nadpis 4 Char1"/>
    <w:basedOn w:val="Standardnpsmoodstavce"/>
    <w:link w:val="Nadpis4"/>
    <w:uiPriority w:val="99"/>
    <w:rsid w:val="00B1050E"/>
    <w:rPr>
      <w:rFonts w:asciiTheme="majorHAnsi" w:eastAsiaTheme="majorEastAsia" w:hAnsiTheme="majorHAnsi" w:cstheme="majorBidi"/>
      <w:bCs/>
      <w:iCs/>
      <w:color w:val="DC6900" w:themeColor="text2"/>
      <w:sz w:val="32"/>
      <w:lang w:val="cs-CZ"/>
    </w:rPr>
  </w:style>
  <w:style w:type="character" w:customStyle="1" w:styleId="Nadpis5Char1">
    <w:name w:val="Nadpis 5 Char1"/>
    <w:basedOn w:val="Standardnpsmoodstavce"/>
    <w:link w:val="Nadpis5"/>
    <w:uiPriority w:val="99"/>
    <w:rsid w:val="000D1F6B"/>
    <w:rPr>
      <w:rFonts w:asciiTheme="majorHAnsi" w:eastAsiaTheme="majorEastAsia" w:hAnsiTheme="majorHAnsi" w:cstheme="majorBidi"/>
      <w:color w:val="DC6900" w:themeColor="text2"/>
      <w:lang w:val="cs-CZ"/>
    </w:rPr>
  </w:style>
  <w:style w:type="paragraph" w:styleId="Nzev">
    <w:name w:val="Title"/>
    <w:basedOn w:val="Normln"/>
    <w:next w:val="Podtitul"/>
    <w:link w:val="NzevChar1"/>
    <w:uiPriority w:val="99"/>
    <w:qFormat/>
    <w:rsid w:val="00E07317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NzevChar1">
    <w:name w:val="Název Char1"/>
    <w:basedOn w:val="Standardnpsmoodstavce"/>
    <w:link w:val="Nzev"/>
    <w:uiPriority w:val="99"/>
    <w:rsid w:val="00E07317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E07317"/>
    <w:pPr>
      <w:outlineLvl w:val="9"/>
    </w:pPr>
    <w:rPr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E07317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07317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E973CC"/>
    <w:pPr>
      <w:pBdr>
        <w:top w:val="single" w:sz="8" w:space="4" w:color="DC6900" w:themeColor="text2"/>
      </w:pBdr>
      <w:tabs>
        <w:tab w:val="right" w:leader="dot" w:pos="9062"/>
      </w:tabs>
      <w:spacing w:before="120" w:after="120"/>
      <w:ind w:left="284" w:hanging="284"/>
    </w:pPr>
  </w:style>
  <w:style w:type="paragraph" w:styleId="Obsah2">
    <w:name w:val="toc 2"/>
    <w:basedOn w:val="Normln"/>
    <w:next w:val="Normln"/>
    <w:autoRedefine/>
    <w:uiPriority w:val="39"/>
    <w:unhideWhenUsed/>
    <w:rsid w:val="00E07317"/>
    <w:pPr>
      <w:pBdr>
        <w:top w:val="dotted" w:sz="8" w:space="4" w:color="DC6900" w:themeColor="text2"/>
      </w:pBdr>
      <w:spacing w:before="120" w:after="120"/>
      <w:ind w:left="284" w:hanging="284"/>
    </w:pPr>
  </w:style>
  <w:style w:type="paragraph" w:styleId="Obsah3">
    <w:name w:val="toc 3"/>
    <w:basedOn w:val="Normln"/>
    <w:next w:val="Normln"/>
    <w:autoRedefine/>
    <w:uiPriority w:val="39"/>
    <w:unhideWhenUsed/>
    <w:rsid w:val="00E07317"/>
    <w:pPr>
      <w:spacing w:before="120" w:after="120"/>
      <w:ind w:left="568" w:hanging="284"/>
    </w:pPr>
  </w:style>
  <w:style w:type="character" w:styleId="Hypertextovodkaz">
    <w:name w:val="Hyperlink"/>
    <w:basedOn w:val="Standardnpsmoodstavce"/>
    <w:uiPriority w:val="99"/>
    <w:unhideWhenUsed/>
    <w:rsid w:val="00E073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317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13"/>
    <w:unhideWhenUsed/>
    <w:qFormat/>
    <w:rsid w:val="00046C07"/>
    <w:pPr>
      <w:numPr>
        <w:numId w:val="4"/>
      </w:numPr>
      <w:spacing w:after="120"/>
    </w:pPr>
  </w:style>
  <w:style w:type="numbering" w:customStyle="1" w:styleId="PwCListBullets1">
    <w:name w:val="PwC List Bullets 1"/>
    <w:uiPriority w:val="99"/>
    <w:rsid w:val="00E07317"/>
    <w:pPr>
      <w:numPr>
        <w:numId w:val="1"/>
      </w:numPr>
    </w:pPr>
  </w:style>
  <w:style w:type="numbering" w:customStyle="1" w:styleId="PwCListNumbers1">
    <w:name w:val="PwC List Numbers 1"/>
    <w:uiPriority w:val="99"/>
    <w:rsid w:val="00E07317"/>
    <w:pPr>
      <w:numPr>
        <w:numId w:val="2"/>
      </w:numPr>
    </w:pPr>
  </w:style>
  <w:style w:type="paragraph" w:styleId="slovanseznam">
    <w:name w:val="List Number"/>
    <w:basedOn w:val="Normln"/>
    <w:uiPriority w:val="13"/>
    <w:unhideWhenUsed/>
    <w:qFormat/>
    <w:rsid w:val="00E07317"/>
    <w:pPr>
      <w:numPr>
        <w:numId w:val="3"/>
      </w:numPr>
      <w:contextualSpacing/>
    </w:pPr>
  </w:style>
  <w:style w:type="paragraph" w:styleId="Seznamsodrkami2">
    <w:name w:val="List Bullet 2"/>
    <w:basedOn w:val="Normln"/>
    <w:uiPriority w:val="13"/>
    <w:unhideWhenUsed/>
    <w:qFormat/>
    <w:rsid w:val="001B2AE1"/>
    <w:pPr>
      <w:numPr>
        <w:ilvl w:val="1"/>
        <w:numId w:val="4"/>
      </w:numPr>
      <w:ind w:left="992" w:hanging="425"/>
      <w:contextualSpacing/>
    </w:pPr>
  </w:style>
  <w:style w:type="paragraph" w:styleId="Seznamsodrkami3">
    <w:name w:val="List Bullet 3"/>
    <w:basedOn w:val="Normln"/>
    <w:uiPriority w:val="13"/>
    <w:unhideWhenUsed/>
    <w:qFormat/>
    <w:rsid w:val="00E07317"/>
    <w:pPr>
      <w:numPr>
        <w:ilvl w:val="2"/>
        <w:numId w:val="4"/>
      </w:numPr>
      <w:contextualSpacing/>
    </w:pPr>
  </w:style>
  <w:style w:type="paragraph" w:styleId="Seznamsodrkami4">
    <w:name w:val="List Bullet 4"/>
    <w:basedOn w:val="Normln"/>
    <w:uiPriority w:val="13"/>
    <w:unhideWhenUsed/>
    <w:rsid w:val="00E07317"/>
    <w:pPr>
      <w:numPr>
        <w:ilvl w:val="3"/>
        <w:numId w:val="4"/>
      </w:numPr>
      <w:contextualSpacing/>
    </w:pPr>
  </w:style>
  <w:style w:type="paragraph" w:styleId="Seznamsodrkami5">
    <w:name w:val="List Bullet 5"/>
    <w:basedOn w:val="Normln"/>
    <w:uiPriority w:val="13"/>
    <w:unhideWhenUsed/>
    <w:rsid w:val="00E07317"/>
    <w:pPr>
      <w:numPr>
        <w:ilvl w:val="4"/>
        <w:numId w:val="4"/>
      </w:numPr>
      <w:contextualSpacing/>
    </w:pPr>
  </w:style>
  <w:style w:type="paragraph" w:styleId="slovanseznam2">
    <w:name w:val="List Number 2"/>
    <w:basedOn w:val="Normln"/>
    <w:uiPriority w:val="13"/>
    <w:unhideWhenUsed/>
    <w:qFormat/>
    <w:rsid w:val="00E07317"/>
    <w:pPr>
      <w:numPr>
        <w:ilvl w:val="1"/>
        <w:numId w:val="3"/>
      </w:numPr>
      <w:contextualSpacing/>
    </w:pPr>
  </w:style>
  <w:style w:type="paragraph" w:styleId="slovanseznam3">
    <w:name w:val="List Number 3"/>
    <w:basedOn w:val="Normln"/>
    <w:uiPriority w:val="13"/>
    <w:unhideWhenUsed/>
    <w:qFormat/>
    <w:rsid w:val="00E07317"/>
    <w:pPr>
      <w:numPr>
        <w:ilvl w:val="2"/>
        <w:numId w:val="3"/>
      </w:numPr>
      <w:contextualSpacing/>
    </w:pPr>
  </w:style>
  <w:style w:type="paragraph" w:styleId="slovanseznam4">
    <w:name w:val="List Number 4"/>
    <w:basedOn w:val="Normln"/>
    <w:uiPriority w:val="13"/>
    <w:unhideWhenUsed/>
    <w:rsid w:val="00E07317"/>
    <w:pPr>
      <w:numPr>
        <w:ilvl w:val="3"/>
        <w:numId w:val="3"/>
      </w:numPr>
      <w:contextualSpacing/>
    </w:pPr>
  </w:style>
  <w:style w:type="paragraph" w:styleId="slovanseznam5">
    <w:name w:val="List Number 5"/>
    <w:basedOn w:val="Normln"/>
    <w:uiPriority w:val="13"/>
    <w:unhideWhenUsed/>
    <w:rsid w:val="00E07317"/>
    <w:pPr>
      <w:numPr>
        <w:ilvl w:val="4"/>
        <w:numId w:val="3"/>
      </w:numPr>
      <w:contextualSpacing/>
    </w:pPr>
  </w:style>
  <w:style w:type="paragraph" w:styleId="Seznam">
    <w:name w:val="List"/>
    <w:basedOn w:val="Normln"/>
    <w:uiPriority w:val="99"/>
    <w:semiHidden/>
    <w:unhideWhenUsed/>
    <w:rsid w:val="00E07317"/>
    <w:pPr>
      <w:ind w:left="567" w:hanging="567"/>
      <w:contextualSpacing/>
    </w:pPr>
  </w:style>
  <w:style w:type="paragraph" w:styleId="Seznam2">
    <w:name w:val="List 2"/>
    <w:basedOn w:val="Normln"/>
    <w:uiPriority w:val="99"/>
    <w:semiHidden/>
    <w:unhideWhenUsed/>
    <w:rsid w:val="00E07317"/>
    <w:pPr>
      <w:ind w:left="1134" w:hanging="567"/>
      <w:contextualSpacing/>
    </w:pPr>
  </w:style>
  <w:style w:type="paragraph" w:styleId="Pokraovnseznamu">
    <w:name w:val="List Continue"/>
    <w:basedOn w:val="Normln"/>
    <w:uiPriority w:val="14"/>
    <w:unhideWhenUsed/>
    <w:qFormat/>
    <w:rsid w:val="00E07317"/>
    <w:pPr>
      <w:spacing w:after="120"/>
      <w:ind w:left="567"/>
      <w:contextualSpacing/>
    </w:pPr>
  </w:style>
  <w:style w:type="paragraph" w:styleId="Pokraovnseznamu2">
    <w:name w:val="List Continue 2"/>
    <w:basedOn w:val="Normln"/>
    <w:uiPriority w:val="14"/>
    <w:unhideWhenUsed/>
    <w:qFormat/>
    <w:rsid w:val="00E07317"/>
    <w:pPr>
      <w:spacing w:after="120"/>
      <w:ind w:left="1134"/>
      <w:contextualSpacing/>
    </w:pPr>
  </w:style>
  <w:style w:type="paragraph" w:styleId="Pokraovnseznamu3">
    <w:name w:val="List Continue 3"/>
    <w:basedOn w:val="Normln"/>
    <w:uiPriority w:val="14"/>
    <w:unhideWhenUsed/>
    <w:qFormat/>
    <w:rsid w:val="00E07317"/>
    <w:pPr>
      <w:spacing w:after="120"/>
      <w:ind w:left="1701"/>
      <w:contextualSpacing/>
    </w:pPr>
  </w:style>
  <w:style w:type="paragraph" w:styleId="Pokraovnseznamu4">
    <w:name w:val="List Continue 4"/>
    <w:basedOn w:val="Normln"/>
    <w:uiPriority w:val="14"/>
    <w:semiHidden/>
    <w:unhideWhenUsed/>
    <w:rsid w:val="00E07317"/>
    <w:pPr>
      <w:spacing w:after="120"/>
      <w:ind w:left="2268"/>
      <w:contextualSpacing/>
    </w:pPr>
  </w:style>
  <w:style w:type="paragraph" w:styleId="Pokraovnseznamu5">
    <w:name w:val="List Continue 5"/>
    <w:basedOn w:val="Normln"/>
    <w:uiPriority w:val="14"/>
    <w:semiHidden/>
    <w:unhideWhenUsed/>
    <w:rsid w:val="00E07317"/>
    <w:pPr>
      <w:spacing w:after="120"/>
      <w:ind w:left="2835"/>
      <w:contextualSpacing/>
    </w:pPr>
  </w:style>
  <w:style w:type="paragraph" w:styleId="Seznam3">
    <w:name w:val="List 3"/>
    <w:basedOn w:val="Normln"/>
    <w:uiPriority w:val="99"/>
    <w:semiHidden/>
    <w:unhideWhenUsed/>
    <w:rsid w:val="00E07317"/>
    <w:pPr>
      <w:ind w:left="1701" w:hanging="567"/>
      <w:contextualSpacing/>
    </w:pPr>
  </w:style>
  <w:style w:type="paragraph" w:styleId="Seznam4">
    <w:name w:val="List 4"/>
    <w:basedOn w:val="Normln"/>
    <w:uiPriority w:val="99"/>
    <w:semiHidden/>
    <w:unhideWhenUsed/>
    <w:rsid w:val="00E07317"/>
    <w:pPr>
      <w:ind w:left="2268" w:hanging="567"/>
      <w:contextualSpacing/>
    </w:pPr>
  </w:style>
  <w:style w:type="paragraph" w:styleId="Seznam5">
    <w:name w:val="List 5"/>
    <w:basedOn w:val="Normln"/>
    <w:uiPriority w:val="99"/>
    <w:semiHidden/>
    <w:unhideWhenUsed/>
    <w:rsid w:val="00E07317"/>
    <w:pPr>
      <w:ind w:left="2835" w:hanging="567"/>
      <w:contextualSpacing/>
    </w:pPr>
  </w:style>
  <w:style w:type="table" w:styleId="Mkatabulky">
    <w:name w:val="Table Grid"/>
    <w:basedOn w:val="Normlntabulka"/>
    <w:rsid w:val="00E07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Figures">
    <w:name w:val="PwC Table Figures"/>
    <w:basedOn w:val="Normlntabulka"/>
    <w:uiPriority w:val="99"/>
    <w:qFormat/>
    <w:rsid w:val="00E07317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Normlntabulka"/>
    <w:uiPriority w:val="99"/>
    <w:qFormat/>
    <w:rsid w:val="00E07317"/>
    <w:pPr>
      <w:spacing w:before="60" w:after="60" w:line="240" w:lineRule="auto"/>
    </w:pPr>
    <w:tblPr>
      <w:tblStyleRowBandSize w:val="1"/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Nadpis1"/>
    <w:uiPriority w:val="99"/>
    <w:qFormat/>
    <w:rsid w:val="00E07317"/>
    <w:rPr>
      <w:b w:val="0"/>
      <w:i w:val="0"/>
    </w:rPr>
  </w:style>
  <w:style w:type="paragraph" w:customStyle="1" w:styleId="Heading1NoSpacing">
    <w:name w:val="Heading 1 No Spacing"/>
    <w:basedOn w:val="Nadpis1"/>
    <w:next w:val="Nadpis2"/>
    <w:link w:val="Heading1NoSpacingChar"/>
    <w:uiPriority w:val="9"/>
    <w:qFormat/>
    <w:rsid w:val="00750457"/>
  </w:style>
  <w:style w:type="character" w:customStyle="1" w:styleId="Heading1NoSpacingChar">
    <w:name w:val="Heading 1 No Spacing Char"/>
    <w:basedOn w:val="Nadpis1Char1"/>
    <w:link w:val="Heading1NoSpacing"/>
    <w:uiPriority w:val="9"/>
    <w:rsid w:val="00750457"/>
    <w:rPr>
      <w:rFonts w:asciiTheme="majorHAnsi" w:eastAsiaTheme="majorEastAsia" w:hAnsiTheme="majorHAnsi" w:cstheme="majorBidi"/>
      <w:b/>
      <w:bCs/>
      <w:i/>
      <w:sz w:val="56"/>
      <w:szCs w:val="28"/>
      <w:lang w:val="cs-CZ"/>
    </w:rPr>
  </w:style>
  <w:style w:type="character" w:customStyle="1" w:styleId="Nadpis6Char1">
    <w:name w:val="Nadpis 6 Char1"/>
    <w:basedOn w:val="Standardnpsmoodstavce"/>
    <w:link w:val="Nadpis6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character" w:customStyle="1" w:styleId="Nadpis7Char1">
    <w:name w:val="Nadpis 7 Char1"/>
    <w:basedOn w:val="Standardnpsmoodstavce"/>
    <w:link w:val="Nadpis7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character" w:customStyle="1" w:styleId="Nadpis8Char1">
    <w:name w:val="Nadpis 8 Char1"/>
    <w:basedOn w:val="Standardnpsmoodstavce"/>
    <w:link w:val="Nadpis8"/>
    <w:uiPriority w:val="99"/>
    <w:rsid w:val="00E07317"/>
    <w:rPr>
      <w:rFonts w:asciiTheme="majorHAnsi" w:eastAsiaTheme="majorEastAsia" w:hAnsiTheme="majorHAnsi" w:cstheme="majorBidi"/>
      <w:color w:val="DC6900" w:themeColor="text2"/>
      <w:lang w:val="cs-CZ"/>
    </w:rPr>
  </w:style>
  <w:style w:type="character" w:customStyle="1" w:styleId="Nadpis9Char1">
    <w:name w:val="Nadpis 9 Char1"/>
    <w:basedOn w:val="Standardnpsmoodstavce"/>
    <w:link w:val="Nadpis9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paragraph" w:styleId="Obsah4">
    <w:name w:val="toc 4"/>
    <w:basedOn w:val="Normln"/>
    <w:next w:val="Normln"/>
    <w:autoRedefine/>
    <w:uiPriority w:val="39"/>
    <w:unhideWhenUsed/>
    <w:rsid w:val="00E07317"/>
    <w:pPr>
      <w:spacing w:after="120"/>
      <w:ind w:left="851" w:hanging="284"/>
    </w:pPr>
  </w:style>
  <w:style w:type="paragraph" w:styleId="Obsah5">
    <w:name w:val="toc 5"/>
    <w:basedOn w:val="Normln"/>
    <w:next w:val="Normln"/>
    <w:autoRedefine/>
    <w:uiPriority w:val="39"/>
    <w:unhideWhenUsed/>
    <w:rsid w:val="00E07317"/>
    <w:pPr>
      <w:spacing w:after="120"/>
      <w:ind w:left="1135" w:hanging="284"/>
    </w:pPr>
  </w:style>
  <w:style w:type="paragraph" w:styleId="Obsah6">
    <w:name w:val="toc 6"/>
    <w:basedOn w:val="Normln"/>
    <w:next w:val="Normln"/>
    <w:autoRedefine/>
    <w:uiPriority w:val="39"/>
    <w:unhideWhenUsed/>
    <w:rsid w:val="00E07317"/>
    <w:pPr>
      <w:spacing w:after="120"/>
      <w:ind w:left="1418" w:hanging="284"/>
    </w:pPr>
  </w:style>
  <w:style w:type="paragraph" w:styleId="Obsah7">
    <w:name w:val="toc 7"/>
    <w:basedOn w:val="Normln"/>
    <w:next w:val="Normln"/>
    <w:autoRedefine/>
    <w:uiPriority w:val="39"/>
    <w:unhideWhenUsed/>
    <w:rsid w:val="00E07317"/>
    <w:pPr>
      <w:spacing w:after="120"/>
      <w:ind w:left="1702" w:hanging="284"/>
    </w:pPr>
  </w:style>
  <w:style w:type="paragraph" w:styleId="Obsah8">
    <w:name w:val="toc 8"/>
    <w:basedOn w:val="Normln"/>
    <w:next w:val="Normln"/>
    <w:autoRedefine/>
    <w:uiPriority w:val="39"/>
    <w:unhideWhenUsed/>
    <w:rsid w:val="00E07317"/>
    <w:pPr>
      <w:spacing w:after="120"/>
      <w:ind w:left="1985" w:hanging="284"/>
    </w:pPr>
  </w:style>
  <w:style w:type="paragraph" w:styleId="Obsah9">
    <w:name w:val="toc 9"/>
    <w:basedOn w:val="Normln"/>
    <w:next w:val="Normln"/>
    <w:autoRedefine/>
    <w:uiPriority w:val="39"/>
    <w:unhideWhenUsed/>
    <w:rsid w:val="00E07317"/>
    <w:pPr>
      <w:spacing w:after="120"/>
      <w:ind w:left="2269" w:hanging="284"/>
    </w:pPr>
  </w:style>
  <w:style w:type="character" w:styleId="Zvraznn">
    <w:name w:val="Emphasis"/>
    <w:basedOn w:val="Standardnpsmoodstavce"/>
    <w:uiPriority w:val="99"/>
    <w:qFormat/>
    <w:rsid w:val="00E07317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E073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07317"/>
    <w:rPr>
      <w:i/>
      <w:iCs/>
      <w:color w:val="000000" w:themeColor="text1"/>
    </w:rPr>
  </w:style>
  <w:style w:type="paragraph" w:styleId="Textvbloku">
    <w:name w:val="Block Text"/>
    <w:basedOn w:val="Normln"/>
    <w:next w:val="Zkladntext3"/>
    <w:uiPriority w:val="99"/>
    <w:unhideWhenUsed/>
    <w:qFormat/>
    <w:rsid w:val="00E07317"/>
    <w:pPr>
      <w:spacing w:line="240" w:lineRule="auto"/>
    </w:pPr>
    <w:rPr>
      <w:b/>
      <w:i/>
      <w:color w:val="DC6900" w:themeColor="text2"/>
      <w:sz w:val="48"/>
      <w:szCs w:val="48"/>
    </w:rPr>
  </w:style>
  <w:style w:type="paragraph" w:customStyle="1" w:styleId="BlockText2">
    <w:name w:val="Block Text 2"/>
    <w:basedOn w:val="Normln"/>
    <w:uiPriority w:val="99"/>
    <w:qFormat/>
    <w:rsid w:val="00E07317"/>
    <w:pPr>
      <w:pBdr>
        <w:top w:val="single" w:sz="2" w:space="10" w:color="DC6900" w:themeColor="text2"/>
        <w:left w:val="single" w:sz="2" w:space="10" w:color="DC6900" w:themeColor="text2"/>
        <w:bottom w:val="single" w:sz="2" w:space="10" w:color="DC6900" w:themeColor="text2"/>
        <w:right w:val="single" w:sz="2" w:space="10" w:color="DC6900" w:themeColor="text2"/>
      </w:pBdr>
      <w:shd w:val="clear" w:color="auto" w:fill="DC690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Textvbloku"/>
    <w:uiPriority w:val="99"/>
    <w:qFormat/>
    <w:rsid w:val="00E07317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DC6900" w:themeColor="accent1"/>
      <w:sz w:val="96"/>
      <w:szCs w:val="20"/>
    </w:rPr>
  </w:style>
  <w:style w:type="paragraph" w:styleId="Zkladntext3">
    <w:name w:val="Body Text 3"/>
    <w:basedOn w:val="Normln"/>
    <w:link w:val="Zkladntext3Char1"/>
    <w:uiPriority w:val="99"/>
    <w:unhideWhenUsed/>
    <w:rsid w:val="00E07317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basedOn w:val="Standardnpsmoodstavce"/>
    <w:link w:val="Zkladntext3"/>
    <w:uiPriority w:val="99"/>
    <w:rsid w:val="00E07317"/>
    <w:rPr>
      <w:sz w:val="16"/>
      <w:szCs w:val="16"/>
    </w:rPr>
  </w:style>
  <w:style w:type="paragraph" w:customStyle="1" w:styleId="Disclaimer">
    <w:name w:val="Disclaimer"/>
    <w:link w:val="DisclaimerChar"/>
    <w:qFormat/>
    <w:rsid w:val="001E4CB2"/>
    <w:pPr>
      <w:spacing w:after="60" w:line="240" w:lineRule="auto"/>
    </w:pPr>
    <w:rPr>
      <w:rFonts w:ascii="Arial" w:eastAsia="Times New Roman" w:hAnsi="Arial" w:cs="Times New Roman"/>
      <w:noProof/>
      <w:sz w:val="12"/>
      <w:lang w:val="en-US"/>
    </w:rPr>
  </w:style>
  <w:style w:type="paragraph" w:styleId="Odstavecseseznamem">
    <w:name w:val="List Paragraph"/>
    <w:aliases w:val="Table of contents numbered"/>
    <w:basedOn w:val="Normln"/>
    <w:link w:val="OdstavecseseznamemChar"/>
    <w:uiPriority w:val="34"/>
    <w:unhideWhenUsed/>
    <w:qFormat/>
    <w:rsid w:val="001133EF"/>
    <w:pPr>
      <w:ind w:left="720"/>
      <w:contextualSpacing/>
    </w:pPr>
  </w:style>
  <w:style w:type="character" w:customStyle="1" w:styleId="OdstavecseseznamemChar">
    <w:name w:val="Odstavec se seznamem Char"/>
    <w:aliases w:val="Table of contents numbered Char"/>
    <w:basedOn w:val="Standardnpsmoodstavce"/>
    <w:link w:val="Odstavecseseznamem"/>
    <w:uiPriority w:val="34"/>
    <w:rsid w:val="001133EF"/>
    <w:rPr>
      <w:lang w:val="cs-CZ"/>
    </w:rPr>
  </w:style>
  <w:style w:type="paragraph" w:styleId="Titulek">
    <w:name w:val="caption"/>
    <w:basedOn w:val="Normln"/>
    <w:next w:val="Normln"/>
    <w:unhideWhenUsed/>
    <w:qFormat/>
    <w:rsid w:val="00EA768E"/>
    <w:pPr>
      <w:spacing w:before="240" w:after="200" w:line="240" w:lineRule="auto"/>
    </w:pPr>
    <w:rPr>
      <w:b/>
      <w:bCs/>
      <w:color w:val="DC6900" w:themeColor="accen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77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772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9777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7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728"/>
    <w:rPr>
      <w:b/>
      <w:bCs/>
    </w:rPr>
  </w:style>
  <w:style w:type="paragraph" w:styleId="Textpoznpodarou">
    <w:name w:val="footnote text"/>
    <w:aliases w:val="Text poznámky pod čiarou 007,Footnote,fn,Footnotes,Footnote ak,fn Char,footnote text Char,Footnotes Char,Footnote ak Char,ft,fn cafc,Footnotes Char Char,Footnote Text Char Char,fn Char Char,footnote text Char Char Char Ch,fn1"/>
    <w:basedOn w:val="Normln"/>
    <w:link w:val="TextpoznpodarouChar"/>
    <w:uiPriority w:val="99"/>
    <w:unhideWhenUsed/>
    <w:qFormat/>
    <w:rsid w:val="00917769"/>
    <w:pPr>
      <w:spacing w:after="0" w:line="240" w:lineRule="auto"/>
    </w:pPr>
    <w:rPr>
      <w:rFonts w:eastAsia="Arial" w:cs="Times New Roman"/>
    </w:rPr>
  </w:style>
  <w:style w:type="character" w:customStyle="1" w:styleId="TextpoznpodarouChar">
    <w:name w:val="Text pozn. pod čarou Char"/>
    <w:aliases w:val="Text poznámky pod čiarou 007 Char,Footnote Char,fn Char1,Footnotes Char1,Footnote ak Char1,fn Char Char1,footnote text Char Char,Footnotes Char Char1,Footnote ak Char Char,ft Char,fn cafc Char,Footnotes Char Char Char,fn1 Char"/>
    <w:basedOn w:val="Standardnpsmoodstavce"/>
    <w:link w:val="Textpoznpodarou"/>
    <w:uiPriority w:val="99"/>
    <w:rsid w:val="00917769"/>
    <w:rPr>
      <w:rFonts w:eastAsia="Arial" w:cs="Times New Roman"/>
      <w:lang w:val="cs-CZ"/>
    </w:rPr>
  </w:style>
  <w:style w:type="character" w:styleId="Znakapoznpodarou">
    <w:name w:val="footnote reference"/>
    <w:aliases w:val="Ref,de nota al pie,Ref1,de nota al pie1,Ref2,de nota al pie2,Ref11,de nota al pie11, BVI fnr,BVI fnr,Footnote symbol,Footnote reference number,Times 10 Point,Exposant 3 Point,note TESI,SUPERS,EN Footnote text,number,E F,no..."/>
    <w:basedOn w:val="Standardnpsmoodstavce"/>
    <w:uiPriority w:val="99"/>
    <w:unhideWhenUsed/>
    <w:rsid w:val="00917769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917769"/>
    <w:rPr>
      <w:b/>
      <w:bCs/>
      <w:i/>
      <w:iCs/>
      <w:color w:val="DC6900" w:themeColor="accent1"/>
    </w:rPr>
  </w:style>
  <w:style w:type="paragraph" w:customStyle="1" w:styleId="Appendix">
    <w:name w:val="Appendix"/>
    <w:basedOn w:val="Nadpis1"/>
    <w:next w:val="Normln"/>
    <w:uiPriority w:val="99"/>
    <w:qFormat/>
    <w:rsid w:val="00B219D6"/>
    <w:pPr>
      <w:numPr>
        <w:numId w:val="6"/>
      </w:numPr>
      <w:spacing w:after="240"/>
    </w:pPr>
  </w:style>
  <w:style w:type="numbering" w:customStyle="1" w:styleId="PwCAppendixList1">
    <w:name w:val="PwC Appendix List 1"/>
    <w:uiPriority w:val="99"/>
    <w:rsid w:val="00B219D6"/>
    <w:pPr>
      <w:numPr>
        <w:numId w:val="5"/>
      </w:numPr>
    </w:pPr>
  </w:style>
  <w:style w:type="table" w:styleId="Svtlmkazvraznn2">
    <w:name w:val="Light Grid Accent 2"/>
    <w:basedOn w:val="Normlntabulka"/>
    <w:uiPriority w:val="62"/>
    <w:rsid w:val="00060566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  <w:insideH w:val="single" w:sz="8" w:space="0" w:color="FFB600" w:themeColor="accent2"/>
        <w:insideV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1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  <w:shd w:val="clear" w:color="auto" w:fill="FFECC0" w:themeFill="accent2" w:themeFillTint="3F"/>
      </w:tcPr>
    </w:tblStylePr>
    <w:tblStylePr w:type="band2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</w:tcPr>
    </w:tblStylePr>
  </w:style>
  <w:style w:type="table" w:styleId="Svtlseznamzvraznn6">
    <w:name w:val="Light List Accent 6"/>
    <w:basedOn w:val="Normlntabulka"/>
    <w:uiPriority w:val="66"/>
    <w:rsid w:val="008A60E6"/>
    <w:pPr>
      <w:spacing w:after="0" w:line="240" w:lineRule="auto"/>
    </w:pPr>
    <w:rPr>
      <w:rFonts w:eastAsia="Arial" w:cs="Times New Roman"/>
      <w:lang w:eastAsia="en-GB"/>
    </w:r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A26C2E"/>
    <w:rPr>
      <w:color w:val="0000FF" w:themeColor="followedHyperlink"/>
      <w:u w:val="single"/>
    </w:rPr>
  </w:style>
  <w:style w:type="paragraph" w:customStyle="1" w:styleId="TOCHeading1">
    <w:name w:val="TOC Heading1"/>
    <w:basedOn w:val="Nadpis1"/>
    <w:next w:val="Normln"/>
    <w:uiPriority w:val="39"/>
    <w:unhideWhenUsed/>
    <w:qFormat/>
    <w:rsid w:val="005957A0"/>
    <w:pPr>
      <w:numPr>
        <w:numId w:val="0"/>
      </w:numPr>
      <w:outlineLvl w:val="9"/>
    </w:pPr>
    <w:rPr>
      <w:rFonts w:ascii="Georgia" w:eastAsia="Times New Roman" w:hAnsi="Georgia" w:cs="Times New Roman"/>
      <w:lang w:val="en-US"/>
    </w:r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5957A0"/>
    <w:rPr>
      <w:rFonts w:eastAsia="Arial" w:cs="Times New Roman"/>
      <w:i/>
      <w:iCs/>
      <w:color w:val="000000"/>
    </w:rPr>
  </w:style>
  <w:style w:type="character" w:customStyle="1" w:styleId="ColorfulGrid-Accent1Char">
    <w:name w:val="Colorful Grid - Accent 1 Char"/>
    <w:basedOn w:val="Standardnpsmoodstavce"/>
    <w:link w:val="ColorfulGrid-Accent11"/>
    <w:uiPriority w:val="29"/>
    <w:rsid w:val="005957A0"/>
    <w:rPr>
      <w:rFonts w:eastAsia="Arial" w:cs="Times New Roman"/>
      <w:i/>
      <w:iCs/>
      <w:color w:val="000000"/>
      <w:lang w:val="cs-CZ"/>
    </w:rPr>
  </w:style>
  <w:style w:type="character" w:customStyle="1" w:styleId="DisclaimerChar">
    <w:name w:val="Disclaimer Char"/>
    <w:basedOn w:val="Standardnpsmoodstavce"/>
    <w:link w:val="Disclaimer"/>
    <w:rsid w:val="005957A0"/>
    <w:rPr>
      <w:rFonts w:ascii="Arial" w:eastAsia="Times New Roman" w:hAnsi="Arial" w:cs="Times New Roman"/>
      <w:noProof/>
      <w:sz w:val="12"/>
      <w:lang w:val="en-US"/>
    </w:rPr>
  </w:style>
  <w:style w:type="paragraph" w:customStyle="1" w:styleId="PwCAddress">
    <w:name w:val="PwC Address"/>
    <w:basedOn w:val="Normln"/>
    <w:link w:val="PwCAddressChar"/>
    <w:qFormat/>
    <w:rsid w:val="005957A0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PwCAddressChar">
    <w:name w:val="PwC Address Char"/>
    <w:basedOn w:val="Standardnpsmoodstavce"/>
    <w:link w:val="PwCAddress"/>
    <w:rsid w:val="005957A0"/>
    <w:rPr>
      <w:i/>
      <w:noProof/>
      <w:sz w:val="18"/>
      <w:szCs w:val="22"/>
      <w:lang w:val="cs-CZ" w:eastAsia="en-GB"/>
    </w:rPr>
  </w:style>
  <w:style w:type="character" w:customStyle="1" w:styleId="AddressChar">
    <w:name w:val="Address Char"/>
    <w:basedOn w:val="Standardnpsmoodstavce"/>
    <w:link w:val="Address"/>
    <w:locked/>
    <w:rsid w:val="005957A0"/>
    <w:rPr>
      <w:i/>
      <w:noProof/>
      <w:sz w:val="18"/>
      <w:szCs w:val="22"/>
    </w:rPr>
  </w:style>
  <w:style w:type="paragraph" w:customStyle="1" w:styleId="Address">
    <w:name w:val="Address"/>
    <w:basedOn w:val="Normln"/>
    <w:link w:val="AddressChar"/>
    <w:qFormat/>
    <w:rsid w:val="005957A0"/>
    <w:pPr>
      <w:spacing w:after="0" w:line="200" w:lineRule="atLeast"/>
    </w:pPr>
    <w:rPr>
      <w:i/>
      <w:noProof/>
      <w:sz w:val="18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957A0"/>
    <w:pPr>
      <w:spacing w:after="0" w:line="240" w:lineRule="auto"/>
    </w:pPr>
    <w:rPr>
      <w:rFonts w:eastAsia="Arial" w:cs="Times New Roma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957A0"/>
    <w:rPr>
      <w:rFonts w:eastAsia="Arial" w:cs="Times New Roman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957A0"/>
    <w:rPr>
      <w:vertAlign w:val="superscript"/>
    </w:rPr>
  </w:style>
  <w:style w:type="paragraph" w:styleId="Revize">
    <w:name w:val="Revision"/>
    <w:hidden/>
    <w:uiPriority w:val="71"/>
    <w:rsid w:val="005957A0"/>
    <w:pPr>
      <w:spacing w:after="0" w:line="240" w:lineRule="auto"/>
    </w:pPr>
    <w:rPr>
      <w:rFonts w:eastAsia="Arial" w:cs="Times New Roman"/>
      <w:lang w:val="cs-CZ"/>
    </w:rPr>
  </w:style>
  <w:style w:type="paragraph" w:styleId="Normlnweb">
    <w:name w:val="Normal (Web)"/>
    <w:basedOn w:val="Normln"/>
    <w:uiPriority w:val="99"/>
    <w:semiHidden/>
    <w:unhideWhenUsed/>
    <w:rsid w:val="00FF61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Barevntabulkasmkou7zvraznn61">
    <w:name w:val="Barevná tabulka s mřížkou 7 – zvýraznění 61"/>
    <w:basedOn w:val="Normlntabulka"/>
    <w:uiPriority w:val="52"/>
    <w:rsid w:val="00817B86"/>
    <w:pPr>
      <w:spacing w:after="0" w:line="240" w:lineRule="auto"/>
    </w:pPr>
    <w:rPr>
      <w:color w:val="A72316" w:themeColor="accent6" w:themeShade="BF"/>
    </w:rPr>
    <w:tblPr>
      <w:tblStyleRowBandSize w:val="1"/>
      <w:tblStyleColBandSize w:val="1"/>
      <w:tblBorders>
        <w:top w:val="single" w:sz="4" w:space="0" w:color="EC8277" w:themeColor="accent6" w:themeTint="99"/>
        <w:left w:val="single" w:sz="4" w:space="0" w:color="EC8277" w:themeColor="accent6" w:themeTint="99"/>
        <w:bottom w:val="single" w:sz="4" w:space="0" w:color="EC8277" w:themeColor="accent6" w:themeTint="99"/>
        <w:right w:val="single" w:sz="4" w:space="0" w:color="EC8277" w:themeColor="accent6" w:themeTint="99"/>
        <w:insideH w:val="single" w:sz="4" w:space="0" w:color="EC8277" w:themeColor="accent6" w:themeTint="99"/>
        <w:insideV w:val="single" w:sz="4" w:space="0" w:color="EC827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5D1" w:themeFill="accent6" w:themeFillTint="33"/>
      </w:tcPr>
    </w:tblStylePr>
    <w:tblStylePr w:type="band1Horz">
      <w:tblPr/>
      <w:tcPr>
        <w:shd w:val="clear" w:color="auto" w:fill="F9D5D1" w:themeFill="accent6" w:themeFillTint="33"/>
      </w:tcPr>
    </w:tblStylePr>
    <w:tblStylePr w:type="neCell">
      <w:tblPr/>
      <w:tcPr>
        <w:tcBorders>
          <w:bottom w:val="single" w:sz="4" w:space="0" w:color="EC8277" w:themeColor="accent6" w:themeTint="99"/>
        </w:tcBorders>
      </w:tcPr>
    </w:tblStylePr>
    <w:tblStylePr w:type="nwCell">
      <w:tblPr/>
      <w:tcPr>
        <w:tcBorders>
          <w:bottom w:val="single" w:sz="4" w:space="0" w:color="EC8277" w:themeColor="accent6" w:themeTint="99"/>
        </w:tcBorders>
      </w:tcPr>
    </w:tblStylePr>
    <w:tblStylePr w:type="seCell">
      <w:tblPr/>
      <w:tcPr>
        <w:tcBorders>
          <w:top w:val="single" w:sz="4" w:space="0" w:color="EC8277" w:themeColor="accent6" w:themeTint="99"/>
        </w:tcBorders>
      </w:tcPr>
    </w:tblStylePr>
    <w:tblStylePr w:type="swCell">
      <w:tblPr/>
      <w:tcPr>
        <w:tcBorders>
          <w:top w:val="single" w:sz="4" w:space="0" w:color="EC8277" w:themeColor="accent6" w:themeTint="99"/>
        </w:tcBorders>
      </w:tcPr>
    </w:tblStylePr>
  </w:style>
  <w:style w:type="paragraph" w:customStyle="1" w:styleId="NumberedList">
    <w:name w:val="Numbered List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paragraph" w:customStyle="1" w:styleId="BulletedList">
    <w:name w:val="Bulleted List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paragraph" w:styleId="Zkladntext2">
    <w:name w:val="Body Text 2"/>
    <w:basedOn w:val="Normln"/>
    <w:next w:val="Normln"/>
    <w:link w:val="Zkladntext2Char1"/>
    <w:uiPriority w:val="99"/>
    <w:rsid w:val="001157B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Theme="minorEastAsia" w:hAnsi="Times New Roman" w:cs="Times New Roman"/>
      <w:color w:val="000000"/>
      <w:sz w:val="18"/>
      <w:szCs w:val="18"/>
      <w:shd w:val="clear" w:color="auto" w:fill="FFFFFF"/>
      <w:lang w:val="en-AU"/>
    </w:rPr>
  </w:style>
  <w:style w:type="character" w:customStyle="1" w:styleId="Zkladntext2Char1">
    <w:name w:val="Základní text 2 Char1"/>
    <w:basedOn w:val="Standardnpsmoodstavce"/>
    <w:link w:val="Zkladntext2"/>
    <w:uiPriority w:val="99"/>
    <w:rsid w:val="001157B1"/>
    <w:rPr>
      <w:rFonts w:ascii="Times New Roman" w:eastAsiaTheme="minorEastAsia" w:hAnsi="Times New Roman" w:cs="Times New Roman"/>
      <w:color w:val="000000"/>
      <w:sz w:val="18"/>
      <w:szCs w:val="18"/>
      <w:lang w:val="en-AU"/>
    </w:rPr>
  </w:style>
  <w:style w:type="paragraph" w:styleId="Nadpispoznmky">
    <w:name w:val="Note Heading"/>
    <w:basedOn w:val="Normln"/>
    <w:next w:val="Normln"/>
    <w:link w:val="NadpispoznmkyChar1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character" w:customStyle="1" w:styleId="NadpispoznmkyChar1">
    <w:name w:val="Nadpis poznámky Char1"/>
    <w:basedOn w:val="Standardnpsmoodstavce"/>
    <w:link w:val="Nadpispoznmky"/>
    <w:uiPriority w:val="99"/>
    <w:rsid w:val="001157B1"/>
    <w:rPr>
      <w:rFonts w:ascii="Times New Roman" w:eastAsiaTheme="minorEastAsia" w:hAnsi="Times New Roman" w:cs="Times New Roman"/>
      <w:color w:val="000000"/>
      <w:lang w:val="en-AU"/>
    </w:rPr>
  </w:style>
  <w:style w:type="paragraph" w:styleId="Prosttext">
    <w:name w:val="Plain Text"/>
    <w:basedOn w:val="Normln"/>
    <w:next w:val="Normln"/>
    <w:link w:val="ProsttextChar1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hd w:val="clear" w:color="auto" w:fill="FFFFFF"/>
      <w:lang w:val="en-AU"/>
    </w:rPr>
  </w:style>
  <w:style w:type="character" w:customStyle="1" w:styleId="ProsttextChar1">
    <w:name w:val="Prostý text Char1"/>
    <w:basedOn w:val="Standardnpsmoodstavce"/>
    <w:link w:val="Prosttext"/>
    <w:uiPriority w:val="99"/>
    <w:rsid w:val="001157B1"/>
    <w:rPr>
      <w:rFonts w:ascii="Courier New" w:eastAsiaTheme="minorEastAsia" w:hAnsi="Courier New" w:cs="Courier New"/>
      <w:color w:val="000000"/>
      <w:lang w:val="en-AU"/>
    </w:rPr>
  </w:style>
  <w:style w:type="character" w:styleId="Siln">
    <w:name w:val="Strong"/>
    <w:basedOn w:val="Standardnpsmoodstavce"/>
    <w:qFormat/>
    <w:rsid w:val="001157B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de">
    <w:name w:val="Code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/>
    </w:rPr>
  </w:style>
  <w:style w:type="character" w:customStyle="1" w:styleId="FieldLabel">
    <w:name w:val="Field Label"/>
    <w:uiPriority w:val="99"/>
    <w:rsid w:val="001157B1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1157B1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1157B1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1157B1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hd w:val="clear" w:color="auto" w:fill="FFFFFF"/>
      <w:lang w:val="en-AU"/>
    </w:rPr>
  </w:style>
  <w:style w:type="character" w:customStyle="1" w:styleId="SSTemplateField">
    <w:name w:val="SSTemplateField"/>
    <w:uiPriority w:val="99"/>
    <w:rsid w:val="001157B1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character" w:customStyle="1" w:styleId="Nadpis1Char">
    <w:name w:val="Nadpis 1 Char"/>
    <w:uiPriority w:val="99"/>
    <w:rsid w:val="001157B1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Nadpis2Char">
    <w:name w:val="Nadpis 2 Char"/>
    <w:uiPriority w:val="99"/>
    <w:rsid w:val="001157B1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uiPriority w:val="99"/>
    <w:rsid w:val="001157B1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uiPriority w:val="99"/>
    <w:rsid w:val="001157B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uiPriority w:val="99"/>
    <w:rsid w:val="001157B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uiPriority w:val="99"/>
    <w:rsid w:val="001157B1"/>
    <w:rPr>
      <w:rFonts w:ascii="Times New Roman" w:hAnsi="Times New Roman" w:cs="Times New Roman"/>
      <w:b/>
      <w:bCs/>
      <w:color w:val="000000"/>
    </w:rPr>
  </w:style>
  <w:style w:type="character" w:customStyle="1" w:styleId="Nadpis7Char">
    <w:name w:val="Nadpis 7 Char"/>
    <w:uiPriority w:val="99"/>
    <w:rsid w:val="001157B1"/>
    <w:rPr>
      <w:rFonts w:ascii="Times New Roman" w:hAnsi="Times New Roman" w:cs="Times New Roman"/>
      <w:color w:val="000000"/>
    </w:rPr>
  </w:style>
  <w:style w:type="character" w:customStyle="1" w:styleId="Nadpis8Char">
    <w:name w:val="Nadpis 8 Char"/>
    <w:uiPriority w:val="99"/>
    <w:rsid w:val="001157B1"/>
    <w:rPr>
      <w:rFonts w:ascii="Times New Roman" w:hAnsi="Times New Roman" w:cs="Times New Roman"/>
      <w:i/>
      <w:iCs/>
      <w:color w:val="000000"/>
    </w:rPr>
  </w:style>
  <w:style w:type="character" w:customStyle="1" w:styleId="Nadpis9Char">
    <w:name w:val="Nadpis 9 Char"/>
    <w:uiPriority w:val="99"/>
    <w:rsid w:val="001157B1"/>
    <w:rPr>
      <w:rFonts w:ascii="Cambria" w:hAnsi="Cambria" w:cs="Cambria"/>
      <w:color w:val="000000"/>
    </w:rPr>
  </w:style>
  <w:style w:type="character" w:customStyle="1" w:styleId="NzevChar">
    <w:name w:val="Název Char"/>
    <w:uiPriority w:val="99"/>
    <w:rsid w:val="001157B1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ZkladntextChar">
    <w:name w:val="Základní text Char"/>
    <w:uiPriority w:val="99"/>
    <w:rsid w:val="001157B1"/>
    <w:rPr>
      <w:color w:val="000000"/>
      <w:sz w:val="20"/>
      <w:szCs w:val="20"/>
    </w:rPr>
  </w:style>
  <w:style w:type="character" w:customStyle="1" w:styleId="Zkladntext2Char">
    <w:name w:val="Základní text 2 Char"/>
    <w:uiPriority w:val="99"/>
    <w:rsid w:val="001157B1"/>
    <w:rPr>
      <w:color w:val="000000"/>
      <w:sz w:val="20"/>
      <w:szCs w:val="20"/>
    </w:rPr>
  </w:style>
  <w:style w:type="character" w:customStyle="1" w:styleId="Zkladntext3Char">
    <w:name w:val="Základní text 3 Char"/>
    <w:uiPriority w:val="99"/>
    <w:rsid w:val="001157B1"/>
    <w:rPr>
      <w:color w:val="000000"/>
      <w:sz w:val="16"/>
      <w:szCs w:val="16"/>
    </w:rPr>
  </w:style>
  <w:style w:type="character" w:customStyle="1" w:styleId="NadpispoznmkyChar">
    <w:name w:val="Nadpis poznámky Char"/>
    <w:uiPriority w:val="99"/>
    <w:rsid w:val="001157B1"/>
    <w:rPr>
      <w:color w:val="000000"/>
      <w:sz w:val="20"/>
      <w:szCs w:val="20"/>
    </w:rPr>
  </w:style>
  <w:style w:type="character" w:customStyle="1" w:styleId="ProsttextChar">
    <w:name w:val="Prostý text Char"/>
    <w:uiPriority w:val="99"/>
    <w:rsid w:val="001157B1"/>
    <w:rPr>
      <w:rFonts w:ascii="Courier New" w:hAnsi="Courier New" w:cs="Courier New"/>
      <w:color w:val="000000"/>
      <w:sz w:val="20"/>
      <w:szCs w:val="20"/>
    </w:rPr>
  </w:style>
  <w:style w:type="character" w:customStyle="1" w:styleId="ZpatChar">
    <w:name w:val="Zápatí Char"/>
    <w:uiPriority w:val="99"/>
    <w:rsid w:val="001157B1"/>
    <w:rPr>
      <w:color w:val="000000"/>
      <w:sz w:val="20"/>
      <w:szCs w:val="20"/>
    </w:rPr>
  </w:style>
  <w:style w:type="character" w:customStyle="1" w:styleId="ZhlavChar">
    <w:name w:val="Záhlaví Char"/>
    <w:uiPriority w:val="99"/>
    <w:rsid w:val="001157B1"/>
    <w:rPr>
      <w:color w:val="00000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6"/>
      <w:szCs w:val="16"/>
      <w:lang w:val="en-AU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1157B1"/>
    <w:rPr>
      <w:rFonts w:ascii="Tahoma" w:eastAsiaTheme="minorEastAsia" w:hAnsi="Tahoma" w:cs="Tahoma"/>
      <w:color w:val="000000"/>
      <w:sz w:val="16"/>
      <w:szCs w:val="16"/>
      <w:lang w:val="en-AU"/>
    </w:rPr>
  </w:style>
  <w:style w:type="character" w:customStyle="1" w:styleId="RozvrendokumentuChar">
    <w:name w:val="Rozvržení dokumentu Char"/>
    <w:uiPriority w:val="99"/>
    <w:rsid w:val="001157B1"/>
    <w:rPr>
      <w:rFonts w:ascii="Tahoma" w:hAnsi="Tahoma" w:cs="Tahoma"/>
      <w:color w:val="000000"/>
      <w:sz w:val="16"/>
      <w:szCs w:val="16"/>
    </w:rPr>
  </w:style>
  <w:style w:type="table" w:styleId="Svtlseznamzvraznn1">
    <w:name w:val="Light List Accent 1"/>
    <w:basedOn w:val="Normlntabulka"/>
    <w:uiPriority w:val="61"/>
    <w:rsid w:val="001157B1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styleId="Svtlseznam">
    <w:name w:val="Light List"/>
    <w:basedOn w:val="Normlntabulka"/>
    <w:uiPriority w:val="61"/>
    <w:rsid w:val="00601B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02tempparagheading">
    <w:name w:val="02_temp_parag_heading"/>
    <w:basedOn w:val="Normln"/>
    <w:link w:val="02tempparagheadingChar"/>
    <w:uiPriority w:val="99"/>
    <w:qFormat/>
    <w:rsid w:val="00FA165D"/>
    <w:pPr>
      <w:spacing w:before="240" w:after="120"/>
    </w:pPr>
    <w:rPr>
      <w:b/>
      <w:i/>
      <w:sz w:val="22"/>
      <w:szCs w:val="22"/>
    </w:rPr>
  </w:style>
  <w:style w:type="character" w:customStyle="1" w:styleId="02tempparagheadingChar">
    <w:name w:val="02_temp_parag_heading Char"/>
    <w:basedOn w:val="Standardnpsmoodstavce"/>
    <w:link w:val="02tempparagheading"/>
    <w:uiPriority w:val="99"/>
    <w:rsid w:val="00FA165D"/>
    <w:rPr>
      <w:b/>
      <w:i/>
      <w:sz w:val="22"/>
      <w:szCs w:val="22"/>
      <w:lang w:val="cs-CZ"/>
    </w:rPr>
  </w:style>
  <w:style w:type="paragraph" w:styleId="Rejstk1">
    <w:name w:val="index 1"/>
    <w:basedOn w:val="Normln"/>
    <w:next w:val="Normln"/>
    <w:autoRedefine/>
    <w:uiPriority w:val="99"/>
    <w:unhideWhenUsed/>
    <w:rsid w:val="00CD1396"/>
    <w:pPr>
      <w:spacing w:after="0"/>
      <w:ind w:left="200" w:hanging="200"/>
    </w:pPr>
    <w:rPr>
      <w:rFonts w:asciiTheme="minorHAnsi" w:hAnsiTheme="minorHAnsi" w:cstheme="minorHAnsi"/>
      <w:sz w:val="18"/>
      <w:szCs w:val="21"/>
    </w:rPr>
  </w:style>
  <w:style w:type="paragraph" w:styleId="Rejstk2">
    <w:name w:val="index 2"/>
    <w:basedOn w:val="Normln"/>
    <w:next w:val="Normln"/>
    <w:autoRedefine/>
    <w:uiPriority w:val="99"/>
    <w:unhideWhenUsed/>
    <w:rsid w:val="00CD1396"/>
    <w:pPr>
      <w:spacing w:after="0"/>
      <w:ind w:left="400" w:hanging="200"/>
    </w:pPr>
    <w:rPr>
      <w:rFonts w:asciiTheme="minorHAnsi" w:hAnsiTheme="minorHAnsi" w:cstheme="minorHAnsi"/>
      <w:sz w:val="18"/>
      <w:szCs w:val="21"/>
    </w:rPr>
  </w:style>
  <w:style w:type="paragraph" w:styleId="Rejstk3">
    <w:name w:val="index 3"/>
    <w:basedOn w:val="Normln"/>
    <w:next w:val="Normln"/>
    <w:autoRedefine/>
    <w:uiPriority w:val="99"/>
    <w:unhideWhenUsed/>
    <w:rsid w:val="00CD1396"/>
    <w:pPr>
      <w:spacing w:after="0"/>
      <w:ind w:left="600" w:hanging="200"/>
    </w:pPr>
    <w:rPr>
      <w:rFonts w:asciiTheme="minorHAnsi" w:hAnsiTheme="minorHAnsi" w:cstheme="minorHAnsi"/>
      <w:sz w:val="18"/>
      <w:szCs w:val="21"/>
    </w:rPr>
  </w:style>
  <w:style w:type="paragraph" w:styleId="Rejstk4">
    <w:name w:val="index 4"/>
    <w:basedOn w:val="Normln"/>
    <w:next w:val="Normln"/>
    <w:autoRedefine/>
    <w:uiPriority w:val="99"/>
    <w:unhideWhenUsed/>
    <w:rsid w:val="00CD1396"/>
    <w:pPr>
      <w:spacing w:after="0"/>
      <w:ind w:left="800" w:hanging="200"/>
    </w:pPr>
    <w:rPr>
      <w:rFonts w:asciiTheme="minorHAnsi" w:hAnsiTheme="minorHAnsi" w:cstheme="minorHAnsi"/>
      <w:sz w:val="18"/>
      <w:szCs w:val="21"/>
    </w:rPr>
  </w:style>
  <w:style w:type="paragraph" w:styleId="Rejstk5">
    <w:name w:val="index 5"/>
    <w:basedOn w:val="Normln"/>
    <w:next w:val="Normln"/>
    <w:autoRedefine/>
    <w:uiPriority w:val="99"/>
    <w:unhideWhenUsed/>
    <w:rsid w:val="00CD1396"/>
    <w:pPr>
      <w:spacing w:after="0"/>
      <w:ind w:left="1000" w:hanging="200"/>
    </w:pPr>
    <w:rPr>
      <w:rFonts w:asciiTheme="minorHAnsi" w:hAnsiTheme="minorHAnsi" w:cstheme="minorHAnsi"/>
      <w:sz w:val="18"/>
      <w:szCs w:val="21"/>
    </w:rPr>
  </w:style>
  <w:style w:type="paragraph" w:styleId="Rejstk6">
    <w:name w:val="index 6"/>
    <w:basedOn w:val="Normln"/>
    <w:next w:val="Normln"/>
    <w:autoRedefine/>
    <w:uiPriority w:val="99"/>
    <w:unhideWhenUsed/>
    <w:rsid w:val="00CD1396"/>
    <w:pPr>
      <w:spacing w:after="0"/>
      <w:ind w:left="1200" w:hanging="200"/>
    </w:pPr>
    <w:rPr>
      <w:rFonts w:asciiTheme="minorHAnsi" w:hAnsiTheme="minorHAnsi" w:cstheme="minorHAnsi"/>
      <w:sz w:val="18"/>
      <w:szCs w:val="21"/>
    </w:rPr>
  </w:style>
  <w:style w:type="paragraph" w:styleId="Rejstk7">
    <w:name w:val="index 7"/>
    <w:basedOn w:val="Normln"/>
    <w:next w:val="Normln"/>
    <w:autoRedefine/>
    <w:uiPriority w:val="99"/>
    <w:unhideWhenUsed/>
    <w:rsid w:val="00CD1396"/>
    <w:pPr>
      <w:spacing w:after="0"/>
      <w:ind w:left="1400" w:hanging="200"/>
    </w:pPr>
    <w:rPr>
      <w:rFonts w:asciiTheme="minorHAnsi" w:hAnsiTheme="minorHAnsi" w:cstheme="minorHAnsi"/>
      <w:sz w:val="18"/>
      <w:szCs w:val="21"/>
    </w:rPr>
  </w:style>
  <w:style w:type="paragraph" w:styleId="Rejstk8">
    <w:name w:val="index 8"/>
    <w:basedOn w:val="Normln"/>
    <w:next w:val="Normln"/>
    <w:autoRedefine/>
    <w:uiPriority w:val="99"/>
    <w:unhideWhenUsed/>
    <w:rsid w:val="00CD1396"/>
    <w:pPr>
      <w:spacing w:after="0"/>
      <w:ind w:left="1600" w:hanging="200"/>
    </w:pPr>
    <w:rPr>
      <w:rFonts w:asciiTheme="minorHAnsi" w:hAnsiTheme="minorHAnsi" w:cstheme="minorHAnsi"/>
      <w:sz w:val="18"/>
      <w:szCs w:val="21"/>
    </w:rPr>
  </w:style>
  <w:style w:type="paragraph" w:styleId="Rejstk9">
    <w:name w:val="index 9"/>
    <w:basedOn w:val="Normln"/>
    <w:next w:val="Normln"/>
    <w:autoRedefine/>
    <w:uiPriority w:val="99"/>
    <w:unhideWhenUsed/>
    <w:rsid w:val="00CD1396"/>
    <w:pPr>
      <w:spacing w:after="0"/>
      <w:ind w:left="1800" w:hanging="200"/>
    </w:pPr>
    <w:rPr>
      <w:rFonts w:asciiTheme="minorHAnsi" w:hAnsiTheme="minorHAnsi" w:cstheme="minorHAnsi"/>
      <w:sz w:val="18"/>
      <w:szCs w:val="21"/>
    </w:rPr>
  </w:style>
  <w:style w:type="paragraph" w:styleId="Hlavikarejstku">
    <w:name w:val="index heading"/>
    <w:basedOn w:val="Normln"/>
    <w:next w:val="Rejstk1"/>
    <w:uiPriority w:val="99"/>
    <w:unhideWhenUsed/>
    <w:rsid w:val="00CD1396"/>
    <w:pPr>
      <w:pBdr>
        <w:top w:val="single" w:sz="12" w:space="0" w:color="auto"/>
      </w:pBdr>
      <w:spacing w:before="360"/>
    </w:pPr>
    <w:rPr>
      <w:rFonts w:asciiTheme="minorHAnsi" w:hAnsiTheme="minorHAnsi" w:cstheme="minorHAnsi"/>
      <w:b/>
      <w:bCs/>
      <w:i/>
      <w:iCs/>
      <w:sz w:val="26"/>
      <w:szCs w:val="31"/>
    </w:rPr>
  </w:style>
  <w:style w:type="character" w:customStyle="1" w:styleId="FooterChar2">
    <w:name w:val="Footer Char2"/>
    <w:basedOn w:val="Standardnpsmoodstavce"/>
    <w:uiPriority w:val="99"/>
    <w:rsid w:val="00235D9B"/>
    <w:rPr>
      <w:rFonts w:asciiTheme="minorHAnsi" w:hAnsiTheme="minorHAnsi"/>
      <w:sz w:val="19"/>
    </w:rPr>
  </w:style>
  <w:style w:type="character" w:customStyle="1" w:styleId="BodyTextChar2">
    <w:name w:val="Body Text Char2"/>
    <w:basedOn w:val="Standardnpsmoodstavce"/>
    <w:uiPriority w:val="99"/>
    <w:rsid w:val="008F7BE2"/>
    <w:rPr>
      <w:lang w:val="cs-CZ"/>
    </w:rPr>
  </w:style>
  <w:style w:type="paragraph" w:styleId="Bezmezer">
    <w:name w:val="No Spacing"/>
    <w:uiPriority w:val="1"/>
    <w:qFormat/>
    <w:rsid w:val="00087664"/>
    <w:pPr>
      <w:spacing w:after="0" w:line="240" w:lineRule="auto"/>
    </w:pPr>
    <w:rPr>
      <w:rFonts w:asciiTheme="minorHAnsi" w:hAnsiTheme="minorHAnsi"/>
      <w:sz w:val="22"/>
      <w:szCs w:val="22"/>
      <w:lang w:val="cs-CZ"/>
    </w:rPr>
  </w:style>
  <w:style w:type="table" w:styleId="Stednstnovn1zvraznn5">
    <w:name w:val="Medium Shading 1 Accent 5"/>
    <w:basedOn w:val="Normlntabulka"/>
    <w:uiPriority w:val="63"/>
    <w:rsid w:val="00087664"/>
    <w:pPr>
      <w:spacing w:after="0" w:line="240" w:lineRule="auto"/>
    </w:pPr>
    <w:rPr>
      <w:rFonts w:asciiTheme="minorHAnsi" w:hAnsiTheme="minorHAnsi"/>
      <w:sz w:val="22"/>
      <w:szCs w:val="22"/>
      <w:lang w:val="cs-CZ"/>
    </w:rPr>
    <w:tblPr>
      <w:tblStyleRowBandSize w:val="1"/>
      <w:tblStyleColBandSize w:val="1"/>
      <w:tblBorders>
        <w:top w:val="single" w:sz="8" w:space="0" w:color="D83939" w:themeColor="accent5" w:themeTint="BF"/>
        <w:left w:val="single" w:sz="8" w:space="0" w:color="D83939" w:themeColor="accent5" w:themeTint="BF"/>
        <w:bottom w:val="single" w:sz="8" w:space="0" w:color="D83939" w:themeColor="accent5" w:themeTint="BF"/>
        <w:right w:val="single" w:sz="8" w:space="0" w:color="D83939" w:themeColor="accent5" w:themeTint="BF"/>
        <w:insideH w:val="single" w:sz="8" w:space="0" w:color="D8393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3939" w:themeColor="accent5" w:themeTint="BF"/>
          <w:left w:val="single" w:sz="8" w:space="0" w:color="D83939" w:themeColor="accent5" w:themeTint="BF"/>
          <w:bottom w:val="single" w:sz="8" w:space="0" w:color="D83939" w:themeColor="accent5" w:themeTint="BF"/>
          <w:right w:val="single" w:sz="8" w:space="0" w:color="D83939" w:themeColor="accent5" w:themeTint="BF"/>
          <w:insideH w:val="nil"/>
          <w:insideV w:val="nil"/>
        </w:tcBorders>
        <w:shd w:val="clear" w:color="auto" w:fill="A320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3939" w:themeColor="accent5" w:themeTint="BF"/>
          <w:left w:val="single" w:sz="8" w:space="0" w:color="D83939" w:themeColor="accent5" w:themeTint="BF"/>
          <w:bottom w:val="single" w:sz="8" w:space="0" w:color="D83939" w:themeColor="accent5" w:themeTint="BF"/>
          <w:right w:val="single" w:sz="8" w:space="0" w:color="D8393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D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D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katabulky1">
    <w:name w:val="Mřížka tabulky1"/>
    <w:basedOn w:val="Normlntabulka"/>
    <w:next w:val="Mkatabulky"/>
    <w:uiPriority w:val="99"/>
    <w:rsid w:val="00DF4E12"/>
    <w:pPr>
      <w:spacing w:after="0" w:line="240" w:lineRule="auto"/>
    </w:pPr>
    <w:rPr>
      <w:rFonts w:ascii="Calibri" w:eastAsia="Calibri" w:hAnsi="Calibri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List Bullet" w:uiPriority="13" w:qFormat="1"/>
    <w:lsdException w:name="List Number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nhideWhenUsed="0" w:qFormat="1"/>
    <w:lsdException w:name="Default Paragraph Font" w:uiPriority="1"/>
    <w:lsdException w:name="Body Text" w:qFormat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Subtitle" w:semiHidden="0" w:uiPriority="11" w:unhideWhenUsed="0" w:qFormat="1"/>
    <w:lsdException w:name="Block Text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6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rsid w:val="00E07317"/>
    <w:rPr>
      <w:lang w:val="cs-CZ"/>
    </w:rPr>
  </w:style>
  <w:style w:type="paragraph" w:styleId="Nadpis1">
    <w:name w:val="heading 1"/>
    <w:basedOn w:val="Normln"/>
    <w:next w:val="Nadpis2"/>
    <w:link w:val="Nadpis1Char1"/>
    <w:uiPriority w:val="99"/>
    <w:qFormat/>
    <w:rsid w:val="00AA1532"/>
    <w:pPr>
      <w:keepNext/>
      <w:keepLines/>
      <w:numPr>
        <w:numId w:val="8"/>
      </w:numPr>
      <w:spacing w:after="480" w:line="600" w:lineRule="atLeast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Nadpis2">
    <w:name w:val="heading 2"/>
    <w:basedOn w:val="Normln"/>
    <w:next w:val="Zkladntext"/>
    <w:link w:val="Nadpis2Char1"/>
    <w:uiPriority w:val="99"/>
    <w:unhideWhenUsed/>
    <w:qFormat/>
    <w:rsid w:val="00DE297D"/>
    <w:pPr>
      <w:keepNext/>
      <w:keepLines/>
      <w:numPr>
        <w:ilvl w:val="1"/>
        <w:numId w:val="8"/>
      </w:numPr>
      <w:spacing w:before="36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paragraph" w:styleId="Nadpis3">
    <w:name w:val="heading 3"/>
    <w:basedOn w:val="Normln"/>
    <w:next w:val="Zkladntext"/>
    <w:link w:val="Nadpis3Char1"/>
    <w:uiPriority w:val="99"/>
    <w:unhideWhenUsed/>
    <w:qFormat/>
    <w:rsid w:val="001C6960"/>
    <w:pPr>
      <w:keepNext/>
      <w:keepLines/>
      <w:numPr>
        <w:ilvl w:val="2"/>
        <w:numId w:val="8"/>
      </w:numPr>
      <w:spacing w:before="240" w:line="240" w:lineRule="auto"/>
      <w:outlineLvl w:val="2"/>
    </w:pPr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paragraph" w:styleId="Nadpis4">
    <w:name w:val="heading 4"/>
    <w:basedOn w:val="Normln"/>
    <w:next w:val="Zkladntext"/>
    <w:link w:val="Nadpis4Char1"/>
    <w:uiPriority w:val="99"/>
    <w:unhideWhenUsed/>
    <w:qFormat/>
    <w:rsid w:val="00B1050E"/>
    <w:pPr>
      <w:keepNext/>
      <w:keepLines/>
      <w:numPr>
        <w:ilvl w:val="3"/>
        <w:numId w:val="8"/>
      </w:numPr>
      <w:spacing w:after="120" w:line="240" w:lineRule="auto"/>
      <w:outlineLvl w:val="3"/>
    </w:pPr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paragraph" w:styleId="Nadpis5">
    <w:name w:val="heading 5"/>
    <w:basedOn w:val="Normln"/>
    <w:next w:val="Zkladntext"/>
    <w:link w:val="Nadpis5Char1"/>
    <w:uiPriority w:val="99"/>
    <w:unhideWhenUsed/>
    <w:qFormat/>
    <w:rsid w:val="000D1F6B"/>
    <w:pPr>
      <w:keepNext/>
      <w:keepLines/>
      <w:numPr>
        <w:ilvl w:val="4"/>
        <w:numId w:val="8"/>
      </w:numPr>
      <w:spacing w:after="120" w:line="240" w:lineRule="auto"/>
      <w:outlineLvl w:val="4"/>
    </w:pPr>
    <w:rPr>
      <w:rFonts w:asciiTheme="majorHAnsi" w:eastAsiaTheme="majorEastAsia" w:hAnsiTheme="majorHAnsi" w:cstheme="majorBidi"/>
      <w:color w:val="DC6900" w:themeColor="text2"/>
    </w:rPr>
  </w:style>
  <w:style w:type="paragraph" w:styleId="Nadpis6">
    <w:name w:val="heading 6"/>
    <w:basedOn w:val="Normln"/>
    <w:next w:val="Normln"/>
    <w:link w:val="Nadpis6Char1"/>
    <w:uiPriority w:val="99"/>
    <w:unhideWhenUsed/>
    <w:qFormat/>
    <w:rsid w:val="00E07317"/>
    <w:pPr>
      <w:keepNext/>
      <w:keepLines/>
      <w:numPr>
        <w:ilvl w:val="5"/>
        <w:numId w:val="8"/>
      </w:numPr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Nadpis7">
    <w:name w:val="heading 7"/>
    <w:basedOn w:val="Normln"/>
    <w:next w:val="Normln"/>
    <w:link w:val="Nadpis7Char1"/>
    <w:uiPriority w:val="99"/>
    <w:unhideWhenUsed/>
    <w:qFormat/>
    <w:rsid w:val="00E07317"/>
    <w:pPr>
      <w:keepNext/>
      <w:keepLines/>
      <w:numPr>
        <w:ilvl w:val="6"/>
        <w:numId w:val="8"/>
      </w:numPr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Nadpis8">
    <w:name w:val="heading 8"/>
    <w:basedOn w:val="Normln"/>
    <w:next w:val="Normln"/>
    <w:link w:val="Nadpis8Char1"/>
    <w:uiPriority w:val="99"/>
    <w:unhideWhenUsed/>
    <w:qFormat/>
    <w:rsid w:val="00E07317"/>
    <w:pPr>
      <w:keepNext/>
      <w:keepLines/>
      <w:numPr>
        <w:ilvl w:val="7"/>
        <w:numId w:val="8"/>
      </w:numPr>
      <w:spacing w:after="40" w:line="240" w:lineRule="auto"/>
      <w:outlineLvl w:val="7"/>
    </w:pPr>
    <w:rPr>
      <w:rFonts w:asciiTheme="majorHAnsi" w:eastAsiaTheme="majorEastAsia" w:hAnsiTheme="majorHAnsi" w:cstheme="majorBidi"/>
      <w:color w:val="DC6900" w:themeColor="text2"/>
    </w:rPr>
  </w:style>
  <w:style w:type="paragraph" w:styleId="Nadpis9">
    <w:name w:val="heading 9"/>
    <w:basedOn w:val="Normln"/>
    <w:next w:val="Normln"/>
    <w:link w:val="Nadpis9Char1"/>
    <w:uiPriority w:val="99"/>
    <w:unhideWhenUsed/>
    <w:qFormat/>
    <w:rsid w:val="00E07317"/>
    <w:pPr>
      <w:keepNext/>
      <w:keepLines/>
      <w:numPr>
        <w:ilvl w:val="8"/>
        <w:numId w:val="8"/>
      </w:numPr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DC6900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uiPriority w:val="99"/>
    <w:unhideWhenUsed/>
    <w:qFormat/>
    <w:rsid w:val="00DE297D"/>
    <w:pPr>
      <w:jc w:val="both"/>
    </w:pPr>
  </w:style>
  <w:style w:type="character" w:customStyle="1" w:styleId="ZkladntextChar1">
    <w:name w:val="Základní text Char1"/>
    <w:basedOn w:val="Standardnpsmoodstavce"/>
    <w:link w:val="Zkladntext"/>
    <w:uiPriority w:val="99"/>
    <w:rsid w:val="00DE297D"/>
    <w:rPr>
      <w:lang w:val="cs-CZ"/>
    </w:rPr>
  </w:style>
  <w:style w:type="paragraph" w:customStyle="1" w:styleId="BodySingle">
    <w:name w:val="Body Single"/>
    <w:basedOn w:val="Zkladntext"/>
    <w:link w:val="BodySingleChar"/>
    <w:qFormat/>
    <w:rsid w:val="00E07317"/>
    <w:pPr>
      <w:spacing w:after="0"/>
    </w:pPr>
  </w:style>
  <w:style w:type="paragraph" w:styleId="Zhlav">
    <w:name w:val="header"/>
    <w:basedOn w:val="Normln"/>
    <w:link w:val="ZhlavChar1"/>
    <w:uiPriority w:val="99"/>
    <w:unhideWhenUsed/>
    <w:rsid w:val="00E07317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ZkladntextChar1"/>
    <w:link w:val="BodySingle"/>
    <w:rsid w:val="00E07317"/>
    <w:rPr>
      <w:lang w:val="cs-CZ"/>
    </w:rPr>
  </w:style>
  <w:style w:type="character" w:customStyle="1" w:styleId="ZhlavChar1">
    <w:name w:val="Záhlaví Char1"/>
    <w:basedOn w:val="Standardnpsmoodstavce"/>
    <w:link w:val="Zhlav"/>
    <w:uiPriority w:val="99"/>
    <w:rsid w:val="00E07317"/>
    <w:rPr>
      <w:rFonts w:asciiTheme="minorHAnsi" w:hAnsiTheme="minorHAnsi"/>
      <w:sz w:val="19"/>
    </w:rPr>
  </w:style>
  <w:style w:type="paragraph" w:styleId="Zpat">
    <w:name w:val="footer"/>
    <w:basedOn w:val="Normln"/>
    <w:link w:val="ZpatChar1"/>
    <w:uiPriority w:val="99"/>
    <w:unhideWhenUsed/>
    <w:rsid w:val="00E07317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ZpatChar1">
    <w:name w:val="Zápatí Char1"/>
    <w:basedOn w:val="Standardnpsmoodstavce"/>
    <w:link w:val="Zpat"/>
    <w:uiPriority w:val="99"/>
    <w:rsid w:val="00E07317"/>
    <w:rPr>
      <w:rFonts w:asciiTheme="minorHAnsi" w:hAnsiTheme="minorHAnsi"/>
      <w:sz w:val="19"/>
    </w:rPr>
  </w:style>
  <w:style w:type="character" w:customStyle="1" w:styleId="Nadpis1Char1">
    <w:name w:val="Nadpis 1 Char1"/>
    <w:basedOn w:val="Standardnpsmoodstavce"/>
    <w:link w:val="Nadpis1"/>
    <w:uiPriority w:val="99"/>
    <w:rsid w:val="00AA1532"/>
    <w:rPr>
      <w:rFonts w:asciiTheme="majorHAnsi" w:eastAsiaTheme="majorEastAsia" w:hAnsiTheme="majorHAnsi" w:cstheme="majorBidi"/>
      <w:b/>
      <w:bCs/>
      <w:i/>
      <w:sz w:val="56"/>
      <w:szCs w:val="28"/>
      <w:lang w:val="cs-CZ"/>
    </w:rPr>
  </w:style>
  <w:style w:type="character" w:customStyle="1" w:styleId="Nadpis2Char1">
    <w:name w:val="Nadpis 2 Char1"/>
    <w:basedOn w:val="Standardnpsmoodstavce"/>
    <w:link w:val="Nadpis2"/>
    <w:uiPriority w:val="99"/>
    <w:rsid w:val="00DE297D"/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  <w:lang w:val="cs-CZ"/>
    </w:rPr>
  </w:style>
  <w:style w:type="character" w:customStyle="1" w:styleId="Nadpis3Char1">
    <w:name w:val="Nadpis 3 Char1"/>
    <w:basedOn w:val="Standardnpsmoodstavce"/>
    <w:link w:val="Nadpis3"/>
    <w:uiPriority w:val="99"/>
    <w:rsid w:val="001C6960"/>
    <w:rPr>
      <w:rFonts w:asciiTheme="majorHAnsi" w:eastAsiaTheme="majorEastAsia" w:hAnsiTheme="majorHAnsi" w:cstheme="majorBidi"/>
      <w:bCs/>
      <w:i/>
      <w:color w:val="DC6900" w:themeColor="text2"/>
      <w:sz w:val="32"/>
      <w:lang w:val="cs-CZ"/>
    </w:rPr>
  </w:style>
  <w:style w:type="character" w:customStyle="1" w:styleId="Nadpis4Char1">
    <w:name w:val="Nadpis 4 Char1"/>
    <w:basedOn w:val="Standardnpsmoodstavce"/>
    <w:link w:val="Nadpis4"/>
    <w:uiPriority w:val="99"/>
    <w:rsid w:val="00B1050E"/>
    <w:rPr>
      <w:rFonts w:asciiTheme="majorHAnsi" w:eastAsiaTheme="majorEastAsia" w:hAnsiTheme="majorHAnsi" w:cstheme="majorBidi"/>
      <w:bCs/>
      <w:iCs/>
      <w:color w:val="DC6900" w:themeColor="text2"/>
      <w:sz w:val="32"/>
      <w:lang w:val="cs-CZ"/>
    </w:rPr>
  </w:style>
  <w:style w:type="character" w:customStyle="1" w:styleId="Nadpis5Char1">
    <w:name w:val="Nadpis 5 Char1"/>
    <w:basedOn w:val="Standardnpsmoodstavce"/>
    <w:link w:val="Nadpis5"/>
    <w:uiPriority w:val="99"/>
    <w:rsid w:val="000D1F6B"/>
    <w:rPr>
      <w:rFonts w:asciiTheme="majorHAnsi" w:eastAsiaTheme="majorEastAsia" w:hAnsiTheme="majorHAnsi" w:cstheme="majorBidi"/>
      <w:color w:val="DC6900" w:themeColor="text2"/>
      <w:lang w:val="cs-CZ"/>
    </w:rPr>
  </w:style>
  <w:style w:type="paragraph" w:styleId="Nzev">
    <w:name w:val="Title"/>
    <w:basedOn w:val="Normln"/>
    <w:next w:val="Podtitul"/>
    <w:link w:val="NzevChar1"/>
    <w:uiPriority w:val="99"/>
    <w:qFormat/>
    <w:rsid w:val="00E07317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NzevChar1">
    <w:name w:val="Název Char1"/>
    <w:basedOn w:val="Standardnpsmoodstavce"/>
    <w:link w:val="Nzev"/>
    <w:uiPriority w:val="99"/>
    <w:rsid w:val="00E07317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E07317"/>
    <w:pPr>
      <w:outlineLvl w:val="9"/>
    </w:pPr>
    <w:rPr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E07317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07317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E973CC"/>
    <w:pPr>
      <w:pBdr>
        <w:top w:val="single" w:sz="8" w:space="4" w:color="DC6900" w:themeColor="text2"/>
      </w:pBdr>
      <w:tabs>
        <w:tab w:val="right" w:leader="dot" w:pos="9062"/>
      </w:tabs>
      <w:spacing w:before="120" w:after="120"/>
      <w:ind w:left="284" w:hanging="284"/>
    </w:pPr>
  </w:style>
  <w:style w:type="paragraph" w:styleId="Obsah2">
    <w:name w:val="toc 2"/>
    <w:basedOn w:val="Normln"/>
    <w:next w:val="Normln"/>
    <w:autoRedefine/>
    <w:uiPriority w:val="39"/>
    <w:unhideWhenUsed/>
    <w:rsid w:val="00E07317"/>
    <w:pPr>
      <w:pBdr>
        <w:top w:val="dotted" w:sz="8" w:space="4" w:color="DC6900" w:themeColor="text2"/>
      </w:pBdr>
      <w:spacing w:before="120" w:after="120"/>
      <w:ind w:left="284" w:hanging="284"/>
    </w:pPr>
  </w:style>
  <w:style w:type="paragraph" w:styleId="Obsah3">
    <w:name w:val="toc 3"/>
    <w:basedOn w:val="Normln"/>
    <w:next w:val="Normln"/>
    <w:autoRedefine/>
    <w:uiPriority w:val="39"/>
    <w:unhideWhenUsed/>
    <w:rsid w:val="00E07317"/>
    <w:pPr>
      <w:spacing w:before="120" w:after="120"/>
      <w:ind w:left="568" w:hanging="284"/>
    </w:pPr>
  </w:style>
  <w:style w:type="character" w:styleId="Hypertextovodkaz">
    <w:name w:val="Hyperlink"/>
    <w:basedOn w:val="Standardnpsmoodstavce"/>
    <w:uiPriority w:val="99"/>
    <w:unhideWhenUsed/>
    <w:rsid w:val="00E073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317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13"/>
    <w:unhideWhenUsed/>
    <w:qFormat/>
    <w:rsid w:val="00046C07"/>
    <w:pPr>
      <w:numPr>
        <w:numId w:val="4"/>
      </w:numPr>
      <w:spacing w:after="120"/>
    </w:pPr>
  </w:style>
  <w:style w:type="numbering" w:customStyle="1" w:styleId="PwCListBullets1">
    <w:name w:val="PwC List Bullets 1"/>
    <w:uiPriority w:val="99"/>
    <w:rsid w:val="00E07317"/>
    <w:pPr>
      <w:numPr>
        <w:numId w:val="1"/>
      </w:numPr>
    </w:pPr>
  </w:style>
  <w:style w:type="numbering" w:customStyle="1" w:styleId="PwCListNumbers1">
    <w:name w:val="PwC List Numbers 1"/>
    <w:uiPriority w:val="99"/>
    <w:rsid w:val="00E07317"/>
    <w:pPr>
      <w:numPr>
        <w:numId w:val="2"/>
      </w:numPr>
    </w:pPr>
  </w:style>
  <w:style w:type="paragraph" w:styleId="slovanseznam">
    <w:name w:val="List Number"/>
    <w:basedOn w:val="Normln"/>
    <w:uiPriority w:val="13"/>
    <w:unhideWhenUsed/>
    <w:qFormat/>
    <w:rsid w:val="00E07317"/>
    <w:pPr>
      <w:numPr>
        <w:numId w:val="3"/>
      </w:numPr>
      <w:contextualSpacing/>
    </w:pPr>
  </w:style>
  <w:style w:type="paragraph" w:styleId="Seznamsodrkami2">
    <w:name w:val="List Bullet 2"/>
    <w:basedOn w:val="Normln"/>
    <w:uiPriority w:val="13"/>
    <w:unhideWhenUsed/>
    <w:qFormat/>
    <w:rsid w:val="001B2AE1"/>
    <w:pPr>
      <w:numPr>
        <w:ilvl w:val="1"/>
        <w:numId w:val="4"/>
      </w:numPr>
      <w:ind w:left="992" w:hanging="425"/>
      <w:contextualSpacing/>
    </w:pPr>
  </w:style>
  <w:style w:type="paragraph" w:styleId="Seznamsodrkami3">
    <w:name w:val="List Bullet 3"/>
    <w:basedOn w:val="Normln"/>
    <w:uiPriority w:val="13"/>
    <w:unhideWhenUsed/>
    <w:qFormat/>
    <w:rsid w:val="00E07317"/>
    <w:pPr>
      <w:numPr>
        <w:ilvl w:val="2"/>
        <w:numId w:val="4"/>
      </w:numPr>
      <w:contextualSpacing/>
    </w:pPr>
  </w:style>
  <w:style w:type="paragraph" w:styleId="Seznamsodrkami4">
    <w:name w:val="List Bullet 4"/>
    <w:basedOn w:val="Normln"/>
    <w:uiPriority w:val="13"/>
    <w:unhideWhenUsed/>
    <w:rsid w:val="00E07317"/>
    <w:pPr>
      <w:numPr>
        <w:ilvl w:val="3"/>
        <w:numId w:val="4"/>
      </w:numPr>
      <w:contextualSpacing/>
    </w:pPr>
  </w:style>
  <w:style w:type="paragraph" w:styleId="Seznamsodrkami5">
    <w:name w:val="List Bullet 5"/>
    <w:basedOn w:val="Normln"/>
    <w:uiPriority w:val="13"/>
    <w:unhideWhenUsed/>
    <w:rsid w:val="00E07317"/>
    <w:pPr>
      <w:numPr>
        <w:ilvl w:val="4"/>
        <w:numId w:val="4"/>
      </w:numPr>
      <w:contextualSpacing/>
    </w:pPr>
  </w:style>
  <w:style w:type="paragraph" w:styleId="slovanseznam2">
    <w:name w:val="List Number 2"/>
    <w:basedOn w:val="Normln"/>
    <w:uiPriority w:val="13"/>
    <w:unhideWhenUsed/>
    <w:qFormat/>
    <w:rsid w:val="00E07317"/>
    <w:pPr>
      <w:numPr>
        <w:ilvl w:val="1"/>
        <w:numId w:val="3"/>
      </w:numPr>
      <w:contextualSpacing/>
    </w:pPr>
  </w:style>
  <w:style w:type="paragraph" w:styleId="slovanseznam3">
    <w:name w:val="List Number 3"/>
    <w:basedOn w:val="Normln"/>
    <w:uiPriority w:val="13"/>
    <w:unhideWhenUsed/>
    <w:qFormat/>
    <w:rsid w:val="00E07317"/>
    <w:pPr>
      <w:numPr>
        <w:ilvl w:val="2"/>
        <w:numId w:val="3"/>
      </w:numPr>
      <w:contextualSpacing/>
    </w:pPr>
  </w:style>
  <w:style w:type="paragraph" w:styleId="slovanseznam4">
    <w:name w:val="List Number 4"/>
    <w:basedOn w:val="Normln"/>
    <w:uiPriority w:val="13"/>
    <w:unhideWhenUsed/>
    <w:rsid w:val="00E07317"/>
    <w:pPr>
      <w:numPr>
        <w:ilvl w:val="3"/>
        <w:numId w:val="3"/>
      </w:numPr>
      <w:contextualSpacing/>
    </w:pPr>
  </w:style>
  <w:style w:type="paragraph" w:styleId="slovanseznam5">
    <w:name w:val="List Number 5"/>
    <w:basedOn w:val="Normln"/>
    <w:uiPriority w:val="13"/>
    <w:unhideWhenUsed/>
    <w:rsid w:val="00E07317"/>
    <w:pPr>
      <w:numPr>
        <w:ilvl w:val="4"/>
        <w:numId w:val="3"/>
      </w:numPr>
      <w:contextualSpacing/>
    </w:pPr>
  </w:style>
  <w:style w:type="paragraph" w:styleId="Seznam">
    <w:name w:val="List"/>
    <w:basedOn w:val="Normln"/>
    <w:uiPriority w:val="99"/>
    <w:semiHidden/>
    <w:unhideWhenUsed/>
    <w:rsid w:val="00E07317"/>
    <w:pPr>
      <w:ind w:left="567" w:hanging="567"/>
      <w:contextualSpacing/>
    </w:pPr>
  </w:style>
  <w:style w:type="paragraph" w:styleId="Seznam2">
    <w:name w:val="List 2"/>
    <w:basedOn w:val="Normln"/>
    <w:uiPriority w:val="99"/>
    <w:semiHidden/>
    <w:unhideWhenUsed/>
    <w:rsid w:val="00E07317"/>
    <w:pPr>
      <w:ind w:left="1134" w:hanging="567"/>
      <w:contextualSpacing/>
    </w:pPr>
  </w:style>
  <w:style w:type="paragraph" w:styleId="Pokraovnseznamu">
    <w:name w:val="List Continue"/>
    <w:basedOn w:val="Normln"/>
    <w:uiPriority w:val="14"/>
    <w:unhideWhenUsed/>
    <w:qFormat/>
    <w:rsid w:val="00E07317"/>
    <w:pPr>
      <w:spacing w:after="120"/>
      <w:ind w:left="567"/>
      <w:contextualSpacing/>
    </w:pPr>
  </w:style>
  <w:style w:type="paragraph" w:styleId="Pokraovnseznamu2">
    <w:name w:val="List Continue 2"/>
    <w:basedOn w:val="Normln"/>
    <w:uiPriority w:val="14"/>
    <w:unhideWhenUsed/>
    <w:qFormat/>
    <w:rsid w:val="00E07317"/>
    <w:pPr>
      <w:spacing w:after="120"/>
      <w:ind w:left="1134"/>
      <w:contextualSpacing/>
    </w:pPr>
  </w:style>
  <w:style w:type="paragraph" w:styleId="Pokraovnseznamu3">
    <w:name w:val="List Continue 3"/>
    <w:basedOn w:val="Normln"/>
    <w:uiPriority w:val="14"/>
    <w:unhideWhenUsed/>
    <w:qFormat/>
    <w:rsid w:val="00E07317"/>
    <w:pPr>
      <w:spacing w:after="120"/>
      <w:ind w:left="1701"/>
      <w:contextualSpacing/>
    </w:pPr>
  </w:style>
  <w:style w:type="paragraph" w:styleId="Pokraovnseznamu4">
    <w:name w:val="List Continue 4"/>
    <w:basedOn w:val="Normln"/>
    <w:uiPriority w:val="14"/>
    <w:semiHidden/>
    <w:unhideWhenUsed/>
    <w:rsid w:val="00E07317"/>
    <w:pPr>
      <w:spacing w:after="120"/>
      <w:ind w:left="2268"/>
      <w:contextualSpacing/>
    </w:pPr>
  </w:style>
  <w:style w:type="paragraph" w:styleId="Pokraovnseznamu5">
    <w:name w:val="List Continue 5"/>
    <w:basedOn w:val="Normln"/>
    <w:uiPriority w:val="14"/>
    <w:semiHidden/>
    <w:unhideWhenUsed/>
    <w:rsid w:val="00E07317"/>
    <w:pPr>
      <w:spacing w:after="120"/>
      <w:ind w:left="2835"/>
      <w:contextualSpacing/>
    </w:pPr>
  </w:style>
  <w:style w:type="paragraph" w:styleId="Seznam3">
    <w:name w:val="List 3"/>
    <w:basedOn w:val="Normln"/>
    <w:uiPriority w:val="99"/>
    <w:semiHidden/>
    <w:unhideWhenUsed/>
    <w:rsid w:val="00E07317"/>
    <w:pPr>
      <w:ind w:left="1701" w:hanging="567"/>
      <w:contextualSpacing/>
    </w:pPr>
  </w:style>
  <w:style w:type="paragraph" w:styleId="Seznam4">
    <w:name w:val="List 4"/>
    <w:basedOn w:val="Normln"/>
    <w:uiPriority w:val="99"/>
    <w:semiHidden/>
    <w:unhideWhenUsed/>
    <w:rsid w:val="00E07317"/>
    <w:pPr>
      <w:ind w:left="2268" w:hanging="567"/>
      <w:contextualSpacing/>
    </w:pPr>
  </w:style>
  <w:style w:type="paragraph" w:styleId="Seznam5">
    <w:name w:val="List 5"/>
    <w:basedOn w:val="Normln"/>
    <w:uiPriority w:val="99"/>
    <w:semiHidden/>
    <w:unhideWhenUsed/>
    <w:rsid w:val="00E07317"/>
    <w:pPr>
      <w:ind w:left="2835" w:hanging="567"/>
      <w:contextualSpacing/>
    </w:pPr>
  </w:style>
  <w:style w:type="table" w:styleId="Mkatabulky">
    <w:name w:val="Table Grid"/>
    <w:basedOn w:val="Normlntabulka"/>
    <w:rsid w:val="00E07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Figures">
    <w:name w:val="PwC Table Figures"/>
    <w:basedOn w:val="Normlntabulka"/>
    <w:uiPriority w:val="99"/>
    <w:qFormat/>
    <w:rsid w:val="00E07317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Normlntabulka"/>
    <w:uiPriority w:val="99"/>
    <w:qFormat/>
    <w:rsid w:val="00E07317"/>
    <w:pPr>
      <w:spacing w:before="60" w:after="60" w:line="240" w:lineRule="auto"/>
    </w:pPr>
    <w:tblPr>
      <w:tblStyleRowBandSize w:val="1"/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Nadpis1"/>
    <w:uiPriority w:val="99"/>
    <w:qFormat/>
    <w:rsid w:val="00E07317"/>
    <w:rPr>
      <w:b w:val="0"/>
      <w:i w:val="0"/>
    </w:rPr>
  </w:style>
  <w:style w:type="paragraph" w:customStyle="1" w:styleId="Heading1NoSpacing">
    <w:name w:val="Heading 1 No Spacing"/>
    <w:basedOn w:val="Nadpis1"/>
    <w:next w:val="Nadpis2"/>
    <w:link w:val="Heading1NoSpacingChar"/>
    <w:uiPriority w:val="9"/>
    <w:qFormat/>
    <w:rsid w:val="00750457"/>
  </w:style>
  <w:style w:type="character" w:customStyle="1" w:styleId="Heading1NoSpacingChar">
    <w:name w:val="Heading 1 No Spacing Char"/>
    <w:basedOn w:val="Nadpis1Char1"/>
    <w:link w:val="Heading1NoSpacing"/>
    <w:uiPriority w:val="9"/>
    <w:rsid w:val="00750457"/>
    <w:rPr>
      <w:rFonts w:asciiTheme="majorHAnsi" w:eastAsiaTheme="majorEastAsia" w:hAnsiTheme="majorHAnsi" w:cstheme="majorBidi"/>
      <w:b/>
      <w:bCs/>
      <w:i/>
      <w:sz w:val="56"/>
      <w:szCs w:val="28"/>
      <w:lang w:val="cs-CZ"/>
    </w:rPr>
  </w:style>
  <w:style w:type="character" w:customStyle="1" w:styleId="Nadpis6Char1">
    <w:name w:val="Nadpis 6 Char1"/>
    <w:basedOn w:val="Standardnpsmoodstavce"/>
    <w:link w:val="Nadpis6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character" w:customStyle="1" w:styleId="Nadpis7Char1">
    <w:name w:val="Nadpis 7 Char1"/>
    <w:basedOn w:val="Standardnpsmoodstavce"/>
    <w:link w:val="Nadpis7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character" w:customStyle="1" w:styleId="Nadpis8Char1">
    <w:name w:val="Nadpis 8 Char1"/>
    <w:basedOn w:val="Standardnpsmoodstavce"/>
    <w:link w:val="Nadpis8"/>
    <w:uiPriority w:val="99"/>
    <w:rsid w:val="00E07317"/>
    <w:rPr>
      <w:rFonts w:asciiTheme="majorHAnsi" w:eastAsiaTheme="majorEastAsia" w:hAnsiTheme="majorHAnsi" w:cstheme="majorBidi"/>
      <w:color w:val="DC6900" w:themeColor="text2"/>
      <w:lang w:val="cs-CZ"/>
    </w:rPr>
  </w:style>
  <w:style w:type="character" w:customStyle="1" w:styleId="Nadpis9Char1">
    <w:name w:val="Nadpis 9 Char1"/>
    <w:basedOn w:val="Standardnpsmoodstavce"/>
    <w:link w:val="Nadpis9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paragraph" w:styleId="Obsah4">
    <w:name w:val="toc 4"/>
    <w:basedOn w:val="Normln"/>
    <w:next w:val="Normln"/>
    <w:autoRedefine/>
    <w:uiPriority w:val="39"/>
    <w:unhideWhenUsed/>
    <w:rsid w:val="00E07317"/>
    <w:pPr>
      <w:spacing w:after="120"/>
      <w:ind w:left="851" w:hanging="284"/>
    </w:pPr>
  </w:style>
  <w:style w:type="paragraph" w:styleId="Obsah5">
    <w:name w:val="toc 5"/>
    <w:basedOn w:val="Normln"/>
    <w:next w:val="Normln"/>
    <w:autoRedefine/>
    <w:uiPriority w:val="39"/>
    <w:unhideWhenUsed/>
    <w:rsid w:val="00E07317"/>
    <w:pPr>
      <w:spacing w:after="120"/>
      <w:ind w:left="1135" w:hanging="284"/>
    </w:pPr>
  </w:style>
  <w:style w:type="paragraph" w:styleId="Obsah6">
    <w:name w:val="toc 6"/>
    <w:basedOn w:val="Normln"/>
    <w:next w:val="Normln"/>
    <w:autoRedefine/>
    <w:uiPriority w:val="39"/>
    <w:unhideWhenUsed/>
    <w:rsid w:val="00E07317"/>
    <w:pPr>
      <w:spacing w:after="120"/>
      <w:ind w:left="1418" w:hanging="284"/>
    </w:pPr>
  </w:style>
  <w:style w:type="paragraph" w:styleId="Obsah7">
    <w:name w:val="toc 7"/>
    <w:basedOn w:val="Normln"/>
    <w:next w:val="Normln"/>
    <w:autoRedefine/>
    <w:uiPriority w:val="39"/>
    <w:unhideWhenUsed/>
    <w:rsid w:val="00E07317"/>
    <w:pPr>
      <w:spacing w:after="120"/>
      <w:ind w:left="1702" w:hanging="284"/>
    </w:pPr>
  </w:style>
  <w:style w:type="paragraph" w:styleId="Obsah8">
    <w:name w:val="toc 8"/>
    <w:basedOn w:val="Normln"/>
    <w:next w:val="Normln"/>
    <w:autoRedefine/>
    <w:uiPriority w:val="39"/>
    <w:unhideWhenUsed/>
    <w:rsid w:val="00E07317"/>
    <w:pPr>
      <w:spacing w:after="120"/>
      <w:ind w:left="1985" w:hanging="284"/>
    </w:pPr>
  </w:style>
  <w:style w:type="paragraph" w:styleId="Obsah9">
    <w:name w:val="toc 9"/>
    <w:basedOn w:val="Normln"/>
    <w:next w:val="Normln"/>
    <w:autoRedefine/>
    <w:uiPriority w:val="39"/>
    <w:unhideWhenUsed/>
    <w:rsid w:val="00E07317"/>
    <w:pPr>
      <w:spacing w:after="120"/>
      <w:ind w:left="2269" w:hanging="284"/>
    </w:pPr>
  </w:style>
  <w:style w:type="character" w:styleId="Zvraznn">
    <w:name w:val="Emphasis"/>
    <w:basedOn w:val="Standardnpsmoodstavce"/>
    <w:uiPriority w:val="99"/>
    <w:qFormat/>
    <w:rsid w:val="00E07317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E073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07317"/>
    <w:rPr>
      <w:i/>
      <w:iCs/>
      <w:color w:val="000000" w:themeColor="text1"/>
    </w:rPr>
  </w:style>
  <w:style w:type="paragraph" w:styleId="Textvbloku">
    <w:name w:val="Block Text"/>
    <w:basedOn w:val="Normln"/>
    <w:next w:val="Zkladntext3"/>
    <w:uiPriority w:val="99"/>
    <w:unhideWhenUsed/>
    <w:qFormat/>
    <w:rsid w:val="00E07317"/>
    <w:pPr>
      <w:spacing w:line="240" w:lineRule="auto"/>
    </w:pPr>
    <w:rPr>
      <w:b/>
      <w:i/>
      <w:color w:val="DC6900" w:themeColor="text2"/>
      <w:sz w:val="48"/>
      <w:szCs w:val="48"/>
    </w:rPr>
  </w:style>
  <w:style w:type="paragraph" w:customStyle="1" w:styleId="BlockText2">
    <w:name w:val="Block Text 2"/>
    <w:basedOn w:val="Normln"/>
    <w:uiPriority w:val="99"/>
    <w:qFormat/>
    <w:rsid w:val="00E07317"/>
    <w:pPr>
      <w:pBdr>
        <w:top w:val="single" w:sz="2" w:space="10" w:color="DC6900" w:themeColor="text2"/>
        <w:left w:val="single" w:sz="2" w:space="10" w:color="DC6900" w:themeColor="text2"/>
        <w:bottom w:val="single" w:sz="2" w:space="10" w:color="DC6900" w:themeColor="text2"/>
        <w:right w:val="single" w:sz="2" w:space="10" w:color="DC6900" w:themeColor="text2"/>
      </w:pBdr>
      <w:shd w:val="clear" w:color="auto" w:fill="DC690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Textvbloku"/>
    <w:uiPriority w:val="99"/>
    <w:qFormat/>
    <w:rsid w:val="00E07317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DC6900" w:themeColor="accent1"/>
      <w:sz w:val="96"/>
      <w:szCs w:val="20"/>
    </w:rPr>
  </w:style>
  <w:style w:type="paragraph" w:styleId="Zkladntext3">
    <w:name w:val="Body Text 3"/>
    <w:basedOn w:val="Normln"/>
    <w:link w:val="Zkladntext3Char1"/>
    <w:uiPriority w:val="99"/>
    <w:unhideWhenUsed/>
    <w:rsid w:val="00E07317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basedOn w:val="Standardnpsmoodstavce"/>
    <w:link w:val="Zkladntext3"/>
    <w:uiPriority w:val="99"/>
    <w:rsid w:val="00E07317"/>
    <w:rPr>
      <w:sz w:val="16"/>
      <w:szCs w:val="16"/>
    </w:rPr>
  </w:style>
  <w:style w:type="paragraph" w:customStyle="1" w:styleId="Disclaimer">
    <w:name w:val="Disclaimer"/>
    <w:link w:val="DisclaimerChar"/>
    <w:qFormat/>
    <w:rsid w:val="001E4CB2"/>
    <w:pPr>
      <w:spacing w:after="60" w:line="240" w:lineRule="auto"/>
    </w:pPr>
    <w:rPr>
      <w:rFonts w:ascii="Arial" w:eastAsia="Times New Roman" w:hAnsi="Arial" w:cs="Times New Roman"/>
      <w:noProof/>
      <w:sz w:val="12"/>
      <w:lang w:val="en-US"/>
    </w:rPr>
  </w:style>
  <w:style w:type="paragraph" w:styleId="Odstavecseseznamem">
    <w:name w:val="List Paragraph"/>
    <w:aliases w:val="Table of contents numbered"/>
    <w:basedOn w:val="Normln"/>
    <w:link w:val="OdstavecseseznamemChar"/>
    <w:uiPriority w:val="34"/>
    <w:unhideWhenUsed/>
    <w:qFormat/>
    <w:rsid w:val="001133EF"/>
    <w:pPr>
      <w:ind w:left="720"/>
      <w:contextualSpacing/>
    </w:pPr>
  </w:style>
  <w:style w:type="character" w:customStyle="1" w:styleId="OdstavecseseznamemChar">
    <w:name w:val="Odstavec se seznamem Char"/>
    <w:aliases w:val="Table of contents numbered Char"/>
    <w:basedOn w:val="Standardnpsmoodstavce"/>
    <w:link w:val="Odstavecseseznamem"/>
    <w:uiPriority w:val="34"/>
    <w:rsid w:val="001133EF"/>
    <w:rPr>
      <w:lang w:val="cs-CZ"/>
    </w:rPr>
  </w:style>
  <w:style w:type="paragraph" w:styleId="Titulek">
    <w:name w:val="caption"/>
    <w:basedOn w:val="Normln"/>
    <w:next w:val="Normln"/>
    <w:unhideWhenUsed/>
    <w:qFormat/>
    <w:rsid w:val="00EA768E"/>
    <w:pPr>
      <w:spacing w:before="240" w:after="200" w:line="240" w:lineRule="auto"/>
    </w:pPr>
    <w:rPr>
      <w:b/>
      <w:bCs/>
      <w:color w:val="DC6900" w:themeColor="accen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77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772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9777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7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728"/>
    <w:rPr>
      <w:b/>
      <w:bCs/>
    </w:rPr>
  </w:style>
  <w:style w:type="paragraph" w:styleId="Textpoznpodarou">
    <w:name w:val="footnote text"/>
    <w:aliases w:val="Text poznámky pod čiarou 007,Footnote,fn,Footnotes,Footnote ak,fn Char,footnote text Char,Footnotes Char,Footnote ak Char,ft,fn cafc,Footnotes Char Char,Footnote Text Char Char,fn Char Char,footnote text Char Char Char Ch,fn1"/>
    <w:basedOn w:val="Normln"/>
    <w:link w:val="TextpoznpodarouChar"/>
    <w:uiPriority w:val="99"/>
    <w:unhideWhenUsed/>
    <w:qFormat/>
    <w:rsid w:val="00917769"/>
    <w:pPr>
      <w:spacing w:after="0" w:line="240" w:lineRule="auto"/>
    </w:pPr>
    <w:rPr>
      <w:rFonts w:eastAsia="Arial" w:cs="Times New Roman"/>
    </w:rPr>
  </w:style>
  <w:style w:type="character" w:customStyle="1" w:styleId="TextpoznpodarouChar">
    <w:name w:val="Text pozn. pod čarou Char"/>
    <w:aliases w:val="Text poznámky pod čiarou 007 Char,Footnote Char,fn Char1,Footnotes Char1,Footnote ak Char1,fn Char Char1,footnote text Char Char,Footnotes Char Char1,Footnote ak Char Char,ft Char,fn cafc Char,Footnotes Char Char Char,fn1 Char"/>
    <w:basedOn w:val="Standardnpsmoodstavce"/>
    <w:link w:val="Textpoznpodarou"/>
    <w:uiPriority w:val="99"/>
    <w:rsid w:val="00917769"/>
    <w:rPr>
      <w:rFonts w:eastAsia="Arial" w:cs="Times New Roman"/>
      <w:lang w:val="cs-CZ"/>
    </w:rPr>
  </w:style>
  <w:style w:type="character" w:styleId="Znakapoznpodarou">
    <w:name w:val="footnote reference"/>
    <w:aliases w:val="Ref,de nota al pie,Ref1,de nota al pie1,Ref2,de nota al pie2,Ref11,de nota al pie11, BVI fnr,BVI fnr,Footnote symbol,Footnote reference number,Times 10 Point,Exposant 3 Point,note TESI,SUPERS,EN Footnote text,number,E F,no..."/>
    <w:basedOn w:val="Standardnpsmoodstavce"/>
    <w:uiPriority w:val="99"/>
    <w:unhideWhenUsed/>
    <w:rsid w:val="00917769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917769"/>
    <w:rPr>
      <w:b/>
      <w:bCs/>
      <w:i/>
      <w:iCs/>
      <w:color w:val="DC6900" w:themeColor="accent1"/>
    </w:rPr>
  </w:style>
  <w:style w:type="paragraph" w:customStyle="1" w:styleId="Appendix">
    <w:name w:val="Appendix"/>
    <w:basedOn w:val="Nadpis1"/>
    <w:next w:val="Normln"/>
    <w:uiPriority w:val="99"/>
    <w:qFormat/>
    <w:rsid w:val="00B219D6"/>
    <w:pPr>
      <w:numPr>
        <w:numId w:val="6"/>
      </w:numPr>
      <w:spacing w:after="240"/>
    </w:pPr>
  </w:style>
  <w:style w:type="numbering" w:customStyle="1" w:styleId="PwCAppendixList1">
    <w:name w:val="PwC Appendix List 1"/>
    <w:uiPriority w:val="99"/>
    <w:rsid w:val="00B219D6"/>
    <w:pPr>
      <w:numPr>
        <w:numId w:val="5"/>
      </w:numPr>
    </w:pPr>
  </w:style>
  <w:style w:type="table" w:styleId="Svtlmkazvraznn2">
    <w:name w:val="Light Grid Accent 2"/>
    <w:basedOn w:val="Normlntabulka"/>
    <w:uiPriority w:val="62"/>
    <w:rsid w:val="00060566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  <w:insideH w:val="single" w:sz="8" w:space="0" w:color="FFB600" w:themeColor="accent2"/>
        <w:insideV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1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  <w:shd w:val="clear" w:color="auto" w:fill="FFECC0" w:themeFill="accent2" w:themeFillTint="3F"/>
      </w:tcPr>
    </w:tblStylePr>
    <w:tblStylePr w:type="band2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</w:tcPr>
    </w:tblStylePr>
  </w:style>
  <w:style w:type="table" w:styleId="Svtlseznamzvraznn6">
    <w:name w:val="Light List Accent 6"/>
    <w:basedOn w:val="Normlntabulka"/>
    <w:uiPriority w:val="66"/>
    <w:rsid w:val="008A60E6"/>
    <w:pPr>
      <w:spacing w:after="0" w:line="240" w:lineRule="auto"/>
    </w:pPr>
    <w:rPr>
      <w:rFonts w:eastAsia="Arial" w:cs="Times New Roman"/>
      <w:lang w:eastAsia="en-GB"/>
    </w:r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A26C2E"/>
    <w:rPr>
      <w:color w:val="0000FF" w:themeColor="followedHyperlink"/>
      <w:u w:val="single"/>
    </w:rPr>
  </w:style>
  <w:style w:type="paragraph" w:customStyle="1" w:styleId="TOCHeading1">
    <w:name w:val="TOC Heading1"/>
    <w:basedOn w:val="Nadpis1"/>
    <w:next w:val="Normln"/>
    <w:uiPriority w:val="39"/>
    <w:unhideWhenUsed/>
    <w:qFormat/>
    <w:rsid w:val="005957A0"/>
    <w:pPr>
      <w:numPr>
        <w:numId w:val="0"/>
      </w:numPr>
      <w:outlineLvl w:val="9"/>
    </w:pPr>
    <w:rPr>
      <w:rFonts w:ascii="Georgia" w:eastAsia="Times New Roman" w:hAnsi="Georgia" w:cs="Times New Roman"/>
      <w:lang w:val="en-US"/>
    </w:r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5957A0"/>
    <w:rPr>
      <w:rFonts w:eastAsia="Arial" w:cs="Times New Roman"/>
      <w:i/>
      <w:iCs/>
      <w:color w:val="000000"/>
    </w:rPr>
  </w:style>
  <w:style w:type="character" w:customStyle="1" w:styleId="ColorfulGrid-Accent1Char">
    <w:name w:val="Colorful Grid - Accent 1 Char"/>
    <w:basedOn w:val="Standardnpsmoodstavce"/>
    <w:link w:val="ColorfulGrid-Accent11"/>
    <w:uiPriority w:val="29"/>
    <w:rsid w:val="005957A0"/>
    <w:rPr>
      <w:rFonts w:eastAsia="Arial" w:cs="Times New Roman"/>
      <w:i/>
      <w:iCs/>
      <w:color w:val="000000"/>
      <w:lang w:val="cs-CZ"/>
    </w:rPr>
  </w:style>
  <w:style w:type="character" w:customStyle="1" w:styleId="DisclaimerChar">
    <w:name w:val="Disclaimer Char"/>
    <w:basedOn w:val="Standardnpsmoodstavce"/>
    <w:link w:val="Disclaimer"/>
    <w:rsid w:val="005957A0"/>
    <w:rPr>
      <w:rFonts w:ascii="Arial" w:eastAsia="Times New Roman" w:hAnsi="Arial" w:cs="Times New Roman"/>
      <w:noProof/>
      <w:sz w:val="12"/>
      <w:lang w:val="en-US"/>
    </w:rPr>
  </w:style>
  <w:style w:type="paragraph" w:customStyle="1" w:styleId="PwCAddress">
    <w:name w:val="PwC Address"/>
    <w:basedOn w:val="Normln"/>
    <w:link w:val="PwCAddressChar"/>
    <w:qFormat/>
    <w:rsid w:val="005957A0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PwCAddressChar">
    <w:name w:val="PwC Address Char"/>
    <w:basedOn w:val="Standardnpsmoodstavce"/>
    <w:link w:val="PwCAddress"/>
    <w:rsid w:val="005957A0"/>
    <w:rPr>
      <w:i/>
      <w:noProof/>
      <w:sz w:val="18"/>
      <w:szCs w:val="22"/>
      <w:lang w:val="cs-CZ" w:eastAsia="en-GB"/>
    </w:rPr>
  </w:style>
  <w:style w:type="character" w:customStyle="1" w:styleId="AddressChar">
    <w:name w:val="Address Char"/>
    <w:basedOn w:val="Standardnpsmoodstavce"/>
    <w:link w:val="Address"/>
    <w:locked/>
    <w:rsid w:val="005957A0"/>
    <w:rPr>
      <w:i/>
      <w:noProof/>
      <w:sz w:val="18"/>
      <w:szCs w:val="22"/>
    </w:rPr>
  </w:style>
  <w:style w:type="paragraph" w:customStyle="1" w:styleId="Address">
    <w:name w:val="Address"/>
    <w:basedOn w:val="Normln"/>
    <w:link w:val="AddressChar"/>
    <w:qFormat/>
    <w:rsid w:val="005957A0"/>
    <w:pPr>
      <w:spacing w:after="0" w:line="200" w:lineRule="atLeast"/>
    </w:pPr>
    <w:rPr>
      <w:i/>
      <w:noProof/>
      <w:sz w:val="18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957A0"/>
    <w:pPr>
      <w:spacing w:after="0" w:line="240" w:lineRule="auto"/>
    </w:pPr>
    <w:rPr>
      <w:rFonts w:eastAsia="Arial" w:cs="Times New Roma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957A0"/>
    <w:rPr>
      <w:rFonts w:eastAsia="Arial" w:cs="Times New Roman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957A0"/>
    <w:rPr>
      <w:vertAlign w:val="superscript"/>
    </w:rPr>
  </w:style>
  <w:style w:type="paragraph" w:styleId="Revize">
    <w:name w:val="Revision"/>
    <w:hidden/>
    <w:uiPriority w:val="71"/>
    <w:rsid w:val="005957A0"/>
    <w:pPr>
      <w:spacing w:after="0" w:line="240" w:lineRule="auto"/>
    </w:pPr>
    <w:rPr>
      <w:rFonts w:eastAsia="Arial" w:cs="Times New Roman"/>
      <w:lang w:val="cs-CZ"/>
    </w:rPr>
  </w:style>
  <w:style w:type="paragraph" w:styleId="Normlnweb">
    <w:name w:val="Normal (Web)"/>
    <w:basedOn w:val="Normln"/>
    <w:uiPriority w:val="99"/>
    <w:semiHidden/>
    <w:unhideWhenUsed/>
    <w:rsid w:val="00FF61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Barevntabulkasmkou7zvraznn61">
    <w:name w:val="Barevná tabulka s mřížkou 7 – zvýraznění 61"/>
    <w:basedOn w:val="Normlntabulka"/>
    <w:uiPriority w:val="52"/>
    <w:rsid w:val="00817B86"/>
    <w:pPr>
      <w:spacing w:after="0" w:line="240" w:lineRule="auto"/>
    </w:pPr>
    <w:rPr>
      <w:color w:val="A72316" w:themeColor="accent6" w:themeShade="BF"/>
    </w:rPr>
    <w:tblPr>
      <w:tblStyleRowBandSize w:val="1"/>
      <w:tblStyleColBandSize w:val="1"/>
      <w:tblBorders>
        <w:top w:val="single" w:sz="4" w:space="0" w:color="EC8277" w:themeColor="accent6" w:themeTint="99"/>
        <w:left w:val="single" w:sz="4" w:space="0" w:color="EC8277" w:themeColor="accent6" w:themeTint="99"/>
        <w:bottom w:val="single" w:sz="4" w:space="0" w:color="EC8277" w:themeColor="accent6" w:themeTint="99"/>
        <w:right w:val="single" w:sz="4" w:space="0" w:color="EC8277" w:themeColor="accent6" w:themeTint="99"/>
        <w:insideH w:val="single" w:sz="4" w:space="0" w:color="EC8277" w:themeColor="accent6" w:themeTint="99"/>
        <w:insideV w:val="single" w:sz="4" w:space="0" w:color="EC827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5D1" w:themeFill="accent6" w:themeFillTint="33"/>
      </w:tcPr>
    </w:tblStylePr>
    <w:tblStylePr w:type="band1Horz">
      <w:tblPr/>
      <w:tcPr>
        <w:shd w:val="clear" w:color="auto" w:fill="F9D5D1" w:themeFill="accent6" w:themeFillTint="33"/>
      </w:tcPr>
    </w:tblStylePr>
    <w:tblStylePr w:type="neCell">
      <w:tblPr/>
      <w:tcPr>
        <w:tcBorders>
          <w:bottom w:val="single" w:sz="4" w:space="0" w:color="EC8277" w:themeColor="accent6" w:themeTint="99"/>
        </w:tcBorders>
      </w:tcPr>
    </w:tblStylePr>
    <w:tblStylePr w:type="nwCell">
      <w:tblPr/>
      <w:tcPr>
        <w:tcBorders>
          <w:bottom w:val="single" w:sz="4" w:space="0" w:color="EC8277" w:themeColor="accent6" w:themeTint="99"/>
        </w:tcBorders>
      </w:tcPr>
    </w:tblStylePr>
    <w:tblStylePr w:type="seCell">
      <w:tblPr/>
      <w:tcPr>
        <w:tcBorders>
          <w:top w:val="single" w:sz="4" w:space="0" w:color="EC8277" w:themeColor="accent6" w:themeTint="99"/>
        </w:tcBorders>
      </w:tcPr>
    </w:tblStylePr>
    <w:tblStylePr w:type="swCell">
      <w:tblPr/>
      <w:tcPr>
        <w:tcBorders>
          <w:top w:val="single" w:sz="4" w:space="0" w:color="EC8277" w:themeColor="accent6" w:themeTint="99"/>
        </w:tcBorders>
      </w:tcPr>
    </w:tblStylePr>
  </w:style>
  <w:style w:type="paragraph" w:customStyle="1" w:styleId="NumberedList">
    <w:name w:val="Numbered List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paragraph" w:customStyle="1" w:styleId="BulletedList">
    <w:name w:val="Bulleted List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paragraph" w:styleId="Zkladntext2">
    <w:name w:val="Body Text 2"/>
    <w:basedOn w:val="Normln"/>
    <w:next w:val="Normln"/>
    <w:link w:val="Zkladntext2Char1"/>
    <w:uiPriority w:val="99"/>
    <w:rsid w:val="001157B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Theme="minorEastAsia" w:hAnsi="Times New Roman" w:cs="Times New Roman"/>
      <w:color w:val="000000"/>
      <w:sz w:val="18"/>
      <w:szCs w:val="18"/>
      <w:shd w:val="clear" w:color="auto" w:fill="FFFFFF"/>
      <w:lang w:val="en-AU"/>
    </w:rPr>
  </w:style>
  <w:style w:type="character" w:customStyle="1" w:styleId="Zkladntext2Char1">
    <w:name w:val="Základní text 2 Char1"/>
    <w:basedOn w:val="Standardnpsmoodstavce"/>
    <w:link w:val="Zkladntext2"/>
    <w:uiPriority w:val="99"/>
    <w:rsid w:val="001157B1"/>
    <w:rPr>
      <w:rFonts w:ascii="Times New Roman" w:eastAsiaTheme="minorEastAsia" w:hAnsi="Times New Roman" w:cs="Times New Roman"/>
      <w:color w:val="000000"/>
      <w:sz w:val="18"/>
      <w:szCs w:val="18"/>
      <w:lang w:val="en-AU"/>
    </w:rPr>
  </w:style>
  <w:style w:type="paragraph" w:styleId="Nadpispoznmky">
    <w:name w:val="Note Heading"/>
    <w:basedOn w:val="Normln"/>
    <w:next w:val="Normln"/>
    <w:link w:val="NadpispoznmkyChar1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character" w:customStyle="1" w:styleId="NadpispoznmkyChar1">
    <w:name w:val="Nadpis poznámky Char1"/>
    <w:basedOn w:val="Standardnpsmoodstavce"/>
    <w:link w:val="Nadpispoznmky"/>
    <w:uiPriority w:val="99"/>
    <w:rsid w:val="001157B1"/>
    <w:rPr>
      <w:rFonts w:ascii="Times New Roman" w:eastAsiaTheme="minorEastAsia" w:hAnsi="Times New Roman" w:cs="Times New Roman"/>
      <w:color w:val="000000"/>
      <w:lang w:val="en-AU"/>
    </w:rPr>
  </w:style>
  <w:style w:type="paragraph" w:styleId="Prosttext">
    <w:name w:val="Plain Text"/>
    <w:basedOn w:val="Normln"/>
    <w:next w:val="Normln"/>
    <w:link w:val="ProsttextChar1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hd w:val="clear" w:color="auto" w:fill="FFFFFF"/>
      <w:lang w:val="en-AU"/>
    </w:rPr>
  </w:style>
  <w:style w:type="character" w:customStyle="1" w:styleId="ProsttextChar1">
    <w:name w:val="Prostý text Char1"/>
    <w:basedOn w:val="Standardnpsmoodstavce"/>
    <w:link w:val="Prosttext"/>
    <w:uiPriority w:val="99"/>
    <w:rsid w:val="001157B1"/>
    <w:rPr>
      <w:rFonts w:ascii="Courier New" w:eastAsiaTheme="minorEastAsia" w:hAnsi="Courier New" w:cs="Courier New"/>
      <w:color w:val="000000"/>
      <w:lang w:val="en-AU"/>
    </w:rPr>
  </w:style>
  <w:style w:type="character" w:styleId="Siln">
    <w:name w:val="Strong"/>
    <w:basedOn w:val="Standardnpsmoodstavce"/>
    <w:qFormat/>
    <w:rsid w:val="001157B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de">
    <w:name w:val="Code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/>
    </w:rPr>
  </w:style>
  <w:style w:type="character" w:customStyle="1" w:styleId="FieldLabel">
    <w:name w:val="Field Label"/>
    <w:uiPriority w:val="99"/>
    <w:rsid w:val="001157B1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1157B1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1157B1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1157B1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hd w:val="clear" w:color="auto" w:fill="FFFFFF"/>
      <w:lang w:val="en-AU"/>
    </w:rPr>
  </w:style>
  <w:style w:type="character" w:customStyle="1" w:styleId="SSTemplateField">
    <w:name w:val="SSTemplateField"/>
    <w:uiPriority w:val="99"/>
    <w:rsid w:val="001157B1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character" w:customStyle="1" w:styleId="Nadpis1Char">
    <w:name w:val="Nadpis 1 Char"/>
    <w:uiPriority w:val="99"/>
    <w:rsid w:val="001157B1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Nadpis2Char">
    <w:name w:val="Nadpis 2 Char"/>
    <w:uiPriority w:val="99"/>
    <w:rsid w:val="001157B1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uiPriority w:val="99"/>
    <w:rsid w:val="001157B1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uiPriority w:val="99"/>
    <w:rsid w:val="001157B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uiPriority w:val="99"/>
    <w:rsid w:val="001157B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uiPriority w:val="99"/>
    <w:rsid w:val="001157B1"/>
    <w:rPr>
      <w:rFonts w:ascii="Times New Roman" w:hAnsi="Times New Roman" w:cs="Times New Roman"/>
      <w:b/>
      <w:bCs/>
      <w:color w:val="000000"/>
    </w:rPr>
  </w:style>
  <w:style w:type="character" w:customStyle="1" w:styleId="Nadpis7Char">
    <w:name w:val="Nadpis 7 Char"/>
    <w:uiPriority w:val="99"/>
    <w:rsid w:val="001157B1"/>
    <w:rPr>
      <w:rFonts w:ascii="Times New Roman" w:hAnsi="Times New Roman" w:cs="Times New Roman"/>
      <w:color w:val="000000"/>
    </w:rPr>
  </w:style>
  <w:style w:type="character" w:customStyle="1" w:styleId="Nadpis8Char">
    <w:name w:val="Nadpis 8 Char"/>
    <w:uiPriority w:val="99"/>
    <w:rsid w:val="001157B1"/>
    <w:rPr>
      <w:rFonts w:ascii="Times New Roman" w:hAnsi="Times New Roman" w:cs="Times New Roman"/>
      <w:i/>
      <w:iCs/>
      <w:color w:val="000000"/>
    </w:rPr>
  </w:style>
  <w:style w:type="character" w:customStyle="1" w:styleId="Nadpis9Char">
    <w:name w:val="Nadpis 9 Char"/>
    <w:uiPriority w:val="99"/>
    <w:rsid w:val="001157B1"/>
    <w:rPr>
      <w:rFonts w:ascii="Cambria" w:hAnsi="Cambria" w:cs="Cambria"/>
      <w:color w:val="000000"/>
    </w:rPr>
  </w:style>
  <w:style w:type="character" w:customStyle="1" w:styleId="NzevChar">
    <w:name w:val="Název Char"/>
    <w:uiPriority w:val="99"/>
    <w:rsid w:val="001157B1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ZkladntextChar">
    <w:name w:val="Základní text Char"/>
    <w:uiPriority w:val="99"/>
    <w:rsid w:val="001157B1"/>
    <w:rPr>
      <w:color w:val="000000"/>
      <w:sz w:val="20"/>
      <w:szCs w:val="20"/>
    </w:rPr>
  </w:style>
  <w:style w:type="character" w:customStyle="1" w:styleId="Zkladntext2Char">
    <w:name w:val="Základní text 2 Char"/>
    <w:uiPriority w:val="99"/>
    <w:rsid w:val="001157B1"/>
    <w:rPr>
      <w:color w:val="000000"/>
      <w:sz w:val="20"/>
      <w:szCs w:val="20"/>
    </w:rPr>
  </w:style>
  <w:style w:type="character" w:customStyle="1" w:styleId="Zkladntext3Char">
    <w:name w:val="Základní text 3 Char"/>
    <w:uiPriority w:val="99"/>
    <w:rsid w:val="001157B1"/>
    <w:rPr>
      <w:color w:val="000000"/>
      <w:sz w:val="16"/>
      <w:szCs w:val="16"/>
    </w:rPr>
  </w:style>
  <w:style w:type="character" w:customStyle="1" w:styleId="NadpispoznmkyChar">
    <w:name w:val="Nadpis poznámky Char"/>
    <w:uiPriority w:val="99"/>
    <w:rsid w:val="001157B1"/>
    <w:rPr>
      <w:color w:val="000000"/>
      <w:sz w:val="20"/>
      <w:szCs w:val="20"/>
    </w:rPr>
  </w:style>
  <w:style w:type="character" w:customStyle="1" w:styleId="ProsttextChar">
    <w:name w:val="Prostý text Char"/>
    <w:uiPriority w:val="99"/>
    <w:rsid w:val="001157B1"/>
    <w:rPr>
      <w:rFonts w:ascii="Courier New" w:hAnsi="Courier New" w:cs="Courier New"/>
      <w:color w:val="000000"/>
      <w:sz w:val="20"/>
      <w:szCs w:val="20"/>
    </w:rPr>
  </w:style>
  <w:style w:type="character" w:customStyle="1" w:styleId="ZpatChar">
    <w:name w:val="Zápatí Char"/>
    <w:uiPriority w:val="99"/>
    <w:rsid w:val="001157B1"/>
    <w:rPr>
      <w:color w:val="000000"/>
      <w:sz w:val="20"/>
      <w:szCs w:val="20"/>
    </w:rPr>
  </w:style>
  <w:style w:type="character" w:customStyle="1" w:styleId="ZhlavChar">
    <w:name w:val="Záhlaví Char"/>
    <w:uiPriority w:val="99"/>
    <w:rsid w:val="001157B1"/>
    <w:rPr>
      <w:color w:val="00000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6"/>
      <w:szCs w:val="16"/>
      <w:lang w:val="en-AU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1157B1"/>
    <w:rPr>
      <w:rFonts w:ascii="Tahoma" w:eastAsiaTheme="minorEastAsia" w:hAnsi="Tahoma" w:cs="Tahoma"/>
      <w:color w:val="000000"/>
      <w:sz w:val="16"/>
      <w:szCs w:val="16"/>
      <w:lang w:val="en-AU"/>
    </w:rPr>
  </w:style>
  <w:style w:type="character" w:customStyle="1" w:styleId="RozvrendokumentuChar">
    <w:name w:val="Rozvržení dokumentu Char"/>
    <w:uiPriority w:val="99"/>
    <w:rsid w:val="001157B1"/>
    <w:rPr>
      <w:rFonts w:ascii="Tahoma" w:hAnsi="Tahoma" w:cs="Tahoma"/>
      <w:color w:val="000000"/>
      <w:sz w:val="16"/>
      <w:szCs w:val="16"/>
    </w:rPr>
  </w:style>
  <w:style w:type="table" w:styleId="Svtlseznamzvraznn1">
    <w:name w:val="Light List Accent 1"/>
    <w:basedOn w:val="Normlntabulka"/>
    <w:uiPriority w:val="61"/>
    <w:rsid w:val="001157B1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styleId="Svtlseznam">
    <w:name w:val="Light List"/>
    <w:basedOn w:val="Normlntabulka"/>
    <w:uiPriority w:val="61"/>
    <w:rsid w:val="00601B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02tempparagheading">
    <w:name w:val="02_temp_parag_heading"/>
    <w:basedOn w:val="Normln"/>
    <w:link w:val="02tempparagheadingChar"/>
    <w:uiPriority w:val="99"/>
    <w:qFormat/>
    <w:rsid w:val="00FA165D"/>
    <w:pPr>
      <w:spacing w:before="240" w:after="120"/>
    </w:pPr>
    <w:rPr>
      <w:b/>
      <w:i/>
      <w:sz w:val="22"/>
      <w:szCs w:val="22"/>
    </w:rPr>
  </w:style>
  <w:style w:type="character" w:customStyle="1" w:styleId="02tempparagheadingChar">
    <w:name w:val="02_temp_parag_heading Char"/>
    <w:basedOn w:val="Standardnpsmoodstavce"/>
    <w:link w:val="02tempparagheading"/>
    <w:uiPriority w:val="99"/>
    <w:rsid w:val="00FA165D"/>
    <w:rPr>
      <w:b/>
      <w:i/>
      <w:sz w:val="22"/>
      <w:szCs w:val="22"/>
      <w:lang w:val="cs-CZ"/>
    </w:rPr>
  </w:style>
  <w:style w:type="paragraph" w:styleId="Rejstk1">
    <w:name w:val="index 1"/>
    <w:basedOn w:val="Normln"/>
    <w:next w:val="Normln"/>
    <w:autoRedefine/>
    <w:uiPriority w:val="99"/>
    <w:unhideWhenUsed/>
    <w:rsid w:val="00CD1396"/>
    <w:pPr>
      <w:spacing w:after="0"/>
      <w:ind w:left="200" w:hanging="200"/>
    </w:pPr>
    <w:rPr>
      <w:rFonts w:asciiTheme="minorHAnsi" w:hAnsiTheme="minorHAnsi" w:cstheme="minorHAnsi"/>
      <w:sz w:val="18"/>
      <w:szCs w:val="21"/>
    </w:rPr>
  </w:style>
  <w:style w:type="paragraph" w:styleId="Rejstk2">
    <w:name w:val="index 2"/>
    <w:basedOn w:val="Normln"/>
    <w:next w:val="Normln"/>
    <w:autoRedefine/>
    <w:uiPriority w:val="99"/>
    <w:unhideWhenUsed/>
    <w:rsid w:val="00CD1396"/>
    <w:pPr>
      <w:spacing w:after="0"/>
      <w:ind w:left="400" w:hanging="200"/>
    </w:pPr>
    <w:rPr>
      <w:rFonts w:asciiTheme="minorHAnsi" w:hAnsiTheme="minorHAnsi" w:cstheme="minorHAnsi"/>
      <w:sz w:val="18"/>
      <w:szCs w:val="21"/>
    </w:rPr>
  </w:style>
  <w:style w:type="paragraph" w:styleId="Rejstk3">
    <w:name w:val="index 3"/>
    <w:basedOn w:val="Normln"/>
    <w:next w:val="Normln"/>
    <w:autoRedefine/>
    <w:uiPriority w:val="99"/>
    <w:unhideWhenUsed/>
    <w:rsid w:val="00CD1396"/>
    <w:pPr>
      <w:spacing w:after="0"/>
      <w:ind w:left="600" w:hanging="200"/>
    </w:pPr>
    <w:rPr>
      <w:rFonts w:asciiTheme="minorHAnsi" w:hAnsiTheme="minorHAnsi" w:cstheme="minorHAnsi"/>
      <w:sz w:val="18"/>
      <w:szCs w:val="21"/>
    </w:rPr>
  </w:style>
  <w:style w:type="paragraph" w:styleId="Rejstk4">
    <w:name w:val="index 4"/>
    <w:basedOn w:val="Normln"/>
    <w:next w:val="Normln"/>
    <w:autoRedefine/>
    <w:uiPriority w:val="99"/>
    <w:unhideWhenUsed/>
    <w:rsid w:val="00CD1396"/>
    <w:pPr>
      <w:spacing w:after="0"/>
      <w:ind w:left="800" w:hanging="200"/>
    </w:pPr>
    <w:rPr>
      <w:rFonts w:asciiTheme="minorHAnsi" w:hAnsiTheme="minorHAnsi" w:cstheme="minorHAnsi"/>
      <w:sz w:val="18"/>
      <w:szCs w:val="21"/>
    </w:rPr>
  </w:style>
  <w:style w:type="paragraph" w:styleId="Rejstk5">
    <w:name w:val="index 5"/>
    <w:basedOn w:val="Normln"/>
    <w:next w:val="Normln"/>
    <w:autoRedefine/>
    <w:uiPriority w:val="99"/>
    <w:unhideWhenUsed/>
    <w:rsid w:val="00CD1396"/>
    <w:pPr>
      <w:spacing w:after="0"/>
      <w:ind w:left="1000" w:hanging="200"/>
    </w:pPr>
    <w:rPr>
      <w:rFonts w:asciiTheme="minorHAnsi" w:hAnsiTheme="minorHAnsi" w:cstheme="minorHAnsi"/>
      <w:sz w:val="18"/>
      <w:szCs w:val="21"/>
    </w:rPr>
  </w:style>
  <w:style w:type="paragraph" w:styleId="Rejstk6">
    <w:name w:val="index 6"/>
    <w:basedOn w:val="Normln"/>
    <w:next w:val="Normln"/>
    <w:autoRedefine/>
    <w:uiPriority w:val="99"/>
    <w:unhideWhenUsed/>
    <w:rsid w:val="00CD1396"/>
    <w:pPr>
      <w:spacing w:after="0"/>
      <w:ind w:left="1200" w:hanging="200"/>
    </w:pPr>
    <w:rPr>
      <w:rFonts w:asciiTheme="minorHAnsi" w:hAnsiTheme="minorHAnsi" w:cstheme="minorHAnsi"/>
      <w:sz w:val="18"/>
      <w:szCs w:val="21"/>
    </w:rPr>
  </w:style>
  <w:style w:type="paragraph" w:styleId="Rejstk7">
    <w:name w:val="index 7"/>
    <w:basedOn w:val="Normln"/>
    <w:next w:val="Normln"/>
    <w:autoRedefine/>
    <w:uiPriority w:val="99"/>
    <w:unhideWhenUsed/>
    <w:rsid w:val="00CD1396"/>
    <w:pPr>
      <w:spacing w:after="0"/>
      <w:ind w:left="1400" w:hanging="200"/>
    </w:pPr>
    <w:rPr>
      <w:rFonts w:asciiTheme="minorHAnsi" w:hAnsiTheme="minorHAnsi" w:cstheme="minorHAnsi"/>
      <w:sz w:val="18"/>
      <w:szCs w:val="21"/>
    </w:rPr>
  </w:style>
  <w:style w:type="paragraph" w:styleId="Rejstk8">
    <w:name w:val="index 8"/>
    <w:basedOn w:val="Normln"/>
    <w:next w:val="Normln"/>
    <w:autoRedefine/>
    <w:uiPriority w:val="99"/>
    <w:unhideWhenUsed/>
    <w:rsid w:val="00CD1396"/>
    <w:pPr>
      <w:spacing w:after="0"/>
      <w:ind w:left="1600" w:hanging="200"/>
    </w:pPr>
    <w:rPr>
      <w:rFonts w:asciiTheme="minorHAnsi" w:hAnsiTheme="minorHAnsi" w:cstheme="minorHAnsi"/>
      <w:sz w:val="18"/>
      <w:szCs w:val="21"/>
    </w:rPr>
  </w:style>
  <w:style w:type="paragraph" w:styleId="Rejstk9">
    <w:name w:val="index 9"/>
    <w:basedOn w:val="Normln"/>
    <w:next w:val="Normln"/>
    <w:autoRedefine/>
    <w:uiPriority w:val="99"/>
    <w:unhideWhenUsed/>
    <w:rsid w:val="00CD1396"/>
    <w:pPr>
      <w:spacing w:after="0"/>
      <w:ind w:left="1800" w:hanging="200"/>
    </w:pPr>
    <w:rPr>
      <w:rFonts w:asciiTheme="minorHAnsi" w:hAnsiTheme="minorHAnsi" w:cstheme="minorHAnsi"/>
      <w:sz w:val="18"/>
      <w:szCs w:val="21"/>
    </w:rPr>
  </w:style>
  <w:style w:type="paragraph" w:styleId="Hlavikarejstku">
    <w:name w:val="index heading"/>
    <w:basedOn w:val="Normln"/>
    <w:next w:val="Rejstk1"/>
    <w:uiPriority w:val="99"/>
    <w:unhideWhenUsed/>
    <w:rsid w:val="00CD1396"/>
    <w:pPr>
      <w:pBdr>
        <w:top w:val="single" w:sz="12" w:space="0" w:color="auto"/>
      </w:pBdr>
      <w:spacing w:before="360"/>
    </w:pPr>
    <w:rPr>
      <w:rFonts w:asciiTheme="minorHAnsi" w:hAnsiTheme="minorHAnsi" w:cstheme="minorHAnsi"/>
      <w:b/>
      <w:bCs/>
      <w:i/>
      <w:iCs/>
      <w:sz w:val="26"/>
      <w:szCs w:val="31"/>
    </w:rPr>
  </w:style>
  <w:style w:type="character" w:customStyle="1" w:styleId="FooterChar2">
    <w:name w:val="Footer Char2"/>
    <w:basedOn w:val="Standardnpsmoodstavce"/>
    <w:uiPriority w:val="99"/>
    <w:rsid w:val="00235D9B"/>
    <w:rPr>
      <w:rFonts w:asciiTheme="minorHAnsi" w:hAnsiTheme="minorHAnsi"/>
      <w:sz w:val="19"/>
    </w:rPr>
  </w:style>
  <w:style w:type="character" w:customStyle="1" w:styleId="BodyTextChar2">
    <w:name w:val="Body Text Char2"/>
    <w:basedOn w:val="Standardnpsmoodstavce"/>
    <w:uiPriority w:val="99"/>
    <w:rsid w:val="008F7BE2"/>
    <w:rPr>
      <w:lang w:val="cs-CZ"/>
    </w:rPr>
  </w:style>
  <w:style w:type="paragraph" w:styleId="Bezmezer">
    <w:name w:val="No Spacing"/>
    <w:uiPriority w:val="1"/>
    <w:qFormat/>
    <w:rsid w:val="00087664"/>
    <w:pPr>
      <w:spacing w:after="0" w:line="240" w:lineRule="auto"/>
    </w:pPr>
    <w:rPr>
      <w:rFonts w:asciiTheme="minorHAnsi" w:hAnsiTheme="minorHAnsi"/>
      <w:sz w:val="22"/>
      <w:szCs w:val="22"/>
      <w:lang w:val="cs-CZ"/>
    </w:rPr>
  </w:style>
  <w:style w:type="table" w:styleId="Stednstnovn1zvraznn5">
    <w:name w:val="Medium Shading 1 Accent 5"/>
    <w:basedOn w:val="Normlntabulka"/>
    <w:uiPriority w:val="63"/>
    <w:rsid w:val="00087664"/>
    <w:pPr>
      <w:spacing w:after="0" w:line="240" w:lineRule="auto"/>
    </w:pPr>
    <w:rPr>
      <w:rFonts w:asciiTheme="minorHAnsi" w:hAnsiTheme="minorHAnsi"/>
      <w:sz w:val="22"/>
      <w:szCs w:val="22"/>
      <w:lang w:val="cs-CZ"/>
    </w:rPr>
    <w:tblPr>
      <w:tblStyleRowBandSize w:val="1"/>
      <w:tblStyleColBandSize w:val="1"/>
      <w:tblBorders>
        <w:top w:val="single" w:sz="8" w:space="0" w:color="D83939" w:themeColor="accent5" w:themeTint="BF"/>
        <w:left w:val="single" w:sz="8" w:space="0" w:color="D83939" w:themeColor="accent5" w:themeTint="BF"/>
        <w:bottom w:val="single" w:sz="8" w:space="0" w:color="D83939" w:themeColor="accent5" w:themeTint="BF"/>
        <w:right w:val="single" w:sz="8" w:space="0" w:color="D83939" w:themeColor="accent5" w:themeTint="BF"/>
        <w:insideH w:val="single" w:sz="8" w:space="0" w:color="D8393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3939" w:themeColor="accent5" w:themeTint="BF"/>
          <w:left w:val="single" w:sz="8" w:space="0" w:color="D83939" w:themeColor="accent5" w:themeTint="BF"/>
          <w:bottom w:val="single" w:sz="8" w:space="0" w:color="D83939" w:themeColor="accent5" w:themeTint="BF"/>
          <w:right w:val="single" w:sz="8" w:space="0" w:color="D83939" w:themeColor="accent5" w:themeTint="BF"/>
          <w:insideH w:val="nil"/>
          <w:insideV w:val="nil"/>
        </w:tcBorders>
        <w:shd w:val="clear" w:color="auto" w:fill="A320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3939" w:themeColor="accent5" w:themeTint="BF"/>
          <w:left w:val="single" w:sz="8" w:space="0" w:color="D83939" w:themeColor="accent5" w:themeTint="BF"/>
          <w:bottom w:val="single" w:sz="8" w:space="0" w:color="D83939" w:themeColor="accent5" w:themeTint="BF"/>
          <w:right w:val="single" w:sz="8" w:space="0" w:color="D8393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D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D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katabulky1">
    <w:name w:val="Mřížka tabulky1"/>
    <w:basedOn w:val="Normlntabulka"/>
    <w:next w:val="Mkatabulky"/>
    <w:uiPriority w:val="99"/>
    <w:rsid w:val="00DF4E12"/>
    <w:pPr>
      <w:spacing w:after="0" w:line="240" w:lineRule="auto"/>
    </w:pPr>
    <w:rPr>
      <w:rFonts w:ascii="Calibri" w:eastAsia="Calibri" w:hAnsi="Calibri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Prague\CJ_Report%20CR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153F709D4044F8B40697251376EC5" ma:contentTypeVersion="5" ma:contentTypeDescription="Create a new document." ma:contentTypeScope="" ma:versionID="c25a00a5a9680df641d3c57f2dc33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1a511261ec212120ec5dd538400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EDC6-E120-43E1-81D3-E66B17AC4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B08E8-2B7E-4977-9F81-33CB32972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6DB69-7128-41F7-B0D3-C09F7FD1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CJ_Report CR.dotx</Template>
  <TotalTime>11</TotalTime>
  <Pages>17</Pages>
  <Words>6001</Words>
  <Characters>35410</Characters>
  <Application>Microsoft Office Word</Application>
  <DocSecurity>0</DocSecurity>
  <Lines>295</Lines>
  <Paragraphs>82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Laštovka</dc:creator>
  <cp:lastModifiedBy>Jirásko Daniel Mgr.</cp:lastModifiedBy>
  <cp:revision>4</cp:revision>
  <cp:lastPrinted>2016-05-18T07:04:00Z</cp:lastPrinted>
  <dcterms:created xsi:type="dcterms:W3CDTF">2018-04-12T11:57:00Z</dcterms:created>
  <dcterms:modified xsi:type="dcterms:W3CDTF">2018-04-12T17:58:00Z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0x010100500153F709D4044F8B40697251376EC5</vt:lpwstr>
  </property>
  <property fmtid="{D5CDD505-2E9C-101B-9397-08002B2CF9AE}" pid="3" name="_NewReviewCycle">
    <vt:lpwstr/>
  </property>
</Properties>
</file>