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143D" w14:textId="03A0F3F3" w:rsidR="002D6D16" w:rsidRPr="004F4CFC" w:rsidRDefault="009D0BDD" w:rsidP="00194866">
      <w:pPr>
        <w:pStyle w:val="Nzev"/>
        <w:jc w:val="right"/>
        <w:rPr>
          <w:sz w:val="56"/>
          <w:szCs w:val="56"/>
        </w:rPr>
      </w:pPr>
      <w:bookmarkStart w:id="0" w:name="_Hlk481318360"/>
      <w:bookmarkStart w:id="1" w:name="_GoBack"/>
      <w:bookmarkEnd w:id="0"/>
      <w:bookmarkEnd w:id="1"/>
      <w:r>
        <w:rPr>
          <w:sz w:val="56"/>
          <w:szCs w:val="56"/>
        </w:rPr>
        <w:t xml:space="preserve"> </w:t>
      </w:r>
      <w:r w:rsidR="002D6D16" w:rsidRPr="004F4CFC">
        <w:rPr>
          <w:sz w:val="56"/>
          <w:szCs w:val="56"/>
        </w:rPr>
        <w:t>P</w:t>
      </w:r>
      <w:r w:rsidR="007D244E" w:rsidRPr="004F4CFC">
        <w:rPr>
          <w:sz w:val="56"/>
          <w:szCs w:val="56"/>
        </w:rPr>
        <w:t xml:space="preserve">říloha </w:t>
      </w:r>
      <w:r w:rsidR="00B75A53" w:rsidRPr="004F4CFC">
        <w:rPr>
          <w:sz w:val="56"/>
          <w:szCs w:val="56"/>
        </w:rPr>
        <w:t>č.</w:t>
      </w:r>
      <w:r w:rsidR="001C11A0" w:rsidRPr="004F4CFC">
        <w:rPr>
          <w:sz w:val="56"/>
          <w:szCs w:val="56"/>
        </w:rPr>
        <w:t xml:space="preserve"> </w:t>
      </w:r>
      <w:r w:rsidR="003334CF" w:rsidRPr="004F4CFC">
        <w:rPr>
          <w:sz w:val="56"/>
          <w:szCs w:val="56"/>
        </w:rPr>
        <w:t>1</w:t>
      </w:r>
    </w:p>
    <w:p w14:paraId="2F5A296D" w14:textId="77777777" w:rsidR="002D6D16" w:rsidRPr="004F4CFC" w:rsidRDefault="002D6D16" w:rsidP="00194866">
      <w:pPr>
        <w:pStyle w:val="Nzev"/>
        <w:numPr>
          <w:ilvl w:val="1"/>
          <w:numId w:val="0"/>
        </w:numPr>
        <w:jc w:val="right"/>
        <w:rPr>
          <w:sz w:val="44"/>
        </w:rPr>
      </w:pPr>
    </w:p>
    <w:p w14:paraId="30F3F618" w14:textId="2A4D9F62" w:rsidR="00E07317" w:rsidRPr="004F4CFC" w:rsidRDefault="001B5000" w:rsidP="00194866">
      <w:pPr>
        <w:pStyle w:val="Zkladntext"/>
        <w:spacing w:after="0"/>
        <w:jc w:val="right"/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</w:pPr>
      <w:r w:rsidRPr="004F4CFC"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  <w:t>Technická</w:t>
      </w:r>
      <w:r w:rsidR="00234653" w:rsidRPr="004F4CFC"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  <w:t xml:space="preserve"> dokumentace</w:t>
      </w:r>
    </w:p>
    <w:p w14:paraId="1A34B2BD" w14:textId="6E9012B1" w:rsidR="003334CF" w:rsidRPr="004F4CFC" w:rsidRDefault="003334CF" w:rsidP="003334CF">
      <w:pPr>
        <w:tabs>
          <w:tab w:val="left" w:pos="4260"/>
        </w:tabs>
      </w:pPr>
      <w:r w:rsidRPr="004F4CFC">
        <w:tab/>
      </w:r>
    </w:p>
    <w:p w14:paraId="37BF0E9C" w14:textId="1B298FAE" w:rsidR="003334CF" w:rsidRPr="004F4CFC" w:rsidRDefault="003334CF" w:rsidP="003334CF"/>
    <w:p w14:paraId="2479C53A" w14:textId="77777777" w:rsidR="00E07317" w:rsidRPr="004F4CFC" w:rsidRDefault="00E07317" w:rsidP="003334CF">
      <w:pPr>
        <w:sectPr w:rsidR="00E07317" w:rsidRPr="004F4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13" w:right="1021" w:bottom="1474" w:left="3544" w:header="567" w:footer="567" w:gutter="0"/>
          <w:cols w:space="708"/>
          <w:titlePg/>
          <w:docGrid w:linePitch="360"/>
        </w:sectPr>
      </w:pPr>
    </w:p>
    <w:sdt>
      <w:sdtPr>
        <w:rPr>
          <w:rFonts w:ascii="Georgia" w:eastAsiaTheme="minorHAnsi" w:hAnsi="Georgia" w:cstheme="minorBidi"/>
          <w:b w:val="0"/>
          <w:bCs w:val="0"/>
          <w:i w:val="0"/>
          <w:sz w:val="20"/>
          <w:szCs w:val="20"/>
          <w:lang w:val="cs-CZ"/>
        </w:rPr>
        <w:id w:val="582500169"/>
        <w:docPartObj>
          <w:docPartGallery w:val="Table of Contents"/>
          <w:docPartUnique/>
        </w:docPartObj>
      </w:sdtPr>
      <w:sdtEndPr/>
      <w:sdtContent>
        <w:p w14:paraId="72B9C317" w14:textId="77777777" w:rsidR="00977728" w:rsidRPr="004F4CFC" w:rsidRDefault="00977728" w:rsidP="00977728">
          <w:pPr>
            <w:pStyle w:val="Nadpisobsahu"/>
            <w:numPr>
              <w:ilvl w:val="0"/>
              <w:numId w:val="0"/>
            </w:numPr>
            <w:rPr>
              <w:lang w:val="cs-CZ"/>
            </w:rPr>
          </w:pPr>
          <w:r w:rsidRPr="004F4CFC">
            <w:rPr>
              <w:lang w:val="cs-CZ"/>
            </w:rPr>
            <w:t>Obsah</w:t>
          </w:r>
          <w:bookmarkStart w:id="2" w:name="_Hlk495218152"/>
        </w:p>
        <w:p w14:paraId="25FAA3BC" w14:textId="1DF412A3" w:rsidR="00E6536C" w:rsidRDefault="00977728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r w:rsidRPr="004F4CFC">
            <w:fldChar w:fldCharType="begin"/>
          </w:r>
          <w:r w:rsidRPr="004F4CFC">
            <w:instrText xml:space="preserve"> TOC \o "1-3" \h \z \u </w:instrText>
          </w:r>
          <w:r w:rsidRPr="004F4CFC">
            <w:fldChar w:fldCharType="separate"/>
          </w:r>
          <w:hyperlink w:anchor="_Toc510300894" w:history="1">
            <w:r w:rsidR="00E6536C" w:rsidRPr="00E80AF3">
              <w:rPr>
                <w:rStyle w:val="Hypertextovodkaz"/>
                <w:noProof/>
              </w:rPr>
              <w:t>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Celkový přehled řešení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_Toc510300894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B683B1E" w14:textId="69FAF5DF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5" w:history="1">
            <w:r w:rsidR="00E6536C" w:rsidRPr="00E80AF3">
              <w:rPr>
                <w:rStyle w:val="Hypertextovodkaz"/>
                <w:noProof/>
              </w:rPr>
              <w:t>1.1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Správní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_Toc510300895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08B09CE2" w14:textId="73E7F8F6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6" w:history="1">
            <w:r w:rsidR="00E6536C" w:rsidRPr="00E80AF3">
              <w:rPr>
                <w:rStyle w:val="Hypertextovodkaz"/>
                <w:noProof/>
              </w:rPr>
              <w:t>1.2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Dozorová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_Toc510300896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A7F394E" w14:textId="23F85B1E" w:rsidR="00E6536C" w:rsidRDefault="00353D60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7" w:history="1">
            <w:r w:rsidR="00E6536C" w:rsidRPr="00E80AF3">
              <w:rPr>
                <w:rStyle w:val="Hypertextovodkaz"/>
                <w:noProof/>
              </w:rPr>
              <w:t>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Architektura systému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_Toc510300897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DC64FCE" w14:textId="3D1A46F1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8" w:history="1">
            <w:r w:rsidR="00E6536C" w:rsidRPr="00E80AF3">
              <w:rPr>
                <w:rStyle w:val="Hypertextovodkaz"/>
                <w:noProof/>
              </w:rPr>
              <w:t>2.1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Kontext systému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_Toc510300898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3BF09662" w14:textId="0CC27D39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9" w:history="1">
            <w:r w:rsidR="00E6536C" w:rsidRPr="00E80AF3">
              <w:rPr>
                <w:rStyle w:val="Hypertextovodkaz"/>
                <w:noProof/>
              </w:rPr>
              <w:t>2.2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Komponenty systému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_Toc510300899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8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7C613E2" w14:textId="42002704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0" w:history="1">
            <w:r w:rsidR="00E6536C" w:rsidRPr="00E80AF3">
              <w:rPr>
                <w:rStyle w:val="Hypertextovodkaz"/>
                <w:noProof/>
              </w:rPr>
              <w:t>2.3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Rozhraní a datové toky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_Toc510300900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12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24F57642" w14:textId="45D55CFA" w:rsidR="00E6536C" w:rsidRDefault="00353D60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1" w:history="1">
            <w:r w:rsidR="00E6536C" w:rsidRPr="00E80AF3">
              <w:rPr>
                <w:rStyle w:val="Hypertextovodkaz"/>
                <w:noProof/>
              </w:rPr>
              <w:t>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Technická infrastruktura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_Toc510300901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19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7C67B72" w14:textId="0371AE2E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2" w:history="1">
            <w:r w:rsidR="00E6536C" w:rsidRPr="00E80AF3">
              <w:rPr>
                <w:rStyle w:val="Hypertextovodkaz"/>
                <w:noProof/>
              </w:rPr>
              <w:t>3.1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Vymezení odpovědností Dodavatele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_Toc510300902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19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47AAA78" w14:textId="40351BED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3" w:history="1">
            <w:r w:rsidR="00E6536C" w:rsidRPr="00E80AF3">
              <w:rPr>
                <w:rStyle w:val="Hypertextovodkaz"/>
                <w:noProof/>
              </w:rPr>
              <w:t>3.2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Prostředí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_Toc510300903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20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0EA805B" w14:textId="7C914598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4" w:history="1">
            <w:r w:rsidR="00E6536C" w:rsidRPr="00E80AF3">
              <w:rPr>
                <w:rStyle w:val="Hypertextovodkaz"/>
                <w:noProof/>
              </w:rPr>
              <w:t>3.3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Standardy a stavební bloky SPCSS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_Toc510300904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20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F4AF6D3" w14:textId="19FD10CC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5" w:history="1">
            <w:r w:rsidR="00E6536C" w:rsidRPr="00E80AF3">
              <w:rPr>
                <w:rStyle w:val="Hypertextovodkaz"/>
                <w:noProof/>
              </w:rPr>
              <w:t>3.3.1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Specifikace NDC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_Toc510300905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20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9EBFFB3" w14:textId="013D9D6A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6" w:history="1">
            <w:r w:rsidR="00E6536C" w:rsidRPr="00E80AF3">
              <w:rPr>
                <w:rStyle w:val="Hypertextovodkaz"/>
                <w:noProof/>
              </w:rPr>
              <w:t>3.3.2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Bezpečné propojení a připojení do Internetu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_Toc510300906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21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6DBD6A63" w14:textId="44B01716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7" w:history="1">
            <w:r w:rsidR="00E6536C" w:rsidRPr="00E80AF3">
              <w:rPr>
                <w:rStyle w:val="Hypertextovodkaz"/>
                <w:noProof/>
              </w:rPr>
              <w:t>3.3.3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Poskytování výpočetního výkonu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_Toc510300907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21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6A75B9E" w14:textId="42A85945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8" w:history="1">
            <w:r w:rsidR="00E6536C" w:rsidRPr="00E80AF3">
              <w:rPr>
                <w:rStyle w:val="Hypertextovodkaz"/>
                <w:noProof/>
              </w:rPr>
              <w:t>3.3.4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Poskytování diskového prostoru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_Toc510300908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22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2D72756C" w14:textId="12466391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9" w:history="1">
            <w:r w:rsidR="00E6536C" w:rsidRPr="00E80AF3">
              <w:rPr>
                <w:rStyle w:val="Hypertextovodkaz"/>
                <w:noProof/>
              </w:rPr>
              <w:t>3.3.5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Správa operačních systémů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_Toc510300909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B0F6C7B" w14:textId="7C811367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0" w:history="1">
            <w:r w:rsidR="00E6536C" w:rsidRPr="00E80AF3">
              <w:rPr>
                <w:rStyle w:val="Hypertextovodkaz"/>
                <w:noProof/>
              </w:rPr>
              <w:t>3.3.6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Správa databází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_Toc510300910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39C15FA9" w14:textId="2DC72787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1" w:history="1">
            <w:r w:rsidR="00E6536C" w:rsidRPr="00E80AF3">
              <w:rPr>
                <w:rStyle w:val="Hypertextovodkaz"/>
                <w:noProof/>
              </w:rPr>
              <w:t>3.3.7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Zálohování a archivace dat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_Toc510300911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A7F99FB" w14:textId="091FBCB6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2" w:history="1">
            <w:r w:rsidR="00E6536C" w:rsidRPr="00E80AF3">
              <w:rPr>
                <w:rStyle w:val="Hypertextovodkaz"/>
                <w:noProof/>
              </w:rPr>
              <w:t>3.3.8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CKB, SOC a bezpečnostní monitoring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_Toc510300912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C4305E2" w14:textId="65397BE5" w:rsidR="00E6536C" w:rsidRDefault="00353D60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3" w:history="1">
            <w:r w:rsidR="00E6536C" w:rsidRPr="00E80AF3">
              <w:rPr>
                <w:rStyle w:val="Hypertextovodkaz"/>
                <w:noProof/>
              </w:rPr>
              <w:t>3.3.9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Provozní monitoring infrastruktury a služeb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_Toc510300913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25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52455E75" w14:textId="27DA987F" w:rsidR="00E6536C" w:rsidRDefault="00353D60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4" w:history="1">
            <w:r w:rsidR="00E6536C" w:rsidRPr="00E80AF3">
              <w:rPr>
                <w:rStyle w:val="Hypertextovodkaz"/>
                <w:noProof/>
              </w:rPr>
              <w:t>4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Licence a subskripce SW produktů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_Toc510300914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26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A45808D" w14:textId="3BF9B330" w:rsidR="00E6536C" w:rsidRDefault="00353D60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5" w:history="1">
            <w:r w:rsidR="00E6536C" w:rsidRPr="00E80AF3">
              <w:rPr>
                <w:rStyle w:val="Hypertextovodkaz"/>
                <w:noProof/>
              </w:rPr>
              <w:t>5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Nefunkční technické požadavky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_Toc510300915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27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67617717" w14:textId="2773AEF4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6" w:history="1">
            <w:r w:rsidR="00E6536C" w:rsidRPr="00E80AF3">
              <w:rPr>
                <w:rStyle w:val="Hypertextovodkaz"/>
                <w:noProof/>
              </w:rPr>
              <w:t>5.1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Dozorová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_Toc510301016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27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21228D57" w14:textId="2D880CF1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7" w:history="1">
            <w:r w:rsidR="00E6536C" w:rsidRPr="00E80AF3">
              <w:rPr>
                <w:rStyle w:val="Hypertextovodkaz"/>
                <w:noProof/>
              </w:rPr>
              <w:t>5.2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Správní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_Toc510301017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28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595103B" w14:textId="4C485D0C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8" w:history="1">
            <w:r w:rsidR="00E6536C" w:rsidRPr="00E80AF3">
              <w:rPr>
                <w:rStyle w:val="Hypertextovodkaz"/>
                <w:noProof/>
              </w:rPr>
              <w:t>5.3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Řešení bezpečnosti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_Toc510301018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029C882C" w14:textId="41E36FB7" w:rsidR="00E6536C" w:rsidRDefault="00353D60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9" w:history="1">
            <w:r w:rsidR="00E6536C" w:rsidRPr="00E80AF3">
              <w:rPr>
                <w:rStyle w:val="Hypertextovodkaz"/>
                <w:noProof/>
              </w:rPr>
              <w:t>5.4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Logování, provozní a bezpečnostní monitoring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_Toc510301019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E6536C">
              <w:rPr>
                <w:noProof/>
                <w:webHidden/>
              </w:rPr>
              <w:t>29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E871DB5" w14:textId="319115B6" w:rsidR="00977728" w:rsidRPr="004F4CFC" w:rsidRDefault="00977728">
          <w:r w:rsidRPr="004F4CFC">
            <w:rPr>
              <w:b/>
              <w:bCs/>
            </w:rPr>
            <w:fldChar w:fldCharType="end"/>
          </w:r>
        </w:p>
      </w:sdtContent>
    </w:sdt>
    <w:bookmarkEnd w:id="2" w:displacedByCustomXml="prev"/>
    <w:p w14:paraId="208BAD28" w14:textId="77777777" w:rsidR="00E07317" w:rsidRPr="004F4CFC" w:rsidRDefault="005722AC">
      <w:r w:rsidRPr="004F4CFC">
        <w:br w:type="page"/>
      </w:r>
    </w:p>
    <w:p w14:paraId="766E1FFB" w14:textId="62CC54FA" w:rsidR="00E02369" w:rsidRPr="004F4CFC" w:rsidRDefault="00E02369" w:rsidP="00B80DB8">
      <w:pPr>
        <w:pStyle w:val="Zkladntext"/>
      </w:pPr>
      <w:r w:rsidRPr="004F4CFC">
        <w:lastRenderedPageBreak/>
        <w:t>T</w:t>
      </w:r>
      <w:r w:rsidR="004B6E3D" w:rsidRPr="004F4CFC">
        <w:t>ato příloha</w:t>
      </w:r>
      <w:r w:rsidR="00E1210A" w:rsidRPr="004F4CFC">
        <w:t xml:space="preserve"> Smlouvy</w:t>
      </w:r>
      <w:r w:rsidR="004B6E3D" w:rsidRPr="004F4CFC">
        <w:t xml:space="preserve"> </w:t>
      </w:r>
      <w:r w:rsidRPr="004F4CFC">
        <w:t xml:space="preserve">obsahuje </w:t>
      </w:r>
      <w:r w:rsidR="001C0880" w:rsidRPr="004F4CFC">
        <w:t>techn</w:t>
      </w:r>
      <w:r w:rsidR="004B6E3D" w:rsidRPr="004F4CFC">
        <w:t>ick</w:t>
      </w:r>
      <w:r w:rsidR="00597F86" w:rsidRPr="004F4CFC">
        <w:t xml:space="preserve">é požadavky na </w:t>
      </w:r>
      <w:r w:rsidRPr="004F4CFC">
        <w:t xml:space="preserve">řešení </w:t>
      </w:r>
      <w:r w:rsidR="00007888" w:rsidRPr="004F4CFC">
        <w:t>Plnění</w:t>
      </w:r>
      <w:r w:rsidRPr="004F4CFC">
        <w:t>.</w:t>
      </w:r>
    </w:p>
    <w:p w14:paraId="79CDE5A1" w14:textId="069E6C86" w:rsidR="004B5649" w:rsidRPr="004F4CFC" w:rsidRDefault="006E009B" w:rsidP="00597F86">
      <w:pPr>
        <w:pStyle w:val="Nadpis1"/>
      </w:pPr>
      <w:bookmarkStart w:id="3" w:name="_Toc510300894"/>
      <w:r w:rsidRPr="004F4CFC">
        <w:t>Celkový přehled</w:t>
      </w:r>
      <w:r w:rsidR="004B5649" w:rsidRPr="004F4CFC">
        <w:t xml:space="preserve"> řešení</w:t>
      </w:r>
      <w:bookmarkEnd w:id="3"/>
    </w:p>
    <w:p w14:paraId="5001F55C" w14:textId="47AE7C73" w:rsidR="005E1BAF" w:rsidRPr="004F4CFC" w:rsidRDefault="004B5649" w:rsidP="00693F1E">
      <w:pPr>
        <w:pStyle w:val="Zkladntext"/>
      </w:pPr>
      <w:r w:rsidRPr="004F4CFC">
        <w:t xml:space="preserve">Řešení systému pro dohled nad sázkovými hrami a loteriemi </w:t>
      </w:r>
      <w:r w:rsidR="007714E7" w:rsidRPr="004F4CFC">
        <w:t xml:space="preserve">(AISG) </w:t>
      </w:r>
      <w:r w:rsidRPr="004F4CFC">
        <w:t>je rozděleno na část správní a část dozorovou</w:t>
      </w:r>
      <w:r w:rsidR="00C808F7" w:rsidRPr="004F4CFC">
        <w:t>.</w:t>
      </w:r>
    </w:p>
    <w:p w14:paraId="79402D8F" w14:textId="77777777" w:rsidR="004B5649" w:rsidRPr="004F4CFC" w:rsidRDefault="004B5649" w:rsidP="00597F86">
      <w:pPr>
        <w:pStyle w:val="Nadpis2"/>
      </w:pPr>
      <w:bookmarkStart w:id="4" w:name="_Toc510300895"/>
      <w:r w:rsidRPr="004F4CFC">
        <w:t>Správní část</w:t>
      </w:r>
      <w:bookmarkEnd w:id="4"/>
    </w:p>
    <w:p w14:paraId="2E20D264" w14:textId="1D4F8CAF" w:rsidR="004B5649" w:rsidRPr="004F4CFC" w:rsidRDefault="004B5649" w:rsidP="00B80DB8">
      <w:pPr>
        <w:pStyle w:val="Zkladntext"/>
      </w:pPr>
      <w:r w:rsidRPr="004F4CFC">
        <w:t>Správní část podporuje procesy související s vydáváním povolení, státním dozorem a vedením řízení. Jmenovitě se jedná o procesy:</w:t>
      </w:r>
    </w:p>
    <w:p w14:paraId="0E97703E" w14:textId="77777777" w:rsidR="00ED02C7" w:rsidRPr="004F4CFC" w:rsidRDefault="00ED02C7" w:rsidP="00C77F7C">
      <w:pPr>
        <w:pStyle w:val="Zkladntext"/>
        <w:spacing w:after="0"/>
        <w:ind w:left="360"/>
      </w:pPr>
      <w:r w:rsidRPr="004F4CFC">
        <w:t>2.</w:t>
      </w:r>
      <w:r w:rsidRPr="004F4CFC">
        <w:tab/>
        <w:t>Metodická činnost</w:t>
      </w:r>
    </w:p>
    <w:p w14:paraId="62B9BEDB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3.</w:t>
      </w:r>
      <w:r w:rsidRPr="004F4CFC">
        <w:tab/>
        <w:t>Vyřizování dotazů</w:t>
      </w:r>
    </w:p>
    <w:p w14:paraId="0ADBCA94" w14:textId="38D912FF" w:rsidR="00ED02C7" w:rsidRPr="004F4CFC" w:rsidRDefault="00ED02C7" w:rsidP="00C77F7C">
      <w:pPr>
        <w:pStyle w:val="Zkladntext"/>
        <w:spacing w:after="0"/>
        <w:ind w:firstLine="360"/>
      </w:pPr>
      <w:r w:rsidRPr="004F4CFC">
        <w:t>4.</w:t>
      </w:r>
      <w:r w:rsidRPr="004F4CFC">
        <w:tab/>
        <w:t>Pověřené</w:t>
      </w:r>
      <w:r w:rsidR="008C5D97" w:rsidRPr="004F4CFC">
        <w:t xml:space="preserve"> </w:t>
      </w:r>
      <w:r w:rsidRPr="004F4CFC">
        <w:t>osoby</w:t>
      </w:r>
      <w:r w:rsidR="00594DAF" w:rsidRPr="004F4CFC">
        <w:t xml:space="preserve"> (PAO)</w:t>
      </w:r>
    </w:p>
    <w:p w14:paraId="2CF73C46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5.</w:t>
      </w:r>
      <w:r w:rsidRPr="004F4CFC">
        <w:tab/>
        <w:t>Řešení stížností</w:t>
      </w:r>
    </w:p>
    <w:p w14:paraId="23D01F3A" w14:textId="3D97802A" w:rsidR="00ED02C7" w:rsidRPr="004F4CFC" w:rsidRDefault="00ED02C7" w:rsidP="00C77F7C">
      <w:pPr>
        <w:pStyle w:val="Zkladntext"/>
        <w:spacing w:after="0"/>
        <w:ind w:firstLine="360"/>
      </w:pPr>
      <w:r w:rsidRPr="004F4CFC">
        <w:t>6.</w:t>
      </w:r>
      <w:r w:rsidRPr="004F4CFC">
        <w:tab/>
        <w:t xml:space="preserve">Spolupráce v daňové oblasti </w:t>
      </w:r>
    </w:p>
    <w:p w14:paraId="024AA6BA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7.</w:t>
      </w:r>
      <w:r w:rsidRPr="004F4CFC">
        <w:tab/>
        <w:t>Správa registrů</w:t>
      </w:r>
    </w:p>
    <w:p w14:paraId="04EAD8F5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8.</w:t>
      </w:r>
      <w:r w:rsidRPr="004F4CFC">
        <w:tab/>
        <w:t>Ohlášení hazardní hry</w:t>
      </w:r>
    </w:p>
    <w:p w14:paraId="4091E900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9.</w:t>
      </w:r>
      <w:r w:rsidRPr="004F4CFC">
        <w:tab/>
        <w:t>Kontrolní činnost</w:t>
      </w:r>
    </w:p>
    <w:p w14:paraId="38A48619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10.</w:t>
      </w:r>
      <w:r w:rsidRPr="004F4CFC">
        <w:tab/>
        <w:t>Základní povolení</w:t>
      </w:r>
    </w:p>
    <w:p w14:paraId="1AB94739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11.</w:t>
      </w:r>
      <w:r w:rsidRPr="004F4CFC">
        <w:tab/>
        <w:t>Povolení k umístění herního prostoru</w:t>
      </w:r>
    </w:p>
    <w:p w14:paraId="2CE93F06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14.</w:t>
      </w:r>
      <w:r w:rsidRPr="004F4CFC">
        <w:tab/>
        <w:t>Řízení o přestupcích</w:t>
      </w:r>
    </w:p>
    <w:p w14:paraId="7E158C1F" w14:textId="584092F4" w:rsidR="006959C3" w:rsidRPr="004F4CFC" w:rsidRDefault="00ED02C7" w:rsidP="00C77F7C">
      <w:pPr>
        <w:pStyle w:val="Zkladntext"/>
        <w:spacing w:after="0"/>
        <w:ind w:firstLine="360"/>
      </w:pPr>
      <w:r w:rsidRPr="004F4CFC">
        <w:t>16.</w:t>
      </w:r>
      <w:r w:rsidRPr="004F4CFC">
        <w:tab/>
        <w:t>Archivace (v části související s DB správní a DMS)</w:t>
      </w:r>
    </w:p>
    <w:p w14:paraId="1A6B8177" w14:textId="77777777" w:rsidR="00ED02C7" w:rsidRPr="004F4CFC" w:rsidRDefault="00ED02C7" w:rsidP="00B80DB8">
      <w:pPr>
        <w:pStyle w:val="Zkladntext"/>
      </w:pPr>
    </w:p>
    <w:p w14:paraId="66B33AD3" w14:textId="4DF92649" w:rsidR="004B5649" w:rsidRPr="004F4CFC" w:rsidRDefault="004B5649" w:rsidP="00B80DB8">
      <w:pPr>
        <w:pStyle w:val="Zkladntext"/>
      </w:pPr>
      <w:r w:rsidRPr="004F4CFC">
        <w:t xml:space="preserve">Správní část poskytuje rozhraní pro uživatele (obce, </w:t>
      </w:r>
      <w:r w:rsidR="00E52999">
        <w:t xml:space="preserve">kraje, </w:t>
      </w:r>
      <w:r w:rsidRPr="004F4CFC">
        <w:t>MF</w:t>
      </w:r>
      <w:r w:rsidR="00ED02C7" w:rsidRPr="004F4CFC">
        <w:t xml:space="preserve">, CS, FS, provozovatele, </w:t>
      </w:r>
      <w:r w:rsidR="00594DAF" w:rsidRPr="004F4CFC">
        <w:t>PAO</w:t>
      </w:r>
      <w:r w:rsidRPr="004F4CFC">
        <w:t>), kteří budou výše zmíněné procesy vykonávat. Její součástí je nástroj pro řízení těchto procesů a databáze pro ukládání dat a dokumentů souvisejících s výkonem procesů.</w:t>
      </w:r>
      <w:r w:rsidR="00BF7672" w:rsidRPr="004F4CFC">
        <w:t xml:space="preserve"> </w:t>
      </w:r>
    </w:p>
    <w:p w14:paraId="777EE707" w14:textId="238689CE" w:rsidR="004B5649" w:rsidRPr="004F4CFC" w:rsidRDefault="004B5649" w:rsidP="00597F86">
      <w:pPr>
        <w:pStyle w:val="Nadpis2"/>
      </w:pPr>
      <w:bookmarkStart w:id="5" w:name="_Toc510300896"/>
      <w:r w:rsidRPr="004F4CFC">
        <w:t>Dozorová část</w:t>
      </w:r>
      <w:bookmarkEnd w:id="5"/>
    </w:p>
    <w:p w14:paraId="16E8F19D" w14:textId="3BCF5AA8" w:rsidR="00004440" w:rsidRPr="004F4CFC" w:rsidRDefault="004B5649" w:rsidP="00664C41">
      <w:pPr>
        <w:pStyle w:val="Zkladntext"/>
      </w:pPr>
      <w:r w:rsidRPr="004F4CFC">
        <w:t xml:space="preserve">Dozorová část je určena především pro </w:t>
      </w:r>
      <w:r w:rsidR="001D5F16" w:rsidRPr="004F4CFC">
        <w:t xml:space="preserve">služby pro registraci a autorizaci hráčů </w:t>
      </w:r>
      <w:r w:rsidRPr="004F4CFC">
        <w:t xml:space="preserve">a pro správu dat o hráčích. </w:t>
      </w:r>
    </w:p>
    <w:p w14:paraId="7E6C7B53" w14:textId="1CD5C0BD" w:rsidR="004B5649" w:rsidRPr="004F4CFC" w:rsidRDefault="004B5649" w:rsidP="00B80DB8">
      <w:pPr>
        <w:pStyle w:val="Zkladntext"/>
      </w:pPr>
      <w:r w:rsidRPr="004F4CFC">
        <w:t xml:space="preserve">Jmenovitě </w:t>
      </w:r>
      <w:r w:rsidR="002168BB">
        <w:t>D</w:t>
      </w:r>
      <w:r w:rsidR="002168BB" w:rsidRPr="004F4CFC">
        <w:t xml:space="preserve">ozorová </w:t>
      </w:r>
      <w:r w:rsidRPr="004F4CFC">
        <w:t>část podporuje následující procesy:</w:t>
      </w:r>
    </w:p>
    <w:p w14:paraId="1857BD12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12.</w:t>
      </w:r>
      <w:r w:rsidRPr="004F4CFC">
        <w:tab/>
        <w:t xml:space="preserve">Vedení rejstříku fyzických osob vyloučených z účasti na hazardních hrách </w:t>
      </w:r>
    </w:p>
    <w:p w14:paraId="78FD2112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13.</w:t>
      </w:r>
      <w:r w:rsidRPr="004F4CFC">
        <w:tab/>
        <w:t>Registrace</w:t>
      </w:r>
    </w:p>
    <w:p w14:paraId="3851E1A7" w14:textId="0CE1F540" w:rsidR="006959C3" w:rsidRPr="004F4CFC" w:rsidRDefault="00ED02C7" w:rsidP="00C77F7C">
      <w:pPr>
        <w:pStyle w:val="Zkladntext"/>
        <w:spacing w:after="0"/>
        <w:ind w:firstLine="360"/>
      </w:pPr>
      <w:r w:rsidRPr="004F4CFC">
        <w:t>16.</w:t>
      </w:r>
      <w:r w:rsidRPr="004F4CFC">
        <w:tab/>
        <w:t>Archivace (v části související s</w:t>
      </w:r>
      <w:r w:rsidR="00B912BE" w:rsidRPr="004F4CFC">
        <w:t xml:space="preserve"> </w:t>
      </w:r>
      <w:r w:rsidRPr="004F4CFC">
        <w:t xml:space="preserve">DB </w:t>
      </w:r>
      <w:r w:rsidR="00B912BE" w:rsidRPr="004F4CFC">
        <w:t>hráčů, DB vyloučení</w:t>
      </w:r>
      <w:r w:rsidRPr="004F4CFC">
        <w:t>)</w:t>
      </w:r>
    </w:p>
    <w:p w14:paraId="7AFA7C3A" w14:textId="77777777" w:rsidR="00ED02C7" w:rsidRPr="004F4CFC" w:rsidRDefault="00ED02C7" w:rsidP="00B80DB8">
      <w:pPr>
        <w:pStyle w:val="Zkladntext"/>
      </w:pPr>
    </w:p>
    <w:p w14:paraId="5B0ED8A8" w14:textId="7B7F50A0" w:rsidR="004B5649" w:rsidRPr="004F4CFC" w:rsidRDefault="004B5649" w:rsidP="00B80DB8">
      <w:pPr>
        <w:pStyle w:val="Zkladntext"/>
      </w:pPr>
      <w:r w:rsidRPr="004F4CFC">
        <w:t>Tato část je primárně technická</w:t>
      </w:r>
      <w:r w:rsidR="00664C41">
        <w:t xml:space="preserve">, bez </w:t>
      </w:r>
      <w:r w:rsidRPr="004F4CFC">
        <w:t>rozhraní pro uživatele</w:t>
      </w:r>
      <w:r w:rsidR="006C772C" w:rsidRPr="004F4CFC">
        <w:t>, výjimkou je možnost zápisu (a výmazu) osoby do rejstříku vyloučených osob, kde pracovníci MF musí mít možnost tento úkon provést i manuálně přes uživatelské rozhraní</w:t>
      </w:r>
      <w:r w:rsidRPr="004F4CFC">
        <w:t>. Součástí části jsou vystaven</w:t>
      </w:r>
      <w:r w:rsidR="00342F2D" w:rsidRPr="004F4CFC">
        <w:t>é</w:t>
      </w:r>
      <w:r w:rsidRPr="004F4CFC">
        <w:t xml:space="preserve"> služby, přes které budou systémově komunikovat provozovatelé:</w:t>
      </w:r>
    </w:p>
    <w:p w14:paraId="639A9EB7" w14:textId="4577D903" w:rsidR="004B5649" w:rsidRPr="004F4CFC" w:rsidRDefault="004B5649" w:rsidP="00DD29C4">
      <w:pPr>
        <w:pStyle w:val="Zkladntext"/>
        <w:numPr>
          <w:ilvl w:val="0"/>
          <w:numId w:val="12"/>
        </w:numPr>
        <w:spacing w:after="0"/>
        <w:ind w:left="714" w:hanging="357"/>
      </w:pPr>
      <w:r w:rsidRPr="004F4CFC">
        <w:t>Služba registrace hráče</w:t>
      </w:r>
      <w:r w:rsidR="00751A79" w:rsidRPr="004F4CFC">
        <w:t>.</w:t>
      </w:r>
    </w:p>
    <w:p w14:paraId="3DC7ABB8" w14:textId="596A0E43" w:rsidR="004B5649" w:rsidRPr="004F4CFC" w:rsidRDefault="004B5649" w:rsidP="00DD29C4">
      <w:pPr>
        <w:pStyle w:val="Zkladntext"/>
        <w:numPr>
          <w:ilvl w:val="0"/>
          <w:numId w:val="12"/>
        </w:numPr>
        <w:spacing w:after="0"/>
        <w:ind w:left="714" w:hanging="357"/>
      </w:pPr>
      <w:r w:rsidRPr="004F4CFC">
        <w:t>Služba autorizace hráče</w:t>
      </w:r>
      <w:r w:rsidR="00751A79" w:rsidRPr="004F4CFC">
        <w:t>.</w:t>
      </w:r>
    </w:p>
    <w:p w14:paraId="3013987F" w14:textId="1F829343" w:rsidR="004B5649" w:rsidRPr="004F4CFC" w:rsidRDefault="004B5649" w:rsidP="00DD29C4">
      <w:pPr>
        <w:pStyle w:val="Zkladntext"/>
        <w:numPr>
          <w:ilvl w:val="0"/>
          <w:numId w:val="12"/>
        </w:numPr>
        <w:spacing w:after="0"/>
        <w:ind w:left="714" w:hanging="357"/>
      </w:pPr>
      <w:r w:rsidRPr="004F4CFC">
        <w:t>Služba změny údajů hráče</w:t>
      </w:r>
      <w:r w:rsidR="00751A79" w:rsidRPr="004F4CFC">
        <w:t>.</w:t>
      </w:r>
    </w:p>
    <w:p w14:paraId="066028AD" w14:textId="77777777" w:rsidR="00BF7672" w:rsidRPr="004F4CFC" w:rsidRDefault="00BF7672" w:rsidP="00BF7672">
      <w:pPr>
        <w:pStyle w:val="Zkladntext"/>
        <w:spacing w:after="0"/>
        <w:ind w:left="714"/>
      </w:pPr>
    </w:p>
    <w:p w14:paraId="13A27F23" w14:textId="584B1482" w:rsidR="001133EF" w:rsidRPr="004F4CFC" w:rsidRDefault="001133EF" w:rsidP="00693F1E">
      <w:pPr>
        <w:pStyle w:val="Zkladntext"/>
      </w:pPr>
      <w:bookmarkStart w:id="6" w:name="_Toc419311229"/>
      <w:bookmarkStart w:id="7" w:name="_Toc419314884"/>
      <w:bookmarkEnd w:id="6"/>
      <w:bookmarkEnd w:id="7"/>
      <w:r w:rsidRPr="004F4CFC">
        <w:br w:type="page"/>
      </w:r>
    </w:p>
    <w:p w14:paraId="0DD0AE6B" w14:textId="6C071B5E" w:rsidR="00C157CA" w:rsidRPr="004F4CFC" w:rsidRDefault="003E358D" w:rsidP="00222B90">
      <w:pPr>
        <w:pStyle w:val="Heading1NoSpacing"/>
        <w:spacing w:after="240"/>
      </w:pPr>
      <w:bookmarkStart w:id="8" w:name="_Toc419311237"/>
      <w:bookmarkStart w:id="9" w:name="_Toc419314892"/>
      <w:bookmarkStart w:id="10" w:name="_Toc419310366"/>
      <w:bookmarkStart w:id="11" w:name="_Toc419311239"/>
      <w:bookmarkStart w:id="12" w:name="_Toc419314894"/>
      <w:bookmarkStart w:id="13" w:name="_Toc510300897"/>
      <w:bookmarkStart w:id="14" w:name="_Toc417331790"/>
      <w:bookmarkEnd w:id="8"/>
      <w:bookmarkEnd w:id="9"/>
      <w:bookmarkEnd w:id="10"/>
      <w:bookmarkEnd w:id="11"/>
      <w:bookmarkEnd w:id="12"/>
      <w:r w:rsidRPr="004F4CFC">
        <w:lastRenderedPageBreak/>
        <w:t>A</w:t>
      </w:r>
      <w:r w:rsidR="001B5000" w:rsidRPr="004F4CFC">
        <w:t>rchitektur</w:t>
      </w:r>
      <w:r w:rsidRPr="004F4CFC">
        <w:t>a systému</w:t>
      </w:r>
      <w:bookmarkEnd w:id="13"/>
    </w:p>
    <w:p w14:paraId="730F4D3A" w14:textId="56D7ED5A" w:rsidR="000C01A2" w:rsidRPr="004F4CFC" w:rsidRDefault="000C01A2" w:rsidP="000C01A2">
      <w:pPr>
        <w:pStyle w:val="Zkladntext"/>
      </w:pPr>
      <w:r w:rsidRPr="004F4CFC">
        <w:t>Diagramy v</w:t>
      </w:r>
      <w:r w:rsidR="003E358D" w:rsidRPr="004F4CFC">
        <w:t xml:space="preserve"> této </w:t>
      </w:r>
      <w:r w:rsidRPr="004F4CFC">
        <w:t>kapitol</w:t>
      </w:r>
      <w:r w:rsidR="003E358D" w:rsidRPr="004F4CFC">
        <w:t>e</w:t>
      </w:r>
      <w:r w:rsidRPr="004F4CFC">
        <w:t xml:space="preserve"> definují klíčové pojmy používané v celé Smlouvě </w:t>
      </w:r>
      <w:r w:rsidR="001F59ED" w:rsidRPr="004F4CFC">
        <w:t xml:space="preserve">a jejích přílohách </w:t>
      </w:r>
      <w:r w:rsidRPr="004F4CFC">
        <w:t xml:space="preserve">jako základ pro popis požadavků </w:t>
      </w:r>
      <w:r w:rsidR="00E3108C" w:rsidRPr="004F4CFC">
        <w:t>Objednatele</w:t>
      </w:r>
      <w:r w:rsidRPr="004F4CFC">
        <w:t xml:space="preserve">. </w:t>
      </w:r>
      <w:bookmarkStart w:id="15" w:name="_Hlk481319919"/>
      <w:r w:rsidRPr="004F4CFC">
        <w:t xml:space="preserve">Dodavatel může ve výsledném řešení použít odlišnou architekturu (vyplývající např. ze struktury použitých SW produktů), nicméně pro účely nabídky, resp. smlouvy musí takovou architekturu </w:t>
      </w:r>
      <w:proofErr w:type="spellStart"/>
      <w:r w:rsidRPr="004F4CFC">
        <w:t>namapovat</w:t>
      </w:r>
      <w:proofErr w:type="spellEnd"/>
      <w:r w:rsidRPr="004F4CFC">
        <w:t xml:space="preserve"> na </w:t>
      </w:r>
      <w:r w:rsidR="00921483" w:rsidRPr="004F4CFC">
        <w:t xml:space="preserve">termíny a názvy komponent použité </w:t>
      </w:r>
      <w:r w:rsidRPr="004F4CFC">
        <w:t>v</w:t>
      </w:r>
      <w:r w:rsidR="003E358D" w:rsidRPr="004F4CFC">
        <w:t> této kapitole</w:t>
      </w:r>
      <w:r w:rsidRPr="004F4CFC">
        <w:t>, aby bylo jasně prokázáno sp</w:t>
      </w:r>
      <w:r w:rsidR="00E3108C" w:rsidRPr="004F4CFC">
        <w:t>lnění všech požadavků</w:t>
      </w:r>
      <w:r w:rsidRPr="004F4CFC">
        <w:t>.</w:t>
      </w:r>
      <w:bookmarkEnd w:id="15"/>
      <w:r w:rsidRPr="004F4CFC">
        <w:t xml:space="preserve"> Rozdělení na </w:t>
      </w:r>
      <w:r w:rsidR="002168BB">
        <w:t>S</w:t>
      </w:r>
      <w:r w:rsidR="002168BB" w:rsidRPr="004F4CFC">
        <w:t xml:space="preserve">právní </w:t>
      </w:r>
      <w:r w:rsidRPr="004F4CFC">
        <w:t xml:space="preserve">a </w:t>
      </w:r>
      <w:r w:rsidR="002168BB">
        <w:t>D</w:t>
      </w:r>
      <w:r w:rsidR="002168BB" w:rsidRPr="004F4CFC">
        <w:t xml:space="preserve">ozorovou </w:t>
      </w:r>
      <w:r w:rsidRPr="004F4CFC">
        <w:t>část</w:t>
      </w:r>
      <w:r w:rsidR="00664C41">
        <w:t xml:space="preserve"> </w:t>
      </w:r>
      <w:r w:rsidRPr="004F4CFC">
        <w:t xml:space="preserve">má navíc dopady i do </w:t>
      </w:r>
      <w:r w:rsidR="00597F86" w:rsidRPr="004F4CFC">
        <w:t xml:space="preserve">požadavků na </w:t>
      </w:r>
      <w:r w:rsidR="001F59ED" w:rsidRPr="004F4CFC">
        <w:t xml:space="preserve">návrh řešení technické </w:t>
      </w:r>
      <w:r w:rsidR="00597F86" w:rsidRPr="004F4CFC">
        <w:t>infrastruktur</w:t>
      </w:r>
      <w:r w:rsidR="001F59ED" w:rsidRPr="004F4CFC">
        <w:t>y</w:t>
      </w:r>
      <w:r w:rsidR="00597F86" w:rsidRPr="004F4CFC">
        <w:t xml:space="preserve"> a </w:t>
      </w:r>
      <w:r w:rsidRPr="004F4CFC">
        <w:t>provozních podmínek a jako takové je závazné.</w:t>
      </w:r>
    </w:p>
    <w:p w14:paraId="6AA0C056" w14:textId="6C80E5B8" w:rsidR="003E358D" w:rsidRPr="004F4CFC" w:rsidRDefault="003E358D" w:rsidP="00322133">
      <w:pPr>
        <w:pStyle w:val="Nadpis2"/>
      </w:pPr>
      <w:bookmarkStart w:id="16" w:name="_Toc510300898"/>
      <w:r w:rsidRPr="004F4CFC">
        <w:t>Kontext systému</w:t>
      </w:r>
      <w:bookmarkEnd w:id="16"/>
    </w:p>
    <w:p w14:paraId="7644F508" w14:textId="130580E9" w:rsidR="00121EF8" w:rsidRPr="004F4CFC" w:rsidRDefault="003E358D" w:rsidP="00B80DB8">
      <w:pPr>
        <w:pStyle w:val="Zkladntext"/>
      </w:pPr>
      <w:r w:rsidRPr="004F4CFC">
        <w:t>Sub-</w:t>
      </w:r>
      <w:proofErr w:type="spellStart"/>
      <w:r w:rsidRPr="004F4CFC">
        <w:t>system</w:t>
      </w:r>
      <w:proofErr w:type="spellEnd"/>
      <w:r w:rsidRPr="004F4CFC">
        <w:t xml:space="preserve"> </w:t>
      </w:r>
      <w:proofErr w:type="spellStart"/>
      <w:r w:rsidRPr="004F4CFC">
        <w:t>context</w:t>
      </w:r>
      <w:proofErr w:type="spellEnd"/>
      <w:r w:rsidRPr="004F4CFC">
        <w:t xml:space="preserve"> diagram </w:t>
      </w:r>
      <w:r w:rsidR="00121EF8" w:rsidRPr="004F4CFC">
        <w:t>popisuje zapojení AISG</w:t>
      </w:r>
      <w:r w:rsidR="00E049CC" w:rsidRPr="004F4CFC">
        <w:t xml:space="preserve"> a jeho základních modulů</w:t>
      </w:r>
      <w:r w:rsidR="00121EF8" w:rsidRPr="004F4CFC">
        <w:t xml:space="preserve"> v kontextu jeho uživatelů a okolních systémů, které s AISG interagují.</w:t>
      </w:r>
    </w:p>
    <w:p w14:paraId="39EA6585" w14:textId="34B971A2" w:rsidR="00D42D8A" w:rsidRPr="004F4CFC" w:rsidRDefault="00AD1C2F" w:rsidP="00345CFB">
      <w:pPr>
        <w:pStyle w:val="Titulek"/>
        <w:keepNext/>
      </w:pPr>
      <w:r w:rsidRPr="004F4CFC">
        <w:rPr>
          <w:noProof/>
        </w:rPr>
        <w:t xml:space="preserve"> </w:t>
      </w:r>
      <w:r w:rsidR="00D73F61" w:rsidRPr="00D73F61">
        <w:rPr>
          <w:noProof/>
        </w:rPr>
        <w:t xml:space="preserve"> </w:t>
      </w:r>
      <w:r w:rsidR="000E4824">
        <w:rPr>
          <w:noProof/>
          <w:lang w:eastAsia="cs-CZ"/>
        </w:rPr>
        <w:drawing>
          <wp:inline distT="0" distB="0" distL="0" distR="0" wp14:anchorId="51C6A0BE" wp14:editId="2F964405">
            <wp:extent cx="6263640" cy="36087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9FC" w:rsidRPr="004F4CFC">
        <w:rPr>
          <w:noProof/>
        </w:rPr>
        <w:t xml:space="preserve"> </w:t>
      </w:r>
      <w:r w:rsidR="00DF0D38" w:rsidRPr="004F4CFC">
        <w:rPr>
          <w:noProof/>
        </w:rPr>
        <w:t xml:space="preserve"> </w:t>
      </w:r>
    </w:p>
    <w:p w14:paraId="603E6BC6" w14:textId="5A59965D" w:rsidR="00345CFB" w:rsidRPr="004F4CFC" w:rsidRDefault="00345CFB" w:rsidP="00345CFB">
      <w:pPr>
        <w:pStyle w:val="Titulek"/>
        <w:keepNext/>
      </w:pPr>
      <w:r w:rsidRPr="004F4CFC">
        <w:t xml:space="preserve">Popis elementů </w:t>
      </w:r>
      <w:r w:rsidR="003C52B6" w:rsidRPr="004F4CFC">
        <w:t>sub-</w:t>
      </w:r>
      <w:r w:rsidR="003E358D" w:rsidRPr="004F4CFC">
        <w:t xml:space="preserve">systém </w:t>
      </w:r>
      <w:proofErr w:type="spellStart"/>
      <w:r w:rsidR="003C52B6" w:rsidRPr="004F4CFC">
        <w:t>context</w:t>
      </w:r>
      <w:proofErr w:type="spellEnd"/>
      <w:r w:rsidR="003C52B6" w:rsidRPr="004F4CFC">
        <w:t xml:space="preserve"> </w:t>
      </w:r>
      <w:r w:rsidRPr="004F4CFC">
        <w:t>diagramu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1962"/>
        <w:gridCol w:w="1728"/>
        <w:gridCol w:w="6233"/>
      </w:tblGrid>
      <w:tr w:rsidR="00AE5E45" w:rsidRPr="004F4CFC" w14:paraId="25045956" w14:textId="77777777" w:rsidTr="00693F1E">
        <w:trPr>
          <w:tblHeader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3BB8541" w14:textId="77777777" w:rsidR="00AE5E45" w:rsidRPr="004F4CFC" w:rsidRDefault="00AE5E45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Název elementu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BF3BBA5" w14:textId="77777777" w:rsidR="00AE5E45" w:rsidRPr="004F4CFC" w:rsidRDefault="00AE5E45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Typ elementu</w:t>
            </w:r>
          </w:p>
        </w:tc>
        <w:tc>
          <w:tcPr>
            <w:tcW w:w="6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0728926" w14:textId="77777777" w:rsidR="00AE5E45" w:rsidRPr="004F4CFC" w:rsidRDefault="00AE5E45" w:rsidP="001C48C8">
            <w:pPr>
              <w:jc w:val="both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Popis elementu</w:t>
            </w:r>
          </w:p>
        </w:tc>
      </w:tr>
      <w:tr w:rsidR="00AE5E45" w:rsidRPr="004F4CFC" w14:paraId="170F9327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769A81" w14:textId="1F87DBF8" w:rsidR="00AE5E45" w:rsidRPr="004F4CFC" w:rsidRDefault="00AE5E45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Provozovatel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81218AF" w14:textId="77777777" w:rsidR="00AE5E45" w:rsidRPr="004F4CFC" w:rsidRDefault="00AE5E45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9FA0145" w14:textId="70215537" w:rsidR="00AE5E45" w:rsidRPr="004F4CFC" w:rsidRDefault="00AE5E45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Informační systémy řádně registrovaného provozovatele.</w:t>
            </w:r>
            <w:r w:rsidR="00722778" w:rsidRPr="004F4CFC" w:rsidDel="00722778">
              <w:rPr>
                <w:sz w:val="18"/>
                <w:szCs w:val="24"/>
              </w:rPr>
              <w:t xml:space="preserve"> </w:t>
            </w:r>
          </w:p>
        </w:tc>
      </w:tr>
      <w:tr w:rsidR="00747B7E" w:rsidRPr="004F4CFC" w14:paraId="2BB0E6D9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198E2D3" w14:textId="2B53FD4A" w:rsidR="00747B7E" w:rsidRPr="004F4CFC" w:rsidRDefault="008C5D97" w:rsidP="00594DAF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PAO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142775E" w14:textId="1EB949D8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DEA2C43" w14:textId="6B3870B1" w:rsidR="00747B7E" w:rsidRPr="004F4CFC" w:rsidRDefault="00722778" w:rsidP="00CE2A8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Pověřená osoba dle § 110 ZHH</w:t>
            </w:r>
            <w:r>
              <w:rPr>
                <w:sz w:val="18"/>
                <w:szCs w:val="24"/>
              </w:rPr>
              <w:t>.</w:t>
            </w:r>
            <w:r w:rsidRPr="004F4CFC">
              <w:rPr>
                <w:sz w:val="18"/>
                <w:szCs w:val="24"/>
              </w:rPr>
              <w:t xml:space="preserve"> </w:t>
            </w:r>
            <w:r w:rsidR="006B45C3">
              <w:rPr>
                <w:i/>
                <w:sz w:val="18"/>
                <w:szCs w:val="24"/>
              </w:rPr>
              <w:br/>
            </w:r>
            <w:proofErr w:type="spellStart"/>
            <w:r w:rsidR="00747B7E" w:rsidRPr="004F4CFC">
              <w:rPr>
                <w:i/>
                <w:sz w:val="18"/>
                <w:szCs w:val="24"/>
              </w:rPr>
              <w:t>Pozn</w:t>
            </w:r>
            <w:proofErr w:type="spellEnd"/>
            <w:r w:rsidR="00747B7E" w:rsidRPr="004F4CFC">
              <w:rPr>
                <w:i/>
                <w:sz w:val="18"/>
                <w:szCs w:val="24"/>
              </w:rPr>
              <w:t xml:space="preserve">: Pověřená osoba hraje roli uživatele AISG při manuálním vkládání osvědčení i externího systému při využití automatizovaného rozhraní. Obě varianty přístupu </w:t>
            </w:r>
            <w:r w:rsidR="00594DAF" w:rsidRPr="004F4CFC">
              <w:rPr>
                <w:i/>
                <w:sz w:val="18"/>
                <w:szCs w:val="24"/>
              </w:rPr>
              <w:t xml:space="preserve">PAO </w:t>
            </w:r>
            <w:r w:rsidR="00747B7E" w:rsidRPr="004F4CFC">
              <w:rPr>
                <w:i/>
                <w:sz w:val="18"/>
                <w:szCs w:val="24"/>
              </w:rPr>
              <w:t>jsou podporované.</w:t>
            </w:r>
          </w:p>
        </w:tc>
      </w:tr>
      <w:tr w:rsidR="00747B7E" w:rsidRPr="004F4CFC" w14:paraId="7546CBF0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7FF89E62" w14:textId="494928D2" w:rsidR="00747B7E" w:rsidRPr="004F4CFC" w:rsidRDefault="00664C41" w:rsidP="00747B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Služby vytvářející </w:t>
            </w:r>
            <w:r>
              <w:rPr>
                <w:sz w:val="18"/>
                <w:szCs w:val="24"/>
              </w:rPr>
              <w:lastRenderedPageBreak/>
              <w:t>důvěru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FE0FF66" w14:textId="7777777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lastRenderedPageBreak/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5B2D82C" w14:textId="395D5CB8" w:rsidR="00747B7E" w:rsidRDefault="00747B7E" w:rsidP="00747B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K zajištění důvěrnosti, integrity a nepopiratelnosti komunikace systému </w:t>
            </w:r>
            <w:r w:rsidRPr="004F4CFC">
              <w:rPr>
                <w:sz w:val="18"/>
                <w:szCs w:val="24"/>
              </w:rPr>
              <w:lastRenderedPageBreak/>
              <w:t>provozovatele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 s AISG bude sloužit systém založený</w:t>
            </w:r>
            <w:r w:rsidR="00542FB4">
              <w:rPr>
                <w:sz w:val="18"/>
                <w:szCs w:val="24"/>
              </w:rPr>
              <w:t xml:space="preserve"> na </w:t>
            </w:r>
            <w:r w:rsidR="00664C41">
              <w:rPr>
                <w:sz w:val="18"/>
                <w:szCs w:val="24"/>
              </w:rPr>
              <w:t xml:space="preserve">elektronických </w:t>
            </w:r>
            <w:r w:rsidR="00542FB4">
              <w:rPr>
                <w:sz w:val="18"/>
                <w:szCs w:val="24"/>
              </w:rPr>
              <w:t xml:space="preserve">podpisech a </w:t>
            </w:r>
            <w:r w:rsidR="00664C41">
              <w:rPr>
                <w:sz w:val="18"/>
                <w:szCs w:val="24"/>
              </w:rPr>
              <w:t>pečetích</w:t>
            </w:r>
            <w:r w:rsidR="00426E68">
              <w:rPr>
                <w:sz w:val="18"/>
                <w:szCs w:val="24"/>
              </w:rPr>
              <w:t>.</w:t>
            </w:r>
          </w:p>
          <w:p w14:paraId="691C1461" w14:textId="7BA7C986" w:rsidR="00747B7E" w:rsidRPr="004F4CFC" w:rsidRDefault="00F101A2" w:rsidP="00747B7E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Objednatel v rámci modulu Služby vytvářející důvěru zajistí sadu podpůrných nástrojů a funkcí</w:t>
            </w:r>
            <w:r w:rsidR="00C86EBC">
              <w:rPr>
                <w:sz w:val="18"/>
                <w:szCs w:val="24"/>
              </w:rPr>
              <w:t xml:space="preserve"> - sl</w:t>
            </w:r>
            <w:r w:rsidR="00984C0F">
              <w:rPr>
                <w:sz w:val="18"/>
                <w:szCs w:val="24"/>
              </w:rPr>
              <w:t xml:space="preserve">užby </w:t>
            </w:r>
            <w:r w:rsidR="00C86EBC">
              <w:rPr>
                <w:sz w:val="18"/>
                <w:szCs w:val="24"/>
              </w:rPr>
              <w:t xml:space="preserve">jedné nebo více </w:t>
            </w:r>
            <w:r w:rsidR="00984C0F">
              <w:rPr>
                <w:sz w:val="18"/>
                <w:szCs w:val="24"/>
              </w:rPr>
              <w:t xml:space="preserve">certifikačních autorit - </w:t>
            </w:r>
            <w:r>
              <w:rPr>
                <w:sz w:val="18"/>
                <w:szCs w:val="24"/>
              </w:rPr>
              <w:t xml:space="preserve">certifikáty Objednatele, </w:t>
            </w:r>
            <w:r w:rsidR="00984C0F">
              <w:rPr>
                <w:sz w:val="18"/>
                <w:szCs w:val="24"/>
              </w:rPr>
              <w:t>certifikáty provozovatelů a PAO, certifikáty CA, CRL</w:t>
            </w:r>
            <w:r w:rsidR="002D4CD0">
              <w:rPr>
                <w:sz w:val="18"/>
                <w:szCs w:val="24"/>
              </w:rPr>
              <w:t>.</w:t>
            </w:r>
          </w:p>
        </w:tc>
      </w:tr>
      <w:tr w:rsidR="00747B7E" w:rsidRPr="004F4CFC" w14:paraId="32667F5B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380ABC4F" w14:textId="38C13856" w:rsidR="00747B7E" w:rsidRPr="004F4CFC" w:rsidRDefault="00747B7E" w:rsidP="00747B7E">
            <w:pPr>
              <w:spacing w:after="0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lastRenderedPageBreak/>
              <w:t>Archiv AISG (MF)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EE701F0" w14:textId="77777777" w:rsidR="00747B7E" w:rsidRPr="004F4CFC" w:rsidRDefault="00747B7E" w:rsidP="00747B7E">
            <w:pPr>
              <w:spacing w:after="0"/>
              <w:rPr>
                <w:sz w:val="18"/>
                <w:szCs w:val="18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F42027E" w14:textId="0E66712F" w:rsidR="00747B7E" w:rsidRPr="004F4CFC" w:rsidRDefault="00747B7E" w:rsidP="00594DAF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 xml:space="preserve">Interní archiv AISG je cílovou komponentou pro archivované soubory a data podle procesu </w:t>
            </w:r>
            <w:r w:rsidR="00594DAF" w:rsidRPr="004F4CFC">
              <w:rPr>
                <w:sz w:val="18"/>
                <w:szCs w:val="18"/>
              </w:rPr>
              <w:t>16.</w:t>
            </w:r>
            <w:r w:rsidR="004F4CFC">
              <w:rPr>
                <w:sz w:val="18"/>
                <w:szCs w:val="18"/>
              </w:rPr>
              <w:t xml:space="preserve"> </w:t>
            </w:r>
            <w:r w:rsidRPr="004F4CFC">
              <w:rPr>
                <w:sz w:val="18"/>
                <w:szCs w:val="18"/>
              </w:rPr>
              <w:t>Archivace. Implementace interního archivu AISG je v odpovědnosti Objednatele, odpovědností Dodavatele je výběr a příprava dat a souborů pro uložení do interního archivu a jejich následné smazání z databází a DMS. Komunikace s interním archivem bude probíhat formou předávání souborů. Archivace dat z databází bude probíhat formou uložení dat v XML souborech, pro každý běh archivace budou vytvořeny nové soubory.</w:t>
            </w:r>
          </w:p>
        </w:tc>
      </w:tr>
      <w:tr w:rsidR="005F2AEE" w:rsidRPr="004F4CFC" w14:paraId="16B9BDCA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1D2D43F1" w14:textId="6EEB1370" w:rsidR="005F2AEE" w:rsidRPr="004F4CFC" w:rsidRDefault="00F101A2" w:rsidP="00747B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Analytický modul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C944492" w14:textId="13C447BE" w:rsidR="005F2AEE" w:rsidRPr="004F4CFC" w:rsidRDefault="005F2AE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9DDAFE0" w14:textId="2C8106AB" w:rsidR="005F2AEE" w:rsidRDefault="00F101A2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Analytický modul Objednatele </w:t>
            </w:r>
            <w:r w:rsidR="00A20DD0">
              <w:rPr>
                <w:sz w:val="18"/>
                <w:szCs w:val="24"/>
              </w:rPr>
              <w:t xml:space="preserve">získává </w:t>
            </w:r>
            <w:r>
              <w:rPr>
                <w:sz w:val="18"/>
                <w:szCs w:val="24"/>
              </w:rPr>
              <w:t xml:space="preserve">od provozovatelů (mimo systém AISG) </w:t>
            </w:r>
            <w:r w:rsidR="00A20DD0">
              <w:rPr>
                <w:sz w:val="18"/>
                <w:szCs w:val="24"/>
              </w:rPr>
              <w:t>a zpracovává data o hazardních hrách a k jejich zpracování využívá i data z DB správní, DB hráčů a DB vyloučení.</w:t>
            </w:r>
            <w:r w:rsidR="00A20DD0" w:rsidDel="00A20DD0">
              <w:rPr>
                <w:sz w:val="18"/>
                <w:szCs w:val="24"/>
              </w:rPr>
              <w:t xml:space="preserve"> </w:t>
            </w:r>
          </w:p>
          <w:p w14:paraId="0F1794F2" w14:textId="6CE9A556" w:rsidR="00356A95" w:rsidRPr="001D3637" w:rsidRDefault="00356A95" w:rsidP="002168BB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Vybudování Analytického modulu proběhne paralelně k </w:t>
            </w:r>
            <w:r w:rsidR="002168BB">
              <w:rPr>
                <w:sz w:val="18"/>
                <w:szCs w:val="24"/>
              </w:rPr>
              <w:t xml:space="preserve">dodávce </w:t>
            </w:r>
            <w:r>
              <w:rPr>
                <w:sz w:val="18"/>
                <w:szCs w:val="24"/>
              </w:rPr>
              <w:t>AISG, je ale samostatnou aktivitou na straně Objednatele a není součástí integračního projektu přípravy AISG.</w:t>
            </w:r>
          </w:p>
        </w:tc>
      </w:tr>
      <w:tr w:rsidR="00747B7E" w:rsidRPr="004F4CFC" w14:paraId="56BA8F1D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C390BD0" w14:textId="02895706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SDSL (MF)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386F7D1" w14:textId="7777777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BDDCAD2" w14:textId="6CDB451F" w:rsidR="00747B7E" w:rsidRPr="004F4CFC" w:rsidRDefault="00747B7E" w:rsidP="00747B7E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 xml:space="preserve">Informační systém, který </w:t>
            </w:r>
            <w:r w:rsidR="006B45C3">
              <w:rPr>
                <w:sz w:val="18"/>
                <w:szCs w:val="18"/>
              </w:rPr>
              <w:t>byl vyvinut</w:t>
            </w:r>
            <w:r w:rsidRPr="004F4CFC">
              <w:rPr>
                <w:sz w:val="18"/>
                <w:szCs w:val="18"/>
              </w:rPr>
              <w:t xml:space="preserve"> k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výkonu státního dozoru nad loteriemi a sázkami v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souvislosti s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 xml:space="preserve">plněním úkolů vyplývajících primárně ze zákona č. 202/1990 Sb., o loteriích a jiných podobných hrách ve znění pozdějších předpisů, částečně i ze zákona č. 186/2016 Sb., o hazardních hrách. </w:t>
            </w:r>
          </w:p>
        </w:tc>
      </w:tr>
      <w:tr w:rsidR="00747B7E" w:rsidRPr="004F4CFC" w14:paraId="5496324D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3602B6D" w14:textId="4048C5A5" w:rsidR="00747B7E" w:rsidRPr="004F4CFC" w:rsidRDefault="002A2F7E" w:rsidP="00747B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EPD (MF)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B6EB8DC" w14:textId="7777777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1B6959C" w14:textId="182C10BE" w:rsidR="00747B7E" w:rsidRPr="004F4CFC" w:rsidRDefault="00747B7E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Systém spisové služby MF (EPD).</w:t>
            </w:r>
            <w:r w:rsidR="006B45C3" w:rsidRPr="004F4CFC" w:rsidDel="006B45C3">
              <w:rPr>
                <w:sz w:val="18"/>
                <w:szCs w:val="24"/>
              </w:rPr>
              <w:t xml:space="preserve"> </w:t>
            </w:r>
          </w:p>
        </w:tc>
      </w:tr>
      <w:tr w:rsidR="00747B7E" w:rsidRPr="004F4CFC" w14:paraId="51985D31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E17D025" w14:textId="30B7A1B1" w:rsidR="00747B7E" w:rsidRPr="004F4CFC" w:rsidRDefault="00747B7E" w:rsidP="00FC5806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EPP</w:t>
            </w:r>
            <w:r w:rsidR="00FC5806" w:rsidRPr="004F4CFC" w:rsidDel="00FC5806">
              <w:rPr>
                <w:sz w:val="18"/>
                <w:szCs w:val="24"/>
              </w:rPr>
              <w:t xml:space="preserve"> </w:t>
            </w:r>
            <w:r w:rsidR="002A2F7E">
              <w:rPr>
                <w:sz w:val="18"/>
                <w:szCs w:val="24"/>
              </w:rPr>
              <w:t>(CS)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298C208" w14:textId="4E95205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9587549" w14:textId="320BF174" w:rsidR="00747B7E" w:rsidRPr="004F4CFC" w:rsidRDefault="002A2F7E" w:rsidP="00CE2A8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F4CFC">
              <w:rPr>
                <w:sz w:val="18"/>
                <w:szCs w:val="24"/>
              </w:rPr>
              <w:t xml:space="preserve">IS Evidence porušení předpisů </w:t>
            </w:r>
            <w:r w:rsidR="00747B7E" w:rsidRPr="004F4CFC">
              <w:rPr>
                <w:sz w:val="18"/>
                <w:szCs w:val="24"/>
              </w:rPr>
              <w:t>využívan</w:t>
            </w:r>
            <w:r>
              <w:rPr>
                <w:sz w:val="18"/>
                <w:szCs w:val="24"/>
              </w:rPr>
              <w:t>ý</w:t>
            </w:r>
            <w:r w:rsidR="00747B7E" w:rsidRPr="004F4CFC">
              <w:rPr>
                <w:sz w:val="18"/>
                <w:szCs w:val="24"/>
              </w:rPr>
              <w:t xml:space="preserve"> Celní správou.</w:t>
            </w:r>
          </w:p>
        </w:tc>
      </w:tr>
      <w:tr w:rsidR="002A2F7E" w:rsidRPr="004F4CFC" w14:paraId="4586B556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72F540D5" w14:textId="0A0DDE61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Mobilní dohled (CS)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5C524EA" w14:textId="6E6E7B93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725F076" w14:textId="54DB7F77" w:rsidR="002A2F7E" w:rsidRPr="004F4CFC" w:rsidRDefault="002A2F7E" w:rsidP="002A2F7E">
            <w:pPr>
              <w:spacing w:after="0"/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IS </w:t>
            </w:r>
            <w:r>
              <w:rPr>
                <w:sz w:val="18"/>
                <w:szCs w:val="24"/>
              </w:rPr>
              <w:t>Mobilní dohled</w:t>
            </w:r>
            <w:r w:rsidRPr="004F4CFC">
              <w:rPr>
                <w:sz w:val="18"/>
                <w:szCs w:val="24"/>
              </w:rPr>
              <w:t xml:space="preserve"> využívan</w:t>
            </w:r>
            <w:r>
              <w:rPr>
                <w:sz w:val="18"/>
                <w:szCs w:val="24"/>
              </w:rPr>
              <w:t>ý</w:t>
            </w:r>
            <w:r w:rsidRPr="004F4CFC">
              <w:rPr>
                <w:sz w:val="18"/>
                <w:szCs w:val="24"/>
              </w:rPr>
              <w:t xml:space="preserve"> Celní správou.</w:t>
            </w:r>
          </w:p>
        </w:tc>
      </w:tr>
      <w:tr w:rsidR="002A2F7E" w:rsidRPr="004F4CFC" w14:paraId="76F041E3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60A2790D" w14:textId="5BEFC39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ADIS (FS)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40AE06E" w14:textId="53A69151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050CDB4" w14:textId="54FF975A" w:rsidR="002A2F7E" w:rsidRPr="004F4CFC" w:rsidRDefault="002A2F7E" w:rsidP="00CE2A81">
            <w:pPr>
              <w:spacing w:after="0"/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18"/>
              </w:rPr>
              <w:t>Informační systém Finanční správy.</w:t>
            </w:r>
          </w:p>
        </w:tc>
      </w:tr>
      <w:tr w:rsidR="002A2F7E" w:rsidRPr="004F4CFC" w14:paraId="6FB86562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7E07572" w14:textId="65869F13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JIP/KAAS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90652E1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2A671FB" w14:textId="32F7AC6D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Jednotný </w:t>
            </w:r>
            <w:proofErr w:type="spellStart"/>
            <w:r w:rsidRPr="004F4CFC">
              <w:rPr>
                <w:sz w:val="18"/>
                <w:szCs w:val="24"/>
              </w:rPr>
              <w:t>identitní</w:t>
            </w:r>
            <w:proofErr w:type="spellEnd"/>
            <w:r w:rsidRPr="004F4CFC">
              <w:rPr>
                <w:sz w:val="18"/>
                <w:szCs w:val="24"/>
              </w:rPr>
              <w:t xml:space="preserve"> prostor veřejné správy. Bude sloužit jako jediný </w:t>
            </w:r>
            <w:proofErr w:type="spellStart"/>
            <w:r w:rsidRPr="004F4CFC">
              <w:rPr>
                <w:sz w:val="18"/>
                <w:szCs w:val="24"/>
              </w:rPr>
              <w:t>identitní</w:t>
            </w:r>
            <w:proofErr w:type="spellEnd"/>
            <w:r w:rsidRPr="004F4CFC">
              <w:rPr>
                <w:sz w:val="18"/>
                <w:szCs w:val="24"/>
              </w:rPr>
              <w:t xml:space="preserve"> prostor pro všechny uživatele systému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veřejné správy (včetně obcí</w:t>
            </w:r>
            <w:r w:rsidR="0082628F">
              <w:rPr>
                <w:sz w:val="18"/>
                <w:szCs w:val="24"/>
              </w:rPr>
              <w:t xml:space="preserve"> a krajů</w:t>
            </w:r>
            <w:r w:rsidRPr="004F4CFC">
              <w:rPr>
                <w:sz w:val="18"/>
                <w:szCs w:val="24"/>
              </w:rPr>
              <w:t xml:space="preserve">), uchovává přihlašovací údaje (uživatelské jméno, heslo) a uživatelské role pro přístup do </w:t>
            </w:r>
            <w:r w:rsidR="008B2E1C">
              <w:rPr>
                <w:sz w:val="18"/>
                <w:szCs w:val="24"/>
              </w:rPr>
              <w:t>AISG</w:t>
            </w:r>
            <w:r w:rsidRPr="004F4CFC">
              <w:rPr>
                <w:sz w:val="18"/>
                <w:szCs w:val="24"/>
              </w:rPr>
              <w:t>.</w:t>
            </w:r>
          </w:p>
          <w:p w14:paraId="366F87C5" w14:textId="7BEA1F90" w:rsidR="002A2F7E" w:rsidRPr="004F4CFC" w:rsidRDefault="002A2F7E" w:rsidP="002A2F7E">
            <w:pPr>
              <w:jc w:val="both"/>
              <w:rPr>
                <w:i/>
                <w:sz w:val="18"/>
                <w:szCs w:val="24"/>
              </w:rPr>
            </w:pPr>
            <w:proofErr w:type="spellStart"/>
            <w:r w:rsidRPr="004F4CFC">
              <w:rPr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i/>
                <w:sz w:val="18"/>
                <w:szCs w:val="24"/>
              </w:rPr>
              <w:t>: Neplatí pro administrátory systému AISG, viz popis komponenty AM veřejná správa.</w:t>
            </w:r>
          </w:p>
        </w:tc>
      </w:tr>
      <w:tr w:rsidR="002A2F7E" w:rsidRPr="004F4CFC" w14:paraId="68E7AB8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80AB505" w14:textId="78918BEB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ISZR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DCF54A9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5EFBB0C" w14:textId="76F85250" w:rsidR="002A2F7E" w:rsidRPr="004F4CFC" w:rsidRDefault="002A2F7E" w:rsidP="00CE2A8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Informační systém základních registrů – součást systému Základních registrů realizovaných na základě zákona č. 111/2009 Sb.</w:t>
            </w:r>
          </w:p>
        </w:tc>
      </w:tr>
      <w:tr w:rsidR="002A2F7E" w:rsidRPr="004F4CFC" w14:paraId="30066B58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1AAC30AA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eGSB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AD39C55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3215A06" w14:textId="78F91DD3" w:rsidR="002A2F7E" w:rsidRPr="004F4CFC" w:rsidRDefault="002A2F7E" w:rsidP="002A2F7E">
            <w:pPr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eGON</w:t>
            </w:r>
            <w:proofErr w:type="spellEnd"/>
            <w:r w:rsidRPr="004F4CFC">
              <w:rPr>
                <w:sz w:val="18"/>
                <w:szCs w:val="24"/>
              </w:rPr>
              <w:t xml:space="preserve"> Service Bus – ve spolupráci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ISZR slouží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výměně informací mezi </w:t>
            </w:r>
            <w:proofErr w:type="gramStart"/>
            <w:r w:rsidRPr="004F4CFC">
              <w:rPr>
                <w:sz w:val="18"/>
                <w:szCs w:val="24"/>
              </w:rPr>
              <w:lastRenderedPageBreak/>
              <w:t>AIS</w:t>
            </w:r>
            <w:proofErr w:type="gramEnd"/>
            <w:r w:rsidRPr="004F4CFC">
              <w:rPr>
                <w:sz w:val="18"/>
                <w:szCs w:val="24"/>
              </w:rPr>
              <w:t xml:space="preserve">. Viz dokumentaci na </w:t>
            </w:r>
            <w:hyperlink r:id="rId16" w:history="1">
              <w:r w:rsidRPr="004F4CFC">
                <w:rPr>
                  <w:rStyle w:val="Hypertextovodkaz"/>
                  <w:sz w:val="18"/>
                  <w:szCs w:val="24"/>
                </w:rPr>
                <w:t>http://www.mvcr.cz/clanek/dokumentace-egsb.aspx</w:t>
              </w:r>
            </w:hyperlink>
            <w:r w:rsidRPr="004F4CFC">
              <w:rPr>
                <w:sz w:val="18"/>
                <w:szCs w:val="24"/>
              </w:rPr>
              <w:t xml:space="preserve">. </w:t>
            </w:r>
          </w:p>
          <w:p w14:paraId="3187564C" w14:textId="53E7A1F7" w:rsidR="002A2F7E" w:rsidRPr="004F4CFC" w:rsidRDefault="002A2F7E" w:rsidP="002A2F7E">
            <w:pPr>
              <w:rPr>
                <w:i/>
                <w:sz w:val="18"/>
                <w:szCs w:val="24"/>
              </w:rPr>
            </w:pPr>
            <w:r w:rsidRPr="004F4CFC">
              <w:rPr>
                <w:i/>
                <w:sz w:val="18"/>
                <w:szCs w:val="24"/>
              </w:rPr>
              <w:t xml:space="preserve">Poznámka: Zadávací dokumentace předpokládá dostupnost definice a implementace potřebných </w:t>
            </w:r>
            <w:proofErr w:type="spellStart"/>
            <w:r w:rsidRPr="004F4CFC">
              <w:rPr>
                <w:i/>
                <w:sz w:val="18"/>
                <w:szCs w:val="24"/>
              </w:rPr>
              <w:t>eGSB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 služeb rezortů </w:t>
            </w:r>
            <w:proofErr w:type="spellStart"/>
            <w:r w:rsidRPr="004F4CFC">
              <w:rPr>
                <w:i/>
                <w:sz w:val="18"/>
                <w:szCs w:val="24"/>
              </w:rPr>
              <w:t>MSp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 a MPSV prostřednictvím </w:t>
            </w:r>
            <w:proofErr w:type="spellStart"/>
            <w:r w:rsidRPr="004F4CFC">
              <w:rPr>
                <w:i/>
                <w:sz w:val="18"/>
                <w:szCs w:val="24"/>
              </w:rPr>
              <w:t>eGSB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 v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termínech odpovídajících harmonogramu implementace AISG. V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případě nedodržení tohoto předpokladu dojde formou změnového požadavku k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 xml:space="preserve">definici a implementaci náhradního řešení, pravděpodobně přímé komunikace mezi </w:t>
            </w:r>
            <w:proofErr w:type="gramStart"/>
            <w:r w:rsidRPr="004F4CFC">
              <w:rPr>
                <w:i/>
                <w:sz w:val="18"/>
                <w:szCs w:val="24"/>
              </w:rPr>
              <w:t>AIS</w:t>
            </w:r>
            <w:proofErr w:type="gramEnd"/>
            <w:r w:rsidRPr="004F4CFC">
              <w:rPr>
                <w:i/>
                <w:sz w:val="18"/>
                <w:szCs w:val="24"/>
              </w:rPr>
              <w:t xml:space="preserve"> s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využitím ISZR služeb E175 a E176 pro mapování AIFO.</w:t>
            </w:r>
          </w:p>
        </w:tc>
      </w:tr>
      <w:tr w:rsidR="002A2F7E" w:rsidRPr="004F4CFC" w14:paraId="0246CA9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C4EED90" w14:textId="02B1A56B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lastRenderedPageBreak/>
              <w:t>ISDS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AFC5BEC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E5F1F76" w14:textId="19D21491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Informační systém datových schránek provozovaný Českou poštou na základě zákona č. 300/2008 Sb., o elektronických úkonech a autorizované konverzi dokumentu.</w:t>
            </w:r>
            <w:r w:rsidR="002505A1">
              <w:rPr>
                <w:sz w:val="18"/>
                <w:szCs w:val="24"/>
              </w:rPr>
              <w:t xml:space="preserve"> Je přímo využíván pouze pro autentizaci </w:t>
            </w:r>
            <w:r w:rsidR="002505A1" w:rsidRPr="002505A1">
              <w:rPr>
                <w:sz w:val="18"/>
                <w:szCs w:val="24"/>
              </w:rPr>
              <w:t>provozovatel</w:t>
            </w:r>
            <w:r w:rsidR="002505A1">
              <w:rPr>
                <w:sz w:val="18"/>
                <w:szCs w:val="24"/>
              </w:rPr>
              <w:t>ů</w:t>
            </w:r>
            <w:r w:rsidR="002505A1" w:rsidRPr="002505A1">
              <w:rPr>
                <w:sz w:val="18"/>
                <w:szCs w:val="24"/>
              </w:rPr>
              <w:t xml:space="preserve"> a PAO pomocí autentizační služby Portálu veřejné správy, která ověřuje uživatele pomocí přístupových údajů datových schránek</w:t>
            </w:r>
            <w:r w:rsidR="00A3415B">
              <w:rPr>
                <w:sz w:val="18"/>
                <w:szCs w:val="24"/>
              </w:rPr>
              <w:t>, a pro odesílání datových zpráv pomocí Odesílací brány ISDS</w:t>
            </w:r>
            <w:r w:rsidR="002505A1">
              <w:rPr>
                <w:sz w:val="18"/>
                <w:szCs w:val="24"/>
              </w:rPr>
              <w:t xml:space="preserve">. </w:t>
            </w:r>
            <w:proofErr w:type="spellStart"/>
            <w:r w:rsidR="00E425EE" w:rsidRPr="00E425EE">
              <w:rPr>
                <w:i/>
                <w:sz w:val="18"/>
                <w:szCs w:val="24"/>
              </w:rPr>
              <w:t>Pozn</w:t>
            </w:r>
            <w:proofErr w:type="spellEnd"/>
            <w:r w:rsidR="00E425EE" w:rsidRPr="00E425EE">
              <w:rPr>
                <w:i/>
                <w:sz w:val="18"/>
                <w:szCs w:val="24"/>
              </w:rPr>
              <w:t xml:space="preserve">: </w:t>
            </w:r>
            <w:r w:rsidR="002505A1" w:rsidRPr="00E425EE">
              <w:rPr>
                <w:i/>
                <w:sz w:val="18"/>
                <w:szCs w:val="24"/>
              </w:rPr>
              <w:t>Ostatní způsoby využití ISDS jsou nepřímé prostřednictvím EPD.</w:t>
            </w:r>
          </w:p>
        </w:tc>
      </w:tr>
      <w:tr w:rsidR="002A2F7E" w:rsidRPr="004F4CFC" w14:paraId="15217C72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6CA6BB66" w14:textId="2B6BB84C" w:rsidR="002A2F7E" w:rsidRPr="004F4CFC" w:rsidRDefault="008B2E1C" w:rsidP="002A2F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Insolvenční rejstřík</w:t>
            </w:r>
            <w:r w:rsidR="00F3750D">
              <w:rPr>
                <w:sz w:val="18"/>
                <w:szCs w:val="24"/>
              </w:rPr>
              <w:t xml:space="preserve"> (</w:t>
            </w:r>
            <w:proofErr w:type="spellStart"/>
            <w:r w:rsidR="00F3750D">
              <w:rPr>
                <w:sz w:val="18"/>
                <w:szCs w:val="24"/>
              </w:rPr>
              <w:t>MSp</w:t>
            </w:r>
            <w:proofErr w:type="spellEnd"/>
            <w:r w:rsidR="00F3750D">
              <w:rPr>
                <w:sz w:val="18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3703C74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3CC067C" w14:textId="783D6AD3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Agendový</w:t>
            </w:r>
            <w:proofErr w:type="spellEnd"/>
            <w:r w:rsidRPr="004F4CFC">
              <w:rPr>
                <w:sz w:val="18"/>
                <w:szCs w:val="24"/>
              </w:rPr>
              <w:t xml:space="preserve"> informační systém Ministerstva spravedlnosti </w:t>
            </w:r>
            <w:r w:rsidR="00A073B6">
              <w:rPr>
                <w:sz w:val="18"/>
                <w:szCs w:val="24"/>
              </w:rPr>
              <w:t>o osobách v</w:t>
            </w:r>
            <w:r w:rsidR="005F2AEE">
              <w:rPr>
                <w:sz w:val="18"/>
                <w:szCs w:val="24"/>
              </w:rPr>
              <w:t> </w:t>
            </w:r>
            <w:r w:rsidR="00A073B6">
              <w:rPr>
                <w:sz w:val="18"/>
                <w:szCs w:val="24"/>
              </w:rPr>
              <w:t>insolvenci.</w:t>
            </w:r>
          </w:p>
        </w:tc>
      </w:tr>
      <w:tr w:rsidR="002A2F7E" w:rsidRPr="004F4CFC" w14:paraId="06D11A18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8EC5448" w14:textId="3E4C4B09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Rejstřík trestů</w:t>
            </w:r>
            <w:r w:rsidR="00F3750D">
              <w:rPr>
                <w:sz w:val="18"/>
                <w:szCs w:val="24"/>
              </w:rPr>
              <w:t xml:space="preserve"> (</w:t>
            </w:r>
            <w:proofErr w:type="spellStart"/>
            <w:r w:rsidR="00F3750D">
              <w:rPr>
                <w:sz w:val="18"/>
                <w:szCs w:val="24"/>
              </w:rPr>
              <w:t>MSp</w:t>
            </w:r>
            <w:proofErr w:type="spellEnd"/>
            <w:r w:rsidR="00F3750D">
              <w:rPr>
                <w:sz w:val="18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D6A0BE7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85743CE" w14:textId="682AEC52" w:rsidR="002A2F7E" w:rsidRPr="004F4CFC" w:rsidRDefault="002A2F7E" w:rsidP="002A2F7E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>Rejstřík trestů je vede evidenci osob pravomocně odsouzených soudy v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trestním řízení a dále evidenci jiných skutečností významných pro trestní řízení. Údaje z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evidence slouží pro potřebu trestního, občanskoprávního nebo správního řízení a k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prokazování bezúhonnosti.</w:t>
            </w:r>
          </w:p>
        </w:tc>
      </w:tr>
      <w:tr w:rsidR="002A2F7E" w:rsidRPr="004F4CFC" w14:paraId="2B810084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40EADDAA" w14:textId="18DD7414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ČSSZ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D469149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7405EC8" w14:textId="70912387" w:rsidR="002A2F7E" w:rsidRPr="004F4CFC" w:rsidRDefault="002A2F7E" w:rsidP="002A2F7E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 xml:space="preserve">Informační systém České správy sociálního zabezpečení. </w:t>
            </w:r>
          </w:p>
        </w:tc>
      </w:tr>
      <w:tr w:rsidR="002A2F7E" w:rsidRPr="004F4CFC" w14:paraId="1971A2C3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86A324D" w14:textId="02BAD0E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MPSV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D186A85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CBB5325" w14:textId="77777777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Agendový</w:t>
            </w:r>
            <w:proofErr w:type="spellEnd"/>
            <w:r w:rsidRPr="004F4CFC">
              <w:rPr>
                <w:sz w:val="18"/>
                <w:szCs w:val="24"/>
              </w:rPr>
              <w:t xml:space="preserve"> informační systém Ministerstva práce a sociálních věcí obsahující informace o osobách pobírajících dávky hmotné nouze.</w:t>
            </w:r>
          </w:p>
        </w:tc>
      </w:tr>
      <w:tr w:rsidR="002A2F7E" w:rsidRPr="004F4CFC" w14:paraId="65249EE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D2109A5" w14:textId="51B8F701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MF </w:t>
            </w:r>
            <w:r w:rsidR="005F2AEE">
              <w:rPr>
                <w:sz w:val="18"/>
                <w:szCs w:val="24"/>
              </w:rPr>
              <w:t>–</w:t>
            </w:r>
            <w:r w:rsidRPr="004F4CFC">
              <w:rPr>
                <w:sz w:val="18"/>
                <w:szCs w:val="24"/>
              </w:rPr>
              <w:t xml:space="preserve"> státní dozor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77BE3F2" w14:textId="3F5F2A96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2A6695B" w14:textId="5D9C27A9" w:rsidR="002A2F7E" w:rsidRPr="004F4CFC" w:rsidRDefault="002A2F7E" w:rsidP="00CE2A81">
            <w:pPr>
              <w:spacing w:after="0"/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Odbor 34 Ministerstva financí</w:t>
            </w:r>
          </w:p>
        </w:tc>
      </w:tr>
      <w:tr w:rsidR="002A2F7E" w:rsidRPr="004F4CFC" w14:paraId="18C55382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8419251" w14:textId="640289CF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Provozovatel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6970206" w14:textId="40F18480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012B562" w14:textId="43D50E55" w:rsidR="002A2F7E" w:rsidRPr="004F4CFC" w:rsidRDefault="002A2F7E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Provozov</w:t>
            </w:r>
            <w:r w:rsidR="00BC57E5">
              <w:rPr>
                <w:sz w:val="18"/>
                <w:szCs w:val="24"/>
              </w:rPr>
              <w:t>atel</w:t>
            </w:r>
            <w:r w:rsidRPr="004F4CFC">
              <w:rPr>
                <w:sz w:val="18"/>
                <w:szCs w:val="24"/>
              </w:rPr>
              <w:t xml:space="preserve"> hazardní hry</w:t>
            </w:r>
          </w:p>
        </w:tc>
      </w:tr>
      <w:tr w:rsidR="002A2F7E" w:rsidRPr="004F4CFC" w14:paraId="148E9031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68CBDFB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Obecní úřad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0610B7E" w14:textId="0C74EB55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4F20AA1" w14:textId="3FE8CCD0" w:rsidR="002A2F7E" w:rsidRPr="004F4CFC" w:rsidRDefault="002A2F7E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Obecní úřad je orgán obce. Ve městech se tento úřad nazývá městský úřad,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městech úřad městský, ve městech statutárních pak magistrát.</w:t>
            </w:r>
            <w:r w:rsidR="00BC57E5" w:rsidRPr="004F4CFC" w:rsidDel="00BC57E5">
              <w:rPr>
                <w:sz w:val="18"/>
                <w:szCs w:val="24"/>
              </w:rPr>
              <w:t xml:space="preserve"> </w:t>
            </w:r>
          </w:p>
        </w:tc>
      </w:tr>
      <w:tr w:rsidR="00C74943" w:rsidRPr="004F4CFC" w14:paraId="379EBAC5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E5A9266" w14:textId="6B6B44F1" w:rsidR="00C74943" w:rsidRPr="004F4CFC" w:rsidRDefault="00C74943" w:rsidP="002A2F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Krajský úřad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3AF2C26" w14:textId="7F56E826" w:rsidR="00C74943" w:rsidRPr="004F4CFC" w:rsidRDefault="00C74943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23D6027" w14:textId="61060D2B" w:rsidR="00C74943" w:rsidRPr="004F4CFC" w:rsidRDefault="00C74943" w:rsidP="00BC57E5">
            <w:pPr>
              <w:jc w:val="both"/>
              <w:rPr>
                <w:sz w:val="18"/>
                <w:szCs w:val="24"/>
              </w:rPr>
            </w:pPr>
            <w:r w:rsidRPr="00145C1B">
              <w:rPr>
                <w:sz w:val="18"/>
                <w:szCs w:val="18"/>
              </w:rPr>
              <w:t>Krajský úřad je jedním z</w:t>
            </w:r>
            <w:r w:rsidR="005F2AEE">
              <w:rPr>
                <w:sz w:val="18"/>
                <w:szCs w:val="18"/>
              </w:rPr>
              <w:t> </w:t>
            </w:r>
            <w:r w:rsidRPr="00145C1B">
              <w:rPr>
                <w:sz w:val="18"/>
                <w:szCs w:val="18"/>
              </w:rPr>
              <w:t>orgánů kraje (vedle zastupitelstva kraje, rady kraje, hejtmana kraje a zvláštního orgánu kraje). Krajský úřad projednává zejména</w:t>
            </w:r>
            <w:r>
              <w:rPr>
                <w:sz w:val="18"/>
                <w:szCs w:val="18"/>
              </w:rPr>
              <w:t xml:space="preserve"> </w:t>
            </w:r>
            <w:r w:rsidRPr="00145C1B">
              <w:rPr>
                <w:sz w:val="18"/>
                <w:szCs w:val="18"/>
              </w:rPr>
              <w:t>odvolání proti rozhodnutí obecního úřadu.</w:t>
            </w:r>
          </w:p>
        </w:tc>
      </w:tr>
      <w:tr w:rsidR="002A2F7E" w:rsidRPr="004F4CFC" w14:paraId="23120642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124FD54" w14:textId="4C05BF19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Celní </w:t>
            </w:r>
            <w:r w:rsidR="00BC57E5">
              <w:rPr>
                <w:sz w:val="18"/>
                <w:szCs w:val="24"/>
              </w:rPr>
              <w:t>správa (CS)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31725CF" w14:textId="7C74E4A2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A75C4F7" w14:textId="40342102" w:rsidR="002A2F7E" w:rsidRPr="004F4CFC" w:rsidRDefault="002A2F7E" w:rsidP="00CE2A8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Celní správa České republiky je bezpečnostním sborem zajišťujícím výkon kompetencí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oblasti správy cel a některých daní, jakož i dalších svěřených nefiskálních činností ve prospěch státu i jeho občanů. Je podřízena Ministerstvu financí ČR. </w:t>
            </w:r>
          </w:p>
        </w:tc>
      </w:tr>
      <w:tr w:rsidR="00DC43C7" w:rsidRPr="004F4CFC" w14:paraId="2CAE7102" w14:textId="77777777" w:rsidTr="00946E1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976EF63" w14:textId="4DBAC487" w:rsidR="00DC43C7" w:rsidRPr="004F4CFC" w:rsidRDefault="00DC43C7" w:rsidP="008434D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lastRenderedPageBreak/>
              <w:t xml:space="preserve">Finanční </w:t>
            </w:r>
            <w:r>
              <w:rPr>
                <w:sz w:val="18"/>
                <w:szCs w:val="24"/>
              </w:rPr>
              <w:t>správa (</w:t>
            </w:r>
            <w:r w:rsidR="008434D1">
              <w:rPr>
                <w:sz w:val="18"/>
                <w:szCs w:val="24"/>
              </w:rPr>
              <w:t>FS</w:t>
            </w:r>
            <w:r>
              <w:rPr>
                <w:sz w:val="18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2CA692F" w14:textId="77777777" w:rsidR="00DC43C7" w:rsidRPr="004F4CFC" w:rsidRDefault="00DC43C7" w:rsidP="00946E1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89A90B7" w14:textId="1112460A" w:rsidR="00DC43C7" w:rsidRPr="004F4CFC" w:rsidRDefault="00DC43C7" w:rsidP="008434D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Finanční </w:t>
            </w:r>
            <w:r>
              <w:rPr>
                <w:sz w:val="18"/>
                <w:szCs w:val="24"/>
              </w:rPr>
              <w:t>správa</w:t>
            </w:r>
            <w:r w:rsidRPr="004F4CFC">
              <w:rPr>
                <w:sz w:val="18"/>
                <w:szCs w:val="24"/>
              </w:rPr>
              <w:t xml:space="preserve"> vykonává správu daní, provádí </w:t>
            </w:r>
            <w:r w:rsidR="008434D1">
              <w:rPr>
                <w:sz w:val="18"/>
                <w:szCs w:val="24"/>
              </w:rPr>
              <w:t>daňové</w:t>
            </w:r>
            <w:r w:rsidR="008434D1" w:rsidRPr="004F4CFC">
              <w:rPr>
                <w:sz w:val="18"/>
                <w:szCs w:val="24"/>
              </w:rPr>
              <w:t xml:space="preserve"> </w:t>
            </w:r>
            <w:r w:rsidRPr="004F4CFC">
              <w:rPr>
                <w:sz w:val="18"/>
                <w:szCs w:val="24"/>
              </w:rPr>
              <w:t>řízení, převádí výnosy daní, které vybírá a vymáhá pohledávky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oblasti hazardních her.</w:t>
            </w:r>
          </w:p>
        </w:tc>
      </w:tr>
      <w:tr w:rsidR="00DC43C7" w:rsidRPr="004F4CFC" w14:paraId="079159B4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BB9C8A2" w14:textId="50683D25" w:rsidR="00DC43C7" w:rsidRDefault="00DC43C7" w:rsidP="00DC43C7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Fyzická osoba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152B907" w14:textId="4848B370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D913B01" w14:textId="61D16FCC" w:rsidR="00DC43C7" w:rsidRPr="00145C1B" w:rsidRDefault="00DC43C7" w:rsidP="00DC43C7">
            <w:pPr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</w:t>
            </w:r>
            <w:r w:rsidR="00D0018E">
              <w:rPr>
                <w:rFonts w:eastAsia="Times New Roman"/>
                <w:sz w:val="18"/>
                <w:szCs w:val="24"/>
              </w:rPr>
              <w:t>b</w:t>
            </w:r>
            <w:r>
              <w:rPr>
                <w:rFonts w:eastAsia="Times New Roman"/>
                <w:sz w:val="18"/>
                <w:szCs w:val="24"/>
              </w:rPr>
              <w:t>čan</w:t>
            </w:r>
            <w:r w:rsidR="00D0018E">
              <w:rPr>
                <w:rFonts w:eastAsia="Times New Roman"/>
                <w:sz w:val="18"/>
                <w:szCs w:val="24"/>
              </w:rPr>
              <w:t>, uživatel veřejné části Veřejného portálu</w:t>
            </w:r>
          </w:p>
        </w:tc>
      </w:tr>
      <w:tr w:rsidR="00DC43C7" w:rsidRPr="004F4CFC" w14:paraId="3BF2A225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A2DD228" w14:textId="5CDB30CC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Poskytovatel platebních transakcí/operací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AE3F3FE" w14:textId="2B740301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14183D" w14:textId="738C0F0D" w:rsidR="00DC43C7" w:rsidRPr="004F4CFC" w:rsidRDefault="00DC43C7" w:rsidP="00DC43C7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Aktér poskytující platební transakce/operace dle zákona o platebním styku. </w:t>
            </w:r>
          </w:p>
        </w:tc>
      </w:tr>
      <w:tr w:rsidR="00DC43C7" w:rsidRPr="004F4CFC" w14:paraId="18B6BA47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CDEA3AC" w14:textId="5882DF28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Poskytovatel připojení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Internetu (ISP)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439B229" w14:textId="12FAF592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4749CF8" w14:textId="2FB7F49F" w:rsidR="00DC43C7" w:rsidRPr="004F4CFC" w:rsidRDefault="00DC43C7" w:rsidP="00DC43C7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Poskytovatel internetového připojení (používána zkratka ISP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anglického Internet </w:t>
            </w:r>
            <w:proofErr w:type="spellStart"/>
            <w:r w:rsidRPr="004F4CFC">
              <w:rPr>
                <w:sz w:val="18"/>
                <w:szCs w:val="24"/>
              </w:rPr>
              <w:t>service</w:t>
            </w:r>
            <w:proofErr w:type="spellEnd"/>
            <w:r w:rsidRPr="004F4CFC">
              <w:rPr>
                <w:sz w:val="18"/>
                <w:szCs w:val="24"/>
              </w:rPr>
              <w:t xml:space="preserve"> provider) je firma nebo organizace zprostředkující přístup do Internetu, tj. poskytující telekomunikační služby.</w:t>
            </w:r>
            <w:r w:rsidRPr="004F4CFC" w:rsidDel="00BC57E5">
              <w:rPr>
                <w:sz w:val="18"/>
                <w:szCs w:val="24"/>
              </w:rPr>
              <w:t xml:space="preserve"> </w:t>
            </w:r>
          </w:p>
        </w:tc>
      </w:tr>
    </w:tbl>
    <w:p w14:paraId="32927F0C" w14:textId="77777777" w:rsidR="00C7429E" w:rsidRDefault="00C7429E" w:rsidP="00C7429E">
      <w:bookmarkStart w:id="17" w:name="_Toc419310372"/>
      <w:bookmarkStart w:id="18" w:name="_Toc419311245"/>
      <w:bookmarkStart w:id="19" w:name="_Toc419314900"/>
      <w:bookmarkEnd w:id="17"/>
      <w:bookmarkEnd w:id="18"/>
      <w:bookmarkEnd w:id="19"/>
    </w:p>
    <w:p w14:paraId="35A62B4F" w14:textId="77777777" w:rsidR="00C7429E" w:rsidRDefault="00C7429E">
      <w:pPr>
        <w:rPr>
          <w:rFonts w:asciiTheme="majorHAnsi" w:eastAsiaTheme="majorEastAsia" w:hAnsiTheme="majorHAnsi" w:cstheme="majorBidi"/>
          <w:b/>
          <w:bCs/>
          <w:i/>
          <w:color w:val="DC6900" w:themeColor="text2"/>
          <w:sz w:val="32"/>
          <w:szCs w:val="26"/>
        </w:rPr>
      </w:pPr>
      <w:r>
        <w:br w:type="page"/>
      </w:r>
    </w:p>
    <w:p w14:paraId="210858F2" w14:textId="3920AD53" w:rsidR="002B409A" w:rsidRPr="004F4CFC" w:rsidRDefault="005A6725" w:rsidP="003E358D">
      <w:pPr>
        <w:pStyle w:val="Nadpis2"/>
      </w:pPr>
      <w:bookmarkStart w:id="20" w:name="_Toc510300899"/>
      <w:r w:rsidRPr="004F4CFC">
        <w:lastRenderedPageBreak/>
        <w:t>K</w:t>
      </w:r>
      <w:r w:rsidR="002B409A" w:rsidRPr="004F4CFC">
        <w:t>omponent</w:t>
      </w:r>
      <w:r w:rsidRPr="004F4CFC">
        <w:t>y systému</w:t>
      </w:r>
      <w:bookmarkEnd w:id="20"/>
    </w:p>
    <w:p w14:paraId="0AC67A6D" w14:textId="563316F6" w:rsidR="009572A8" w:rsidRPr="004F4CFC" w:rsidRDefault="00484500" w:rsidP="00B80DB8">
      <w:pPr>
        <w:pStyle w:val="Zkladntext"/>
      </w:pPr>
      <w:r w:rsidRPr="004F4CFC">
        <w:t>Diagram komponent popisuje hlavní systém a moduly, ze kterých se skládá</w:t>
      </w:r>
      <w:r w:rsidR="009572A8" w:rsidRPr="004F4CFC">
        <w:t>, a dále rozhraní hlavního systému na ostatní systémy.</w:t>
      </w:r>
    </w:p>
    <w:p w14:paraId="17F20057" w14:textId="5A78BE90" w:rsidR="009572A8" w:rsidRPr="004F4CFC" w:rsidRDefault="00841B3D" w:rsidP="00B80DB8">
      <w:pPr>
        <w:pStyle w:val="Zkladntext"/>
      </w:pPr>
      <w:r>
        <w:rPr>
          <w:noProof/>
          <w:lang w:eastAsia="cs-CZ"/>
        </w:rPr>
        <w:drawing>
          <wp:inline distT="0" distB="0" distL="0" distR="0" wp14:anchorId="6CDB1BCD" wp14:editId="2CC673E5">
            <wp:extent cx="6257925" cy="3228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0B35" w14:textId="4929973D" w:rsidR="00345CFB" w:rsidRPr="004F4CFC" w:rsidRDefault="00345CFB" w:rsidP="007C56A3">
      <w:pPr>
        <w:pStyle w:val="Titulek"/>
        <w:keepNext/>
      </w:pPr>
      <w:bookmarkStart w:id="21" w:name="_Toc419308960"/>
      <w:bookmarkStart w:id="22" w:name="_Toc419309073"/>
      <w:bookmarkStart w:id="23" w:name="_Toc419308961"/>
      <w:bookmarkStart w:id="24" w:name="_Toc419309074"/>
      <w:bookmarkStart w:id="25" w:name="_Toc419308962"/>
      <w:bookmarkStart w:id="26" w:name="_Toc419309075"/>
      <w:bookmarkStart w:id="27" w:name="_Toc419308963"/>
      <w:bookmarkStart w:id="28" w:name="_Toc419309076"/>
      <w:bookmarkStart w:id="29" w:name="_Toc419308964"/>
      <w:bookmarkStart w:id="30" w:name="_Toc419309077"/>
      <w:bookmarkStart w:id="31" w:name="_Toc419308965"/>
      <w:bookmarkStart w:id="32" w:name="_Toc419309078"/>
      <w:bookmarkStart w:id="33" w:name="_Toc419308966"/>
      <w:bookmarkStart w:id="34" w:name="_Toc419309079"/>
      <w:bookmarkStart w:id="35" w:name="_Toc419308967"/>
      <w:bookmarkStart w:id="36" w:name="_Toc419309080"/>
      <w:bookmarkStart w:id="37" w:name="_Toc419308968"/>
      <w:bookmarkStart w:id="38" w:name="_Toc419309081"/>
      <w:bookmarkStart w:id="39" w:name="_Toc419308969"/>
      <w:bookmarkStart w:id="40" w:name="_Toc419309082"/>
      <w:bookmarkStart w:id="41" w:name="_Toc419308970"/>
      <w:bookmarkStart w:id="42" w:name="_Toc419309083"/>
      <w:bookmarkStart w:id="43" w:name="_Toc419308971"/>
      <w:bookmarkStart w:id="44" w:name="_Toc419309084"/>
      <w:bookmarkStart w:id="45" w:name="_Toc419308972"/>
      <w:bookmarkStart w:id="46" w:name="_Toc419309085"/>
      <w:bookmarkStart w:id="47" w:name="_Toc419308973"/>
      <w:bookmarkStart w:id="48" w:name="_Toc419309086"/>
      <w:bookmarkStart w:id="49" w:name="_Toc419308974"/>
      <w:bookmarkStart w:id="50" w:name="_Toc419309087"/>
      <w:bookmarkStart w:id="51" w:name="_Toc419308975"/>
      <w:bookmarkStart w:id="52" w:name="_Toc419309088"/>
      <w:bookmarkStart w:id="53" w:name="_Toc419308976"/>
      <w:bookmarkStart w:id="54" w:name="_Toc419309089"/>
      <w:bookmarkStart w:id="55" w:name="_Toc419308977"/>
      <w:bookmarkStart w:id="56" w:name="_Toc419309090"/>
      <w:bookmarkStart w:id="57" w:name="_Toc419308978"/>
      <w:bookmarkStart w:id="58" w:name="_Toc419309091"/>
      <w:bookmarkStart w:id="59" w:name="_Toc419308979"/>
      <w:bookmarkStart w:id="60" w:name="_Toc419309092"/>
      <w:bookmarkStart w:id="61" w:name="_Toc419308980"/>
      <w:bookmarkStart w:id="62" w:name="_Toc419309093"/>
      <w:bookmarkStart w:id="63" w:name="_Toc419308981"/>
      <w:bookmarkStart w:id="64" w:name="_Toc419309094"/>
      <w:bookmarkStart w:id="65" w:name="_Toc419308982"/>
      <w:bookmarkStart w:id="66" w:name="_Toc419309095"/>
      <w:bookmarkStart w:id="67" w:name="_Toc419308983"/>
      <w:bookmarkStart w:id="68" w:name="_Toc419309096"/>
      <w:bookmarkStart w:id="69" w:name="_Toc419308984"/>
      <w:bookmarkStart w:id="70" w:name="_Toc419309097"/>
      <w:bookmarkStart w:id="71" w:name="_Toc419308985"/>
      <w:bookmarkStart w:id="72" w:name="_Toc419309098"/>
      <w:bookmarkStart w:id="73" w:name="_Toc419308986"/>
      <w:bookmarkStart w:id="74" w:name="_Toc419309099"/>
      <w:bookmarkStart w:id="75" w:name="_Toc419308987"/>
      <w:bookmarkStart w:id="76" w:name="_Toc419309100"/>
      <w:bookmarkStart w:id="77" w:name="_Toc419308988"/>
      <w:bookmarkStart w:id="78" w:name="_Toc419309101"/>
      <w:bookmarkStart w:id="79" w:name="_Toc419308989"/>
      <w:bookmarkStart w:id="80" w:name="_Toc419309102"/>
      <w:bookmarkStart w:id="81" w:name="_Toc419308990"/>
      <w:bookmarkStart w:id="82" w:name="_Toc419309103"/>
      <w:bookmarkStart w:id="83" w:name="_Toc419308991"/>
      <w:bookmarkStart w:id="84" w:name="_Toc419309104"/>
      <w:bookmarkStart w:id="85" w:name="_Toc419308992"/>
      <w:bookmarkStart w:id="86" w:name="_Toc419309105"/>
      <w:bookmarkStart w:id="87" w:name="BKM_C3E1A7BB_66F3_4E9E_BEC5_929F2A418BC0"/>
      <w:bookmarkStart w:id="88" w:name="BKM_B20F1AB2_A036_456A_A247_BC00494832B6"/>
      <w:bookmarkStart w:id="89" w:name="BKM_6F78F9E6_277E_439F_A29F_A2ADBBD797A5"/>
      <w:bookmarkStart w:id="90" w:name="BKM_CD9AADC1_61AB_4C1D_B004_45014C9381DB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4F4CFC">
        <w:t>Popis elementů diagramu</w:t>
      </w:r>
      <w:r w:rsidR="003C52B6" w:rsidRPr="004F4CFC">
        <w:t xml:space="preserve"> komponent</w:t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962"/>
        <w:gridCol w:w="1728"/>
        <w:gridCol w:w="6233"/>
      </w:tblGrid>
      <w:tr w:rsidR="00EE35C7" w:rsidRPr="004F4CFC" w14:paraId="63FF9B72" w14:textId="77777777" w:rsidTr="00800702">
        <w:trPr>
          <w:tblHeader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5CCB89F" w14:textId="77777777" w:rsidR="00EE35C7" w:rsidRPr="004F4CFC" w:rsidRDefault="00EE35C7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bookmarkStart w:id="91" w:name="_Hlk481317753"/>
            <w:r w:rsidRPr="004F4CFC">
              <w:rPr>
                <w:b/>
                <w:color w:val="FFFFFF"/>
                <w:sz w:val="18"/>
                <w:szCs w:val="24"/>
              </w:rPr>
              <w:t>Název elementu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9D38EBD" w14:textId="77777777" w:rsidR="00EE35C7" w:rsidRPr="004F4CFC" w:rsidRDefault="00EE35C7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Typ elementu</w:t>
            </w:r>
          </w:p>
        </w:tc>
        <w:tc>
          <w:tcPr>
            <w:tcW w:w="6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417E6D7" w14:textId="77777777" w:rsidR="00EE35C7" w:rsidRPr="004F4CFC" w:rsidRDefault="00EE35C7" w:rsidP="0044209F">
            <w:pPr>
              <w:jc w:val="both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Popis elementu</w:t>
            </w:r>
          </w:p>
        </w:tc>
      </w:tr>
      <w:tr w:rsidR="00F047E1" w:rsidRPr="004F4CFC" w14:paraId="15F33C0C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5DCA0DEB" w14:textId="0B7B6596" w:rsidR="00F047E1" w:rsidRPr="004F4CFC" w:rsidRDefault="00F047E1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správní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B84D347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A1CD703" w14:textId="77777777" w:rsidR="00563FEA" w:rsidRDefault="00F047E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správní – databáze udržuje data o legálních provozovatelích, nelegálních provozovatelích a ostatních subjektech působících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rámci provozování hazardních her, včetně souvisejících řízení.</w:t>
            </w:r>
          </w:p>
          <w:p w14:paraId="21AA1BA5" w14:textId="05159CB1" w:rsidR="00A20DD0" w:rsidRPr="004F4CFC" w:rsidRDefault="00A20DD0" w:rsidP="008053A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správní udržuj</w:t>
            </w:r>
            <w:r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 xml:space="preserve"> kromě aktuálních dat i historii změn pro účely předávání historie změn do Analytické</w:t>
            </w:r>
            <w:r>
              <w:rPr>
                <w:sz w:val="18"/>
                <w:szCs w:val="24"/>
              </w:rPr>
              <w:t>ho modulu</w:t>
            </w:r>
            <w:r w:rsidRPr="004F4CFC">
              <w:rPr>
                <w:sz w:val="18"/>
                <w:szCs w:val="24"/>
              </w:rPr>
              <w:t xml:space="preserve"> a pro podporu procesu Archivace (viz proces 16. Archivace v</w:t>
            </w:r>
            <w:r>
              <w:rPr>
                <w:sz w:val="18"/>
                <w:szCs w:val="24"/>
              </w:rPr>
              <w:t> </w:t>
            </w:r>
            <w:r w:rsidR="008053AF">
              <w:rPr>
                <w:sz w:val="18"/>
                <w:szCs w:val="24"/>
              </w:rPr>
              <w:t>P</w:t>
            </w:r>
            <w:r w:rsidR="008053AF" w:rsidRPr="004F4CFC">
              <w:rPr>
                <w:sz w:val="18"/>
                <w:szCs w:val="24"/>
              </w:rPr>
              <w:t xml:space="preserve">říloze </w:t>
            </w:r>
            <w:r w:rsidRPr="004F4CFC">
              <w:rPr>
                <w:sz w:val="18"/>
                <w:szCs w:val="24"/>
              </w:rPr>
              <w:t xml:space="preserve">č. 2 Smlouvy). </w:t>
            </w:r>
          </w:p>
        </w:tc>
      </w:tr>
      <w:tr w:rsidR="00F047E1" w:rsidRPr="004F4CFC" w14:paraId="00FCEAAC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5748B37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hráčů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30D5F5F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EA50488" w14:textId="77777777" w:rsidR="00647196" w:rsidRDefault="00F047E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DB hráčů – databáze udržující data o hráčích a jejich vazbách na provozovatele. </w:t>
            </w:r>
          </w:p>
          <w:p w14:paraId="1310A7AA" w14:textId="2928E87A" w:rsidR="00A20DD0" w:rsidRPr="004F4CFC" w:rsidRDefault="00A20DD0" w:rsidP="008053A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DB </w:t>
            </w:r>
            <w:r>
              <w:rPr>
                <w:sz w:val="18"/>
                <w:szCs w:val="24"/>
              </w:rPr>
              <w:t>hráčů</w:t>
            </w:r>
            <w:r w:rsidRPr="004F4CFC">
              <w:rPr>
                <w:sz w:val="18"/>
                <w:szCs w:val="24"/>
              </w:rPr>
              <w:t xml:space="preserve"> udržuj</w:t>
            </w:r>
            <w:r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 xml:space="preserve"> kromě aktuálních dat i historii změn pro účely předávání historie změn do Analytické</w:t>
            </w:r>
            <w:r>
              <w:rPr>
                <w:sz w:val="18"/>
                <w:szCs w:val="24"/>
              </w:rPr>
              <w:t>ho modulu</w:t>
            </w:r>
            <w:r w:rsidRPr="004F4CFC">
              <w:rPr>
                <w:sz w:val="18"/>
                <w:szCs w:val="24"/>
              </w:rPr>
              <w:t xml:space="preserve"> a pro podporu procesu Archivace (viz proces 16. Archivace v</w:t>
            </w:r>
            <w:r>
              <w:rPr>
                <w:sz w:val="18"/>
                <w:szCs w:val="24"/>
              </w:rPr>
              <w:t> </w:t>
            </w:r>
            <w:r w:rsidR="008053AF">
              <w:rPr>
                <w:sz w:val="18"/>
                <w:szCs w:val="24"/>
              </w:rPr>
              <w:t>P</w:t>
            </w:r>
            <w:r w:rsidR="008053AF" w:rsidRPr="004F4CFC">
              <w:rPr>
                <w:sz w:val="18"/>
                <w:szCs w:val="24"/>
              </w:rPr>
              <w:t xml:space="preserve">říloze </w:t>
            </w:r>
            <w:r w:rsidRPr="004F4CFC">
              <w:rPr>
                <w:sz w:val="18"/>
                <w:szCs w:val="24"/>
              </w:rPr>
              <w:t>č. 2 Smlouvy).</w:t>
            </w:r>
          </w:p>
        </w:tc>
      </w:tr>
      <w:tr w:rsidR="00F047E1" w:rsidRPr="004F4CFC" w14:paraId="376177F8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590FF564" w14:textId="74EB859B" w:rsidR="00F047E1" w:rsidRPr="004F4CFC" w:rsidRDefault="00F047E1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vyloučení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445DBBD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511A61C" w14:textId="216B5050" w:rsidR="00647196" w:rsidRDefault="00F047E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vyloučení – databáze udržující data o subjektech vyloučených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hraní (využívaná jak při registraci, tak při autorizaci hráče)</w:t>
            </w:r>
            <w:r w:rsidR="00695607">
              <w:rPr>
                <w:sz w:val="18"/>
                <w:szCs w:val="24"/>
              </w:rPr>
              <w:t xml:space="preserve"> a záznamy o transakcích služby ověření hráče</w:t>
            </w:r>
          </w:p>
          <w:p w14:paraId="170BB668" w14:textId="2CF4C52F" w:rsidR="00A20DD0" w:rsidRPr="004F4CFC" w:rsidRDefault="00A20DD0" w:rsidP="008053A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DB </w:t>
            </w:r>
            <w:r>
              <w:rPr>
                <w:sz w:val="18"/>
                <w:szCs w:val="24"/>
              </w:rPr>
              <w:t>vyloučení</w:t>
            </w:r>
            <w:r w:rsidRPr="004F4CFC">
              <w:rPr>
                <w:sz w:val="18"/>
                <w:szCs w:val="24"/>
              </w:rPr>
              <w:t xml:space="preserve"> udržuj</w:t>
            </w:r>
            <w:r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 xml:space="preserve"> kromě aktuálních dat i historii změn pro účely předávání historie změn do Analytické</w:t>
            </w:r>
            <w:r>
              <w:rPr>
                <w:sz w:val="18"/>
                <w:szCs w:val="24"/>
              </w:rPr>
              <w:t>ho modulu</w:t>
            </w:r>
            <w:r w:rsidRPr="004F4CFC">
              <w:rPr>
                <w:sz w:val="18"/>
                <w:szCs w:val="24"/>
              </w:rPr>
              <w:t xml:space="preserve"> a pro podporu procesu Archivace (viz proces 16. Archivace v</w:t>
            </w:r>
            <w:r>
              <w:rPr>
                <w:sz w:val="18"/>
                <w:szCs w:val="24"/>
              </w:rPr>
              <w:t> </w:t>
            </w:r>
            <w:r w:rsidR="008053AF">
              <w:rPr>
                <w:sz w:val="18"/>
                <w:szCs w:val="24"/>
              </w:rPr>
              <w:t>P</w:t>
            </w:r>
            <w:r w:rsidR="008053AF" w:rsidRPr="004F4CFC">
              <w:rPr>
                <w:sz w:val="18"/>
                <w:szCs w:val="24"/>
              </w:rPr>
              <w:t xml:space="preserve">říloze </w:t>
            </w:r>
            <w:r w:rsidRPr="004F4CFC">
              <w:rPr>
                <w:sz w:val="18"/>
                <w:szCs w:val="24"/>
              </w:rPr>
              <w:t>č. 2 Smlouvy).</w:t>
            </w:r>
          </w:p>
        </w:tc>
      </w:tr>
      <w:tr w:rsidR="00F047E1" w:rsidRPr="004F4CFC" w14:paraId="774F5AC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66C4868D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lastRenderedPageBreak/>
              <w:t>Case Management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C6AB594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4C4A6E3" w14:textId="1A5B7A1A" w:rsidR="00F047E1" w:rsidRPr="004F4CFC" w:rsidRDefault="00F047E1" w:rsidP="00E43648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Tento modul řídí všechna </w:t>
            </w:r>
            <w:proofErr w:type="spellStart"/>
            <w:r w:rsidRPr="004F4CFC">
              <w:rPr>
                <w:sz w:val="18"/>
                <w:szCs w:val="24"/>
              </w:rPr>
              <w:t>workflow</w:t>
            </w:r>
            <w:proofErr w:type="spellEnd"/>
            <w:r w:rsidRPr="004F4CFC">
              <w:rPr>
                <w:sz w:val="18"/>
                <w:szCs w:val="24"/>
              </w:rPr>
              <w:t xml:space="preserve"> </w:t>
            </w:r>
            <w:r w:rsidR="0028778F" w:rsidRPr="004F4CFC">
              <w:rPr>
                <w:sz w:val="18"/>
                <w:szCs w:val="24"/>
              </w:rPr>
              <w:t>Správní části</w:t>
            </w:r>
            <w:r w:rsidRPr="004F4CFC">
              <w:rPr>
                <w:sz w:val="18"/>
                <w:szCs w:val="24"/>
              </w:rPr>
              <w:t xml:space="preserve">. </w:t>
            </w:r>
            <w:r w:rsidR="0028778F" w:rsidRPr="004F4CFC">
              <w:rPr>
                <w:sz w:val="18"/>
                <w:szCs w:val="24"/>
              </w:rPr>
              <w:t xml:space="preserve">Komponenta je součástí implementace všech uživatelských a automatických procesů Správní části využívajících logiku </w:t>
            </w:r>
            <w:proofErr w:type="spellStart"/>
            <w:r w:rsidR="0028778F" w:rsidRPr="004F4CFC">
              <w:rPr>
                <w:sz w:val="18"/>
                <w:szCs w:val="24"/>
              </w:rPr>
              <w:t>workflow</w:t>
            </w:r>
            <w:proofErr w:type="spellEnd"/>
            <w:r w:rsidR="0028778F" w:rsidRPr="004F4CFC">
              <w:rPr>
                <w:sz w:val="18"/>
                <w:szCs w:val="24"/>
              </w:rPr>
              <w:t>.</w:t>
            </w:r>
          </w:p>
          <w:p w14:paraId="47432E2D" w14:textId="489914EC" w:rsidR="00F047E1" w:rsidRPr="004F4CFC" w:rsidRDefault="00F047E1" w:rsidP="00497AEA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Každé </w:t>
            </w:r>
            <w:proofErr w:type="spellStart"/>
            <w:r w:rsidRPr="004F4CFC">
              <w:rPr>
                <w:sz w:val="18"/>
                <w:szCs w:val="24"/>
              </w:rPr>
              <w:t>workflow</w:t>
            </w:r>
            <w:proofErr w:type="spellEnd"/>
            <w:r w:rsidRPr="004F4CFC">
              <w:rPr>
                <w:sz w:val="18"/>
                <w:szCs w:val="24"/>
              </w:rPr>
              <w:t xml:space="preserve"> je </w:t>
            </w:r>
            <w:r w:rsidR="0028778F" w:rsidRPr="004F4CFC">
              <w:rPr>
                <w:sz w:val="18"/>
                <w:szCs w:val="24"/>
              </w:rPr>
              <w:t>složeno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jednotlivých úkol</w:t>
            </w:r>
            <w:r w:rsidR="0028778F" w:rsidRPr="004F4CFC">
              <w:rPr>
                <w:sz w:val="18"/>
                <w:szCs w:val="24"/>
              </w:rPr>
              <w:t>ů</w:t>
            </w:r>
            <w:r w:rsidRPr="004F4CFC">
              <w:rPr>
                <w:sz w:val="18"/>
                <w:szCs w:val="24"/>
              </w:rPr>
              <w:t>. Ke každému úkolu je přiřazena odpovídající role, která jej vykonává. Při každém přechodu (úkol, stav) mohou být nadefinovány jednotlivé akce (například notifikace</w:t>
            </w:r>
            <w:r w:rsidR="00497AEA" w:rsidRPr="004F4CFC">
              <w:rPr>
                <w:sz w:val="18"/>
                <w:szCs w:val="24"/>
              </w:rPr>
              <w:t>)</w:t>
            </w:r>
            <w:r w:rsidRPr="004F4CFC">
              <w:rPr>
                <w:sz w:val="18"/>
                <w:szCs w:val="24"/>
              </w:rPr>
              <w:t xml:space="preserve">. Přehled </w:t>
            </w:r>
            <w:proofErr w:type="spellStart"/>
            <w:r w:rsidRPr="004F4CFC">
              <w:rPr>
                <w:sz w:val="18"/>
                <w:szCs w:val="24"/>
              </w:rPr>
              <w:t>workflow</w:t>
            </w:r>
            <w:proofErr w:type="spellEnd"/>
            <w:r w:rsidRPr="004F4CFC">
              <w:rPr>
                <w:sz w:val="18"/>
                <w:szCs w:val="24"/>
              </w:rPr>
              <w:t xml:space="preserve"> pokrytých systémem je uveden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Analytické dokumentaci.</w:t>
            </w:r>
            <w:r w:rsidR="00E0765E" w:rsidRPr="004F4CFC">
              <w:rPr>
                <w:sz w:val="18"/>
                <w:szCs w:val="24"/>
              </w:rPr>
              <w:t xml:space="preserve"> </w:t>
            </w:r>
          </w:p>
        </w:tc>
      </w:tr>
      <w:tr w:rsidR="00EE35C7" w:rsidRPr="004F4CFC" w14:paraId="378DB12D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704EC3DF" w14:textId="500F2E3C" w:rsidR="00EE35C7" w:rsidRPr="004F4CFC" w:rsidRDefault="00EE35C7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DMS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8BD39D3" w14:textId="77777777" w:rsidR="00EE35C7" w:rsidRPr="004F4CFC" w:rsidRDefault="00EE35C7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5E5CB63" w14:textId="33C46AF1" w:rsidR="0044209F" w:rsidRPr="004F4CFC" w:rsidRDefault="00EE35C7" w:rsidP="0044209F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Document</w:t>
            </w:r>
            <w:proofErr w:type="spellEnd"/>
            <w:r w:rsidRPr="004F4CFC">
              <w:rPr>
                <w:sz w:val="18"/>
                <w:szCs w:val="24"/>
              </w:rPr>
              <w:t xml:space="preserve"> Management </w:t>
            </w:r>
            <w:proofErr w:type="spellStart"/>
            <w:r w:rsidRPr="004F4CFC">
              <w:rPr>
                <w:sz w:val="18"/>
                <w:szCs w:val="24"/>
              </w:rPr>
              <w:t>Syst</w:t>
            </w:r>
            <w:r w:rsidR="00C65D91" w:rsidRPr="004F4CFC"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>m</w:t>
            </w:r>
            <w:proofErr w:type="spellEnd"/>
            <w:r w:rsidRPr="004F4CFC">
              <w:rPr>
                <w:sz w:val="18"/>
                <w:szCs w:val="24"/>
              </w:rPr>
              <w:t xml:space="preserve"> – systém pro správu dokumentů.</w:t>
            </w:r>
            <w:r w:rsidR="0028778F" w:rsidRPr="004F4CFC">
              <w:rPr>
                <w:sz w:val="18"/>
                <w:szCs w:val="24"/>
              </w:rPr>
              <w:t xml:space="preserve"> Komponenta je součástí implementace všech uživatelských a automatických procesů Správní části pracujících s</w:t>
            </w:r>
            <w:r w:rsidR="005F2AEE">
              <w:rPr>
                <w:sz w:val="18"/>
                <w:szCs w:val="24"/>
              </w:rPr>
              <w:t> </w:t>
            </w:r>
            <w:r w:rsidR="0028778F" w:rsidRPr="004F4CFC">
              <w:rPr>
                <w:sz w:val="18"/>
                <w:szCs w:val="24"/>
              </w:rPr>
              <w:t>dokumenty.</w:t>
            </w:r>
          </w:p>
          <w:p w14:paraId="36C09E1E" w14:textId="7AF24690" w:rsidR="00EE35C7" w:rsidRPr="004F4CFC" w:rsidRDefault="00C65D91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Udržuje dokumenty související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agendou systému, které jsou nahrány přímo do systému a nejsou udržovány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jiných systémech státní správy.</w:t>
            </w:r>
            <w:r w:rsidR="0058711C" w:rsidRPr="004F4CFC">
              <w:rPr>
                <w:sz w:val="18"/>
                <w:szCs w:val="24"/>
              </w:rPr>
              <w:t xml:space="preserve"> </w:t>
            </w:r>
          </w:p>
          <w:p w14:paraId="4E34B1D7" w14:textId="5657BB18" w:rsidR="00CB784C" w:rsidRPr="004F4CFC" w:rsidRDefault="00302C94" w:rsidP="00CB784C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DMS budou fyzicky uloženy pouze dokumenty, které nebudou fyzicky uloženy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EPD</w:t>
            </w:r>
            <w:r w:rsidR="005B442F" w:rsidRPr="004F4CFC">
              <w:rPr>
                <w:sz w:val="18"/>
                <w:szCs w:val="24"/>
              </w:rPr>
              <w:t xml:space="preserve"> (např. </w:t>
            </w:r>
            <w:r w:rsidR="0026112C" w:rsidRPr="004F4CFC">
              <w:rPr>
                <w:sz w:val="18"/>
                <w:szCs w:val="24"/>
              </w:rPr>
              <w:t>d</w:t>
            </w:r>
            <w:r w:rsidR="005B442F" w:rsidRPr="004F4CFC">
              <w:rPr>
                <w:sz w:val="18"/>
                <w:szCs w:val="24"/>
              </w:rPr>
              <w:t>okumenty obcí</w:t>
            </w:r>
            <w:r w:rsidR="00F12417">
              <w:rPr>
                <w:sz w:val="18"/>
                <w:szCs w:val="24"/>
              </w:rPr>
              <w:t xml:space="preserve"> a krajů</w:t>
            </w:r>
            <w:r w:rsidR="005B442F" w:rsidRPr="004F4CFC">
              <w:rPr>
                <w:sz w:val="18"/>
                <w:szCs w:val="24"/>
              </w:rPr>
              <w:t>)</w:t>
            </w:r>
            <w:r w:rsidRPr="004F4CFC">
              <w:rPr>
                <w:sz w:val="18"/>
                <w:szCs w:val="24"/>
              </w:rPr>
              <w:t xml:space="preserve">. Jeden dokument musí být na MF </w:t>
            </w:r>
            <w:r w:rsidR="0026112C" w:rsidRPr="004F4CFC">
              <w:rPr>
                <w:sz w:val="18"/>
                <w:szCs w:val="24"/>
              </w:rPr>
              <w:t xml:space="preserve">dlouhodobě autoritativně </w:t>
            </w:r>
            <w:r w:rsidRPr="004F4CFC">
              <w:rPr>
                <w:sz w:val="18"/>
                <w:szCs w:val="24"/>
              </w:rPr>
              <w:t>uchováván pouze na jednom místě bez omezení pro oprávněného uživatele.</w:t>
            </w:r>
            <w:r w:rsidR="00CB784C" w:rsidRPr="004F4CFC">
              <w:rPr>
                <w:sz w:val="18"/>
                <w:szCs w:val="24"/>
              </w:rPr>
              <w:t xml:space="preserve"> Systém EPD nenabízí možnost vzdáleného přístupu pro jiné organizace než MF. Povoleným řešením je vytvoření dočasné kopie dokumentu v</w:t>
            </w:r>
            <w:r w:rsidR="005F2AEE">
              <w:rPr>
                <w:sz w:val="18"/>
                <w:szCs w:val="24"/>
              </w:rPr>
              <w:t> </w:t>
            </w:r>
            <w:r w:rsidR="00CB784C" w:rsidRPr="004F4CFC">
              <w:rPr>
                <w:sz w:val="18"/>
                <w:szCs w:val="24"/>
              </w:rPr>
              <w:t>AISG. Kopie dokumentů v</w:t>
            </w:r>
            <w:r w:rsidR="005F2AEE">
              <w:rPr>
                <w:sz w:val="18"/>
                <w:szCs w:val="24"/>
              </w:rPr>
              <w:t> </w:t>
            </w:r>
            <w:r w:rsidR="00CB784C" w:rsidRPr="004F4CFC">
              <w:rPr>
                <w:sz w:val="18"/>
                <w:szCs w:val="24"/>
              </w:rPr>
              <w:t xml:space="preserve">AISG budou určeny pouze pro zobrazení, nebude možné </w:t>
            </w:r>
            <w:r w:rsidR="008F5F9B" w:rsidRPr="004F4CFC">
              <w:rPr>
                <w:sz w:val="18"/>
                <w:szCs w:val="24"/>
              </w:rPr>
              <w:t xml:space="preserve">je </w:t>
            </w:r>
            <w:r w:rsidR="00CB784C" w:rsidRPr="004F4CFC">
              <w:rPr>
                <w:sz w:val="18"/>
                <w:szCs w:val="24"/>
              </w:rPr>
              <w:t xml:space="preserve">jakkoliv editovat či mazat. </w:t>
            </w:r>
          </w:p>
          <w:p w14:paraId="479E4333" w14:textId="77777777" w:rsidR="00CB784C" w:rsidRDefault="00CB784C" w:rsidP="00CE1C3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Podpora skenování není požadována. Počet ukládaných dokumentů do DMS bude maximálně 20 tisíc za jeden rok. Průměrná velikost dokumentu nepřekročí 1 MB. </w:t>
            </w:r>
          </w:p>
          <w:p w14:paraId="2E601837" w14:textId="74ADEB7E" w:rsidR="00DE1C5D" w:rsidRPr="004F4CFC" w:rsidRDefault="00DE1C5D" w:rsidP="00CE1C3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DMS musí být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souladu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požadavky </w:t>
            </w:r>
            <w:r>
              <w:rPr>
                <w:sz w:val="18"/>
                <w:szCs w:val="24"/>
              </w:rPr>
              <w:t xml:space="preserve">na </w:t>
            </w:r>
            <w:r w:rsidRPr="004F4CFC">
              <w:rPr>
                <w:sz w:val="18"/>
                <w:szCs w:val="24"/>
              </w:rPr>
              <w:t>ISSD (informační systém spravující dokumenty) dané Národním standardem pro elektronické systémy spisové služby (</w:t>
            </w:r>
            <w:hyperlink r:id="rId18" w:history="1">
              <w:r w:rsidR="005F2AEE" w:rsidRPr="00701662">
                <w:rPr>
                  <w:rStyle w:val="Hypertextovodkaz"/>
                  <w:sz w:val="18"/>
                  <w:szCs w:val="24"/>
                </w:rPr>
                <w:t>http://www.mvcr.cz/clanek/narodni-standard-pro-elektronicke-systemy-spisove-sluzby.aspx</w:t>
              </w:r>
            </w:hyperlink>
            <w:r>
              <w:rPr>
                <w:sz w:val="18"/>
                <w:szCs w:val="24"/>
              </w:rPr>
              <w:t>).</w:t>
            </w:r>
          </w:p>
        </w:tc>
      </w:tr>
      <w:tr w:rsidR="00EE35C7" w:rsidRPr="004F4CFC" w14:paraId="7D79F494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1FC9957A" w14:textId="716D8385" w:rsidR="00EE35C7" w:rsidRPr="004F4CFC" w:rsidRDefault="00EE35C7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GUI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37837C6" w14:textId="77777777" w:rsidR="00EE35C7" w:rsidRPr="004F4CFC" w:rsidRDefault="00EE35C7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600613A" w14:textId="0ADCC0E4" w:rsidR="00EE35C7" w:rsidRPr="004F4CFC" w:rsidRDefault="00EE35C7" w:rsidP="0044209F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Graphic</w:t>
            </w:r>
            <w:r w:rsidR="00B775F1" w:rsidRPr="004F4CFC">
              <w:rPr>
                <w:sz w:val="18"/>
                <w:szCs w:val="24"/>
              </w:rPr>
              <w:t>al</w:t>
            </w:r>
            <w:proofErr w:type="spellEnd"/>
            <w:r w:rsidRPr="004F4CFC">
              <w:rPr>
                <w:sz w:val="18"/>
                <w:szCs w:val="24"/>
              </w:rPr>
              <w:t xml:space="preserve"> User Interface – Grafické rozhraní systému.</w:t>
            </w:r>
          </w:p>
          <w:p w14:paraId="69B34298" w14:textId="0D4F9506" w:rsidR="00BC06DA" w:rsidRPr="004F4CFC" w:rsidRDefault="00EE35C7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Jedná se o jednotné uživatelské rozhraní pro vykonávání agend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zodpovědnosti MF</w:t>
            </w:r>
            <w:r w:rsidR="00CD58D2" w:rsidRPr="004F4CFC">
              <w:rPr>
                <w:sz w:val="18"/>
                <w:szCs w:val="24"/>
              </w:rPr>
              <w:t xml:space="preserve"> pro uživatele z</w:t>
            </w:r>
            <w:r w:rsidR="005F2AEE">
              <w:rPr>
                <w:sz w:val="18"/>
                <w:szCs w:val="24"/>
              </w:rPr>
              <w:t> </w:t>
            </w:r>
            <w:r w:rsidR="00CD58D2" w:rsidRPr="004F4CFC">
              <w:rPr>
                <w:sz w:val="18"/>
                <w:szCs w:val="24"/>
              </w:rPr>
              <w:t>resortu MF</w:t>
            </w:r>
            <w:r w:rsidRPr="004F4CFC">
              <w:rPr>
                <w:sz w:val="18"/>
                <w:szCs w:val="24"/>
              </w:rPr>
              <w:t>. Pro přístup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informacím toto rozhraní využívá i CS</w:t>
            </w:r>
            <w:r w:rsidR="00497AEA" w:rsidRPr="004F4CFC">
              <w:rPr>
                <w:sz w:val="18"/>
                <w:szCs w:val="24"/>
              </w:rPr>
              <w:t xml:space="preserve"> a FS</w:t>
            </w:r>
            <w:r w:rsidRPr="004F4CFC">
              <w:rPr>
                <w:sz w:val="18"/>
                <w:szCs w:val="24"/>
              </w:rPr>
              <w:t xml:space="preserve"> (nicméně nemá oprávnění do systému zapisovat informace)</w:t>
            </w:r>
            <w:r w:rsidR="00835A76" w:rsidRPr="004F4CFC">
              <w:rPr>
                <w:sz w:val="18"/>
                <w:szCs w:val="24"/>
              </w:rPr>
              <w:t>.</w:t>
            </w:r>
          </w:p>
          <w:p w14:paraId="579EADAF" w14:textId="4CA6E537" w:rsidR="00F72178" w:rsidRPr="004F4CFC" w:rsidRDefault="00F72178" w:rsidP="00EC5BEC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GUI může mít formu tlustého klienta (Windows aplikace) nebo tenkého klienta (web aplikace). GUI musí být </w:t>
            </w:r>
            <w:proofErr w:type="spellStart"/>
            <w:r w:rsidRPr="004F4CFC">
              <w:rPr>
                <w:sz w:val="18"/>
                <w:szCs w:val="24"/>
              </w:rPr>
              <w:t>provozovatelné</w:t>
            </w:r>
            <w:proofErr w:type="spellEnd"/>
            <w:r w:rsidRPr="004F4CFC">
              <w:rPr>
                <w:sz w:val="18"/>
                <w:szCs w:val="24"/>
              </w:rPr>
              <w:t xml:space="preserve"> na běžných kancelářských PC</w:t>
            </w:r>
            <w:r w:rsidR="00713F42">
              <w:rPr>
                <w:sz w:val="18"/>
                <w:szCs w:val="24"/>
              </w:rPr>
              <w:t xml:space="preserve">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rozlišení obrazovky 1024x768 a vyšším, </w:t>
            </w:r>
            <w:r w:rsidR="002403A2">
              <w:rPr>
                <w:sz w:val="18"/>
                <w:szCs w:val="24"/>
              </w:rPr>
              <w:t xml:space="preserve">operačních </w:t>
            </w:r>
            <w:r w:rsidR="00713F42">
              <w:rPr>
                <w:sz w:val="18"/>
                <w:szCs w:val="24"/>
              </w:rPr>
              <w:t>systémech</w:t>
            </w:r>
            <w:r w:rsidRPr="004F4CFC">
              <w:rPr>
                <w:sz w:val="18"/>
                <w:szCs w:val="24"/>
              </w:rPr>
              <w:t xml:space="preserve"> MS Windows </w:t>
            </w:r>
            <w:r w:rsidR="00F57679">
              <w:rPr>
                <w:sz w:val="18"/>
                <w:szCs w:val="24"/>
              </w:rPr>
              <w:t>7 (</w:t>
            </w:r>
            <w:proofErr w:type="gramStart"/>
            <w:r w:rsidR="00F57679">
              <w:rPr>
                <w:sz w:val="18"/>
                <w:szCs w:val="24"/>
              </w:rPr>
              <w:t>32</w:t>
            </w:r>
            <w:r w:rsidR="00713F42">
              <w:rPr>
                <w:sz w:val="18"/>
                <w:szCs w:val="24"/>
              </w:rPr>
              <w:t>-bit</w:t>
            </w:r>
            <w:proofErr w:type="gramEnd"/>
            <w:r w:rsidR="00F57679">
              <w:rPr>
                <w:sz w:val="18"/>
                <w:szCs w:val="24"/>
              </w:rPr>
              <w:t xml:space="preserve"> a 64</w:t>
            </w:r>
            <w:r w:rsidR="00713F42">
              <w:rPr>
                <w:sz w:val="18"/>
                <w:szCs w:val="24"/>
              </w:rPr>
              <w:t>-</w:t>
            </w:r>
            <w:r w:rsidR="00F57679">
              <w:rPr>
                <w:sz w:val="18"/>
                <w:szCs w:val="24"/>
              </w:rPr>
              <w:t>bit)</w:t>
            </w:r>
            <w:r w:rsidRPr="004F4CFC">
              <w:rPr>
                <w:sz w:val="18"/>
                <w:szCs w:val="24"/>
              </w:rPr>
              <w:t xml:space="preserve"> a novějších. </w:t>
            </w:r>
            <w:r w:rsidR="008502E8" w:rsidRPr="004F4CFC">
              <w:rPr>
                <w:sz w:val="18"/>
                <w:szCs w:val="24"/>
              </w:rPr>
              <w:t xml:space="preserve">Pokud je GUI web aplikací, </w:t>
            </w:r>
            <w:r w:rsidRPr="004F4CFC">
              <w:rPr>
                <w:sz w:val="18"/>
                <w:szCs w:val="24"/>
              </w:rPr>
              <w:t>musí podporovat I</w:t>
            </w:r>
            <w:r w:rsidR="00713F42">
              <w:rPr>
                <w:sz w:val="18"/>
                <w:szCs w:val="24"/>
              </w:rPr>
              <w:t xml:space="preserve">nternet Explorer </w:t>
            </w:r>
            <w:r w:rsidR="00EC5BEC">
              <w:rPr>
                <w:sz w:val="18"/>
                <w:szCs w:val="24"/>
              </w:rPr>
              <w:t>a</w:t>
            </w:r>
            <w:r w:rsidR="00713F42">
              <w:rPr>
                <w:sz w:val="18"/>
                <w:szCs w:val="24"/>
              </w:rPr>
              <w:t xml:space="preserve"> </w:t>
            </w:r>
            <w:proofErr w:type="spellStart"/>
            <w:r w:rsidR="00713F42">
              <w:rPr>
                <w:sz w:val="18"/>
                <w:szCs w:val="24"/>
              </w:rPr>
              <w:t>Firefox</w:t>
            </w:r>
            <w:proofErr w:type="spellEnd"/>
            <w:r w:rsidR="00713F42">
              <w:rPr>
                <w:sz w:val="18"/>
                <w:szCs w:val="24"/>
              </w:rPr>
              <w:t xml:space="preserve"> </w:t>
            </w:r>
            <w:r w:rsidR="00EC5BEC">
              <w:rPr>
                <w:sz w:val="18"/>
                <w:szCs w:val="24"/>
              </w:rPr>
              <w:t>ve verzích podporovaných výrobci</w:t>
            </w:r>
            <w:r w:rsidR="00713F42">
              <w:rPr>
                <w:sz w:val="18"/>
                <w:szCs w:val="24"/>
              </w:rPr>
              <w:t>.</w:t>
            </w:r>
          </w:p>
        </w:tc>
      </w:tr>
      <w:tr w:rsidR="00F047E1" w:rsidRPr="004F4CFC" w14:paraId="138A8D55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6C762D3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Veřejný portál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A27059A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60ED3B0" w14:textId="2042A281" w:rsidR="00F047E1" w:rsidRPr="004F4CFC" w:rsidRDefault="00F047E1" w:rsidP="00E43648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Portál slouží pro přístup veřejnosti a </w:t>
            </w:r>
            <w:r w:rsidR="00CD58D2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uživatelů 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mimo </w:t>
            </w:r>
            <w:r w:rsidR="00CD58D2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resort MF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Z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tohoto důvodu je rozdělený na dvě části – veřejn</w:t>
            </w:r>
            <w:r w:rsidR="0017057C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ou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 privátní.</w:t>
            </w:r>
          </w:p>
          <w:p w14:paraId="11DBF29D" w14:textId="77777777" w:rsidR="00F047E1" w:rsidRPr="004F4CFC" w:rsidRDefault="00F047E1" w:rsidP="00E43648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53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Veřejná část</w:t>
            </w:r>
          </w:p>
          <w:p w14:paraId="3DF72530" w14:textId="77777777" w:rsidR="00F047E1" w:rsidRPr="004F4CFC" w:rsidRDefault="00F047E1" w:rsidP="00E43648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Je určena pro přístup široké veřejnosti.</w:t>
            </w:r>
          </w:p>
          <w:p w14:paraId="4D5A6619" w14:textId="376104CF" w:rsidR="00F047E1" w:rsidRPr="004F4CFC" w:rsidRDefault="00F047E1" w:rsidP="00E43648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Slouží k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zobrazování veřejně dostupných informací (včetně veřejně dostupných formulářů).</w:t>
            </w:r>
          </w:p>
          <w:p w14:paraId="4814B6DD" w14:textId="200239CA" w:rsidR="0056367A" w:rsidRPr="004F4CFC" w:rsidRDefault="0056367A" w:rsidP="00CE2A81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Je dále určena pro </w:t>
            </w:r>
            <w:r w:rsidR="00E82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nepřihlášené 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provozovatele, resp. PAO, kteří mají možnost portál využít pro zadání žádostí a poskytnutí dokumentů, funkce předvyplnění údajů a přístup k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historii žádostí získají až po přihlášení do privátní části portálu.</w:t>
            </w:r>
          </w:p>
          <w:p w14:paraId="43E723F8" w14:textId="7C41876E" w:rsidR="0056367A" w:rsidRPr="004F4CFC" w:rsidRDefault="0056367A" w:rsidP="00CE2A81">
            <w:pPr>
              <w:spacing w:after="0" w:line="240" w:lineRule="auto"/>
              <w:ind w:left="1080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14:paraId="7A2F1BFB" w14:textId="77777777" w:rsidR="00F047E1" w:rsidRPr="004F4CFC" w:rsidRDefault="00F047E1" w:rsidP="00E43648">
            <w:pPr>
              <w:numPr>
                <w:ilvl w:val="0"/>
                <w:numId w:val="13"/>
              </w:numPr>
              <w:spacing w:after="0" w:line="240" w:lineRule="auto"/>
              <w:ind w:left="54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Privátní část</w:t>
            </w:r>
          </w:p>
          <w:p w14:paraId="7C5164F7" w14:textId="106FC3E4" w:rsidR="00F047E1" w:rsidRPr="004F4CFC" w:rsidRDefault="00F047E1" w:rsidP="00E43648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Je určena pro přístup úředníků z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obcí</w:t>
            </w:r>
            <w:r w:rsidR="00F124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 krajů</w:t>
            </w:r>
            <w:r w:rsidR="00A06EE5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599B5070" w14:textId="2ABABC93" w:rsidR="00F047E1" w:rsidRPr="004F4CFC" w:rsidRDefault="00F047E1" w:rsidP="00E43648">
            <w:pPr>
              <w:numPr>
                <w:ilvl w:val="2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Úředníci se do ní hlásí přes své přístupové údaje v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JIP/KAAS.</w:t>
            </w:r>
          </w:p>
          <w:p w14:paraId="2241E19E" w14:textId="2D43BFE6" w:rsidR="00A06EE5" w:rsidRPr="004F4CFC" w:rsidRDefault="00F047E1" w:rsidP="00CE2A81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Funguje jako jediné uživatelské rozhraní pro obce</w:t>
            </w:r>
            <w:r w:rsidR="00F124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 kraje</w:t>
            </w:r>
            <w:r w:rsidR="00CD58D2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4A311D71" w14:textId="58E11676" w:rsidR="00A06EE5" w:rsidRPr="004F4CFC" w:rsidRDefault="00A06EE5" w:rsidP="00CE2A81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Je dále určena pro </w:t>
            </w:r>
            <w:r w:rsidR="00E82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přihlášené 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provozovatele, resp. PAO, kteří mají možnost portál využít pro zadání žádostí a poskytnutí dokumentů, včetně předvyplnění údajů a </w:t>
            </w:r>
            <w:r w:rsidR="0056367A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přístupu k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="0056367A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historii svých žádostí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656D15F2" w14:textId="24EFC726" w:rsidR="00F72178" w:rsidRPr="004F4CFC" w:rsidRDefault="00F72178" w:rsidP="00F72178">
            <w:pPr>
              <w:spacing w:after="0" w:line="240" w:lineRule="auto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669CA81" w14:textId="39B44599" w:rsidR="00F72178" w:rsidRPr="00CE2A81" w:rsidRDefault="00F72178" w:rsidP="00EC5BEC">
            <w:pPr>
              <w:spacing w:after="0" w:line="240" w:lineRule="auto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Veřejný portál je web aplikace a musí podporovat </w:t>
            </w:r>
            <w:r w:rsidR="00C515A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prohlížeče </w:t>
            </w:r>
            <w:r w:rsidR="00713F42" w:rsidRPr="004F4CFC">
              <w:rPr>
                <w:sz w:val="18"/>
                <w:szCs w:val="24"/>
              </w:rPr>
              <w:t>I</w:t>
            </w:r>
            <w:r w:rsidR="00713F42">
              <w:rPr>
                <w:sz w:val="18"/>
                <w:szCs w:val="24"/>
              </w:rPr>
              <w:t xml:space="preserve">nternet Explorer, </w:t>
            </w:r>
            <w:proofErr w:type="spellStart"/>
            <w:r w:rsidR="00713F42">
              <w:rPr>
                <w:sz w:val="18"/>
                <w:szCs w:val="24"/>
              </w:rPr>
              <w:t>Firefox</w:t>
            </w:r>
            <w:proofErr w:type="spellEnd"/>
            <w:r w:rsidRPr="004F4CFC">
              <w:rPr>
                <w:sz w:val="18"/>
                <w:szCs w:val="24"/>
              </w:rPr>
              <w:t>, Chrome, Safari</w:t>
            </w:r>
            <w:r w:rsidR="00C515A5">
              <w:rPr>
                <w:sz w:val="18"/>
                <w:szCs w:val="24"/>
              </w:rPr>
              <w:t xml:space="preserve"> a</w:t>
            </w:r>
            <w:r w:rsidR="00C515A5" w:rsidRPr="004F4CFC">
              <w:rPr>
                <w:sz w:val="18"/>
                <w:szCs w:val="24"/>
              </w:rPr>
              <w:t xml:space="preserve"> </w:t>
            </w:r>
            <w:proofErr w:type="spellStart"/>
            <w:r w:rsidR="00752351" w:rsidRPr="004F4CFC">
              <w:rPr>
                <w:sz w:val="18"/>
                <w:szCs w:val="24"/>
              </w:rPr>
              <w:t>Edge</w:t>
            </w:r>
            <w:proofErr w:type="spellEnd"/>
            <w:r w:rsidR="00C515A5">
              <w:rPr>
                <w:sz w:val="18"/>
                <w:szCs w:val="24"/>
              </w:rPr>
              <w:t xml:space="preserve"> ve verzích podporov</w:t>
            </w:r>
            <w:r w:rsidR="00EC5BEC">
              <w:rPr>
                <w:sz w:val="18"/>
                <w:szCs w:val="24"/>
              </w:rPr>
              <w:t>aných</w:t>
            </w:r>
            <w:r w:rsidR="00C515A5">
              <w:rPr>
                <w:sz w:val="18"/>
                <w:szCs w:val="24"/>
              </w:rPr>
              <w:t xml:space="preserve"> výrobci</w:t>
            </w:r>
            <w:r w:rsidRPr="004F4CFC">
              <w:rPr>
                <w:sz w:val="18"/>
                <w:szCs w:val="24"/>
              </w:rPr>
              <w:t>.</w:t>
            </w:r>
          </w:p>
        </w:tc>
      </w:tr>
      <w:tr w:rsidR="0031105D" w:rsidRPr="004F4CFC" w14:paraId="735BB991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5A1A2522" w14:textId="5B3F63E2" w:rsidR="0031105D" w:rsidRPr="004F4CFC" w:rsidRDefault="0031105D" w:rsidP="00C12744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lastRenderedPageBreak/>
              <w:t>AM</w:t>
            </w:r>
            <w:r w:rsidR="00C12744" w:rsidRPr="004F4CFC">
              <w:rPr>
                <w:sz w:val="18"/>
                <w:szCs w:val="24"/>
              </w:rPr>
              <w:t xml:space="preserve"> veřejná správa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80F6CA2" w14:textId="77777777" w:rsidR="0031105D" w:rsidRPr="004F4CFC" w:rsidRDefault="0031105D" w:rsidP="0031105D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EE41679" w14:textId="011E7025" w:rsidR="0044209F" w:rsidRPr="004F4CFC" w:rsidRDefault="0031105D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Modul, který slouží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řízení přístupu</w:t>
            </w:r>
            <w:r w:rsidR="00C12744" w:rsidRPr="004F4CFC">
              <w:rPr>
                <w:sz w:val="18"/>
                <w:szCs w:val="24"/>
              </w:rPr>
              <w:t xml:space="preserve"> </w:t>
            </w:r>
            <w:r w:rsidRPr="004F4CFC">
              <w:rPr>
                <w:sz w:val="18"/>
                <w:szCs w:val="24"/>
              </w:rPr>
              <w:t>(AM</w:t>
            </w:r>
            <w:r w:rsidR="00C12744" w:rsidRPr="004F4CFC">
              <w:rPr>
                <w:sz w:val="18"/>
                <w:szCs w:val="24"/>
              </w:rPr>
              <w:t xml:space="preserve"> </w:t>
            </w:r>
            <w:r w:rsidR="005F2AEE">
              <w:rPr>
                <w:sz w:val="18"/>
                <w:szCs w:val="24"/>
              </w:rPr>
              <w:t>–</w:t>
            </w:r>
            <w:r w:rsidRPr="004F4CFC">
              <w:rPr>
                <w:sz w:val="18"/>
                <w:szCs w:val="24"/>
              </w:rPr>
              <w:t xml:space="preserve"> Access Management) uživatelů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veřejné správy</w:t>
            </w:r>
            <w:r w:rsidR="00CD58D2" w:rsidRPr="004F4CFC">
              <w:rPr>
                <w:sz w:val="18"/>
                <w:szCs w:val="24"/>
              </w:rPr>
              <w:t xml:space="preserve"> (včetně obcí</w:t>
            </w:r>
            <w:r w:rsidR="00F12417">
              <w:rPr>
                <w:sz w:val="18"/>
                <w:szCs w:val="24"/>
              </w:rPr>
              <w:t xml:space="preserve"> a krajů</w:t>
            </w:r>
            <w:r w:rsidR="00CD58D2" w:rsidRPr="004F4CFC">
              <w:rPr>
                <w:sz w:val="18"/>
                <w:szCs w:val="24"/>
              </w:rPr>
              <w:t>)</w:t>
            </w:r>
            <w:r w:rsidR="002D7588" w:rsidRPr="004F4CFC">
              <w:rPr>
                <w:sz w:val="18"/>
                <w:szCs w:val="24"/>
              </w:rPr>
              <w:t xml:space="preserve"> k</w:t>
            </w:r>
            <w:r w:rsidR="005F2AEE">
              <w:rPr>
                <w:sz w:val="18"/>
                <w:szCs w:val="24"/>
              </w:rPr>
              <w:t> </w:t>
            </w:r>
            <w:r w:rsidR="002D7588" w:rsidRPr="004F4CFC">
              <w:rPr>
                <w:sz w:val="18"/>
                <w:szCs w:val="24"/>
              </w:rPr>
              <w:t>funkcím AISG</w:t>
            </w:r>
            <w:r w:rsidRPr="004F4CFC">
              <w:rPr>
                <w:sz w:val="18"/>
                <w:szCs w:val="24"/>
              </w:rPr>
              <w:t xml:space="preserve">. </w:t>
            </w:r>
          </w:p>
          <w:p w14:paraId="23918210" w14:textId="0BC1B860" w:rsidR="0031105D" w:rsidRPr="004F4CFC" w:rsidRDefault="002D7588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 správu identit a přístupových údajů uživatelů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veřejné správy a jejich základních rolí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AISG bude použit systém JIP/KAAS. Modul „AM veřejná správa“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maximální možné míře využije autentizační a autorizační služby JIP/KAAS, včetně nastavení činnostních a přístupových rolí AIS, které doplní o nastavení lokálních rolí specifických pro jednotlivé komponenty AISG a použité SW produkty, včetně autorizace na základě územní působnosti, času a typu dokumentů apod.</w:t>
            </w:r>
          </w:p>
          <w:p w14:paraId="1F4E2388" w14:textId="453D77C9" w:rsidR="006A435C" w:rsidRPr="004F4CFC" w:rsidRDefault="0083517F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</w:t>
            </w:r>
            <w:r w:rsidR="00D4061B" w:rsidRPr="004F4CFC">
              <w:rPr>
                <w:sz w:val="18"/>
                <w:szCs w:val="24"/>
              </w:rPr>
              <w:t xml:space="preserve">ro zaměstnance </w:t>
            </w:r>
            <w:r w:rsidR="006A435C" w:rsidRPr="004F4CFC">
              <w:rPr>
                <w:sz w:val="18"/>
                <w:szCs w:val="24"/>
              </w:rPr>
              <w:t xml:space="preserve">resortu </w:t>
            </w:r>
            <w:r w:rsidR="00D4061B" w:rsidRPr="004F4CFC">
              <w:rPr>
                <w:sz w:val="18"/>
                <w:szCs w:val="24"/>
              </w:rPr>
              <w:t>MF, kteří jsou běžnými uživateli AISG</w:t>
            </w:r>
            <w:r w:rsidR="00FF111E">
              <w:rPr>
                <w:sz w:val="18"/>
                <w:szCs w:val="24"/>
              </w:rPr>
              <w:t>, platí požadavek na autentizaci prostřednictvím JIP/KAAS a zároveň požadavek integrace s</w:t>
            </w:r>
            <w:r w:rsidR="00A6207A">
              <w:rPr>
                <w:sz w:val="18"/>
                <w:szCs w:val="24"/>
              </w:rPr>
              <w:t> </w:t>
            </w:r>
            <w:proofErr w:type="spellStart"/>
            <w:r w:rsidR="00FF111E">
              <w:rPr>
                <w:sz w:val="18"/>
                <w:szCs w:val="24"/>
              </w:rPr>
              <w:t>Active</w:t>
            </w:r>
            <w:proofErr w:type="spellEnd"/>
            <w:r w:rsidR="00A6207A">
              <w:rPr>
                <w:sz w:val="18"/>
                <w:szCs w:val="24"/>
              </w:rPr>
              <w:t xml:space="preserve"> </w:t>
            </w:r>
            <w:proofErr w:type="spellStart"/>
            <w:r w:rsidR="00FF111E">
              <w:rPr>
                <w:sz w:val="18"/>
                <w:szCs w:val="24"/>
              </w:rPr>
              <w:t>Di</w:t>
            </w:r>
            <w:r w:rsidR="00A6207A">
              <w:rPr>
                <w:sz w:val="18"/>
                <w:szCs w:val="24"/>
              </w:rPr>
              <w:t>re</w:t>
            </w:r>
            <w:r w:rsidR="00FF111E">
              <w:rPr>
                <w:sz w:val="18"/>
                <w:szCs w:val="24"/>
              </w:rPr>
              <w:t>ctory</w:t>
            </w:r>
            <w:proofErr w:type="spellEnd"/>
            <w:r w:rsidR="00FF111E">
              <w:rPr>
                <w:sz w:val="18"/>
                <w:szCs w:val="24"/>
              </w:rPr>
              <w:t xml:space="preserve"> MF</w:t>
            </w:r>
            <w:r w:rsidR="00514E03">
              <w:rPr>
                <w:sz w:val="18"/>
                <w:szCs w:val="24"/>
              </w:rPr>
              <w:t xml:space="preserve"> (single sign-on)</w:t>
            </w:r>
            <w:r w:rsidR="00D4061B" w:rsidRPr="004F4CFC">
              <w:rPr>
                <w:sz w:val="18"/>
                <w:szCs w:val="24"/>
              </w:rPr>
              <w:t>.</w:t>
            </w:r>
            <w:r w:rsidR="006A435C" w:rsidRPr="004F4CFC">
              <w:rPr>
                <w:sz w:val="18"/>
                <w:szCs w:val="24"/>
              </w:rPr>
              <w:t xml:space="preserve"> Zaměstnanci resortu MF jsou vybaveni čipovými kartami s</w:t>
            </w:r>
            <w:r w:rsidR="005F2AEE">
              <w:rPr>
                <w:sz w:val="18"/>
                <w:szCs w:val="24"/>
              </w:rPr>
              <w:t> </w:t>
            </w:r>
            <w:r w:rsidR="006A435C" w:rsidRPr="004F4CFC">
              <w:rPr>
                <w:sz w:val="18"/>
                <w:szCs w:val="24"/>
              </w:rPr>
              <w:t>uloženými certifikáty v</w:t>
            </w:r>
            <w:r w:rsidR="005F2AEE">
              <w:rPr>
                <w:sz w:val="18"/>
                <w:szCs w:val="24"/>
              </w:rPr>
              <w:t> </w:t>
            </w:r>
            <w:r w:rsidR="006A435C" w:rsidRPr="004F4CFC">
              <w:rPr>
                <w:sz w:val="18"/>
                <w:szCs w:val="24"/>
              </w:rPr>
              <w:t>souladu se zákonem č. 297/2016 Sb. o službách vytvářejících důvěru pro elektronické transakce a čtečkami čipových karet. Je požadována integrace autentizace čipovou kartou do AISG.</w:t>
            </w:r>
          </w:p>
          <w:p w14:paraId="42C7502D" w14:textId="62294072" w:rsidR="0028778F" w:rsidRPr="004F4CFC" w:rsidRDefault="00D4061B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Autentizace malého počtu technických administrátorů systému a jeho jednotlivých komponent může být implementována způsobem specifickým pro jednotlivé komponenty.</w:t>
            </w:r>
          </w:p>
        </w:tc>
      </w:tr>
      <w:tr w:rsidR="0031105D" w:rsidRPr="004F4CFC" w14:paraId="7DFA1B48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0EAED1C" w14:textId="1F5DC653" w:rsidR="0031105D" w:rsidRPr="004F4CFC" w:rsidRDefault="0031105D" w:rsidP="00C12744">
            <w:pPr>
              <w:spacing w:after="0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IdM</w:t>
            </w:r>
            <w:proofErr w:type="spellEnd"/>
            <w:r w:rsidR="00C12744" w:rsidRPr="004F4CFC">
              <w:rPr>
                <w:sz w:val="18"/>
                <w:szCs w:val="24"/>
              </w:rPr>
              <w:t xml:space="preserve"> – Identity management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F970158" w14:textId="77777777" w:rsidR="0031105D" w:rsidRPr="004F4CFC" w:rsidRDefault="0031105D" w:rsidP="0031105D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F1B7353" w14:textId="1DB36083" w:rsidR="0031105D" w:rsidRPr="004F4CFC" w:rsidRDefault="0031105D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Modul, který slouží ke správě identit provozovatelů</w:t>
            </w:r>
            <w:r w:rsidR="0073103A" w:rsidRPr="004F4CFC">
              <w:rPr>
                <w:sz w:val="18"/>
                <w:szCs w:val="24"/>
              </w:rPr>
              <w:t xml:space="preserve"> a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. </w:t>
            </w:r>
            <w:r w:rsidR="00403900" w:rsidRPr="004F4CFC">
              <w:rPr>
                <w:sz w:val="18"/>
                <w:szCs w:val="24"/>
              </w:rPr>
              <w:t>Modul je využíván v</w:t>
            </w:r>
            <w:r w:rsidR="00F90856" w:rsidRPr="004F4CFC">
              <w:rPr>
                <w:sz w:val="18"/>
                <w:szCs w:val="24"/>
              </w:rPr>
              <w:t xml:space="preserve"> Dozorové části (správa identit provozovatelů) i ve Správní části (správa identit </w:t>
            </w:r>
            <w:r w:rsidR="00C12744" w:rsidRPr="004F4CFC">
              <w:rPr>
                <w:sz w:val="18"/>
                <w:szCs w:val="24"/>
              </w:rPr>
              <w:t xml:space="preserve">provozovatelů i </w:t>
            </w:r>
            <w:r w:rsidR="008C5D97" w:rsidRPr="004F4CFC">
              <w:rPr>
                <w:sz w:val="18"/>
                <w:szCs w:val="24"/>
              </w:rPr>
              <w:t>PAO</w:t>
            </w:r>
            <w:r w:rsidR="00F90856" w:rsidRPr="004F4CFC">
              <w:rPr>
                <w:sz w:val="18"/>
                <w:szCs w:val="24"/>
              </w:rPr>
              <w:t>)</w:t>
            </w:r>
            <w:r w:rsidR="00403900" w:rsidRPr="004F4CFC">
              <w:rPr>
                <w:sz w:val="18"/>
                <w:szCs w:val="24"/>
              </w:rPr>
              <w:t>, v</w:t>
            </w:r>
            <w:r w:rsidR="005F2AEE">
              <w:rPr>
                <w:sz w:val="18"/>
                <w:szCs w:val="24"/>
              </w:rPr>
              <w:t> </w:t>
            </w:r>
            <w:r w:rsidR="00403900" w:rsidRPr="004F4CFC">
              <w:rPr>
                <w:sz w:val="18"/>
                <w:szCs w:val="24"/>
              </w:rPr>
              <w:t>diagramech je zařazen v</w:t>
            </w:r>
            <w:r w:rsidR="005F2AEE">
              <w:rPr>
                <w:sz w:val="18"/>
                <w:szCs w:val="24"/>
              </w:rPr>
              <w:t> </w:t>
            </w:r>
            <w:r w:rsidR="00A20DD0">
              <w:rPr>
                <w:sz w:val="18"/>
                <w:szCs w:val="24"/>
              </w:rPr>
              <w:t>Dozorové</w:t>
            </w:r>
            <w:r w:rsidR="00403900" w:rsidRPr="004F4CFC">
              <w:rPr>
                <w:sz w:val="18"/>
                <w:szCs w:val="24"/>
              </w:rPr>
              <w:t xml:space="preserve"> části z</w:t>
            </w:r>
            <w:r w:rsidR="005F2AEE">
              <w:rPr>
                <w:sz w:val="18"/>
                <w:szCs w:val="24"/>
              </w:rPr>
              <w:t> </w:t>
            </w:r>
            <w:r w:rsidR="00403900" w:rsidRPr="004F4CFC">
              <w:rPr>
                <w:sz w:val="18"/>
                <w:szCs w:val="24"/>
              </w:rPr>
              <w:t xml:space="preserve">důvodů </w:t>
            </w:r>
            <w:r w:rsidR="00F90856" w:rsidRPr="004F4CFC">
              <w:rPr>
                <w:sz w:val="18"/>
                <w:szCs w:val="24"/>
              </w:rPr>
              <w:t xml:space="preserve">nejvyšších </w:t>
            </w:r>
            <w:r w:rsidR="00403900" w:rsidRPr="004F4CFC">
              <w:rPr>
                <w:sz w:val="18"/>
                <w:szCs w:val="24"/>
              </w:rPr>
              <w:t>provozních požadavků</w:t>
            </w:r>
            <w:r w:rsidR="00F90856" w:rsidRPr="004F4CFC">
              <w:rPr>
                <w:sz w:val="18"/>
                <w:szCs w:val="24"/>
              </w:rPr>
              <w:t xml:space="preserve"> této části</w:t>
            </w:r>
            <w:r w:rsidR="00403900" w:rsidRPr="004F4CFC">
              <w:rPr>
                <w:sz w:val="18"/>
                <w:szCs w:val="24"/>
              </w:rPr>
              <w:t xml:space="preserve">. </w:t>
            </w:r>
          </w:p>
          <w:p w14:paraId="2B23EF6D" w14:textId="0372D7D4" w:rsidR="0031105D" w:rsidRPr="004F4CFC" w:rsidRDefault="0031105D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Pro přístup do Veřejného portálu budou provozovatelé </w:t>
            </w:r>
            <w:r w:rsidR="0073103A" w:rsidRPr="004F4CFC">
              <w:rPr>
                <w:sz w:val="18"/>
                <w:szCs w:val="24"/>
              </w:rPr>
              <w:t xml:space="preserve">a </w:t>
            </w:r>
            <w:r w:rsidR="008C5D97" w:rsidRPr="004F4CFC">
              <w:rPr>
                <w:sz w:val="18"/>
                <w:szCs w:val="24"/>
              </w:rPr>
              <w:t>PAO</w:t>
            </w:r>
            <w:r w:rsidR="0073103A" w:rsidRPr="004F4CFC">
              <w:rPr>
                <w:sz w:val="18"/>
                <w:szCs w:val="24"/>
              </w:rPr>
              <w:t xml:space="preserve"> </w:t>
            </w:r>
            <w:r w:rsidRPr="004F4CFC">
              <w:rPr>
                <w:sz w:val="18"/>
                <w:szCs w:val="24"/>
              </w:rPr>
              <w:t xml:space="preserve">využívat autentizaci pomocí </w:t>
            </w:r>
            <w:r w:rsidR="00B339F5" w:rsidRPr="004F4CFC">
              <w:rPr>
                <w:sz w:val="18"/>
                <w:szCs w:val="24"/>
              </w:rPr>
              <w:t>autentizační služb</w:t>
            </w:r>
            <w:r w:rsidR="00984F81" w:rsidRPr="004F4CFC">
              <w:rPr>
                <w:sz w:val="18"/>
                <w:szCs w:val="24"/>
              </w:rPr>
              <w:t>y</w:t>
            </w:r>
            <w:r w:rsidR="00B339F5" w:rsidRPr="004F4CFC">
              <w:rPr>
                <w:sz w:val="18"/>
                <w:szCs w:val="24"/>
              </w:rPr>
              <w:t xml:space="preserve"> Portálu veřejné správy, která ověřuje uživatele pomocí přístupových údajů </w:t>
            </w:r>
            <w:r w:rsidRPr="004F4CFC">
              <w:rPr>
                <w:sz w:val="18"/>
                <w:szCs w:val="24"/>
              </w:rPr>
              <w:t>datových schránek (ISDS</w:t>
            </w:r>
            <w:r w:rsidR="00843C20" w:rsidRPr="004F4CFC">
              <w:rPr>
                <w:sz w:val="18"/>
                <w:szCs w:val="24"/>
              </w:rPr>
              <w:t xml:space="preserve"> </w:t>
            </w:r>
            <w:r w:rsidR="005F2AEE">
              <w:rPr>
                <w:sz w:val="18"/>
                <w:szCs w:val="24"/>
              </w:rPr>
              <w:t>–</w:t>
            </w:r>
            <w:r w:rsidR="00843C20" w:rsidRPr="004F4CFC">
              <w:rPr>
                <w:sz w:val="18"/>
                <w:szCs w:val="24"/>
              </w:rPr>
              <w:t xml:space="preserve"> identifikace právnických osob</w:t>
            </w:r>
            <w:r w:rsidRPr="004F4CFC">
              <w:rPr>
                <w:sz w:val="18"/>
                <w:szCs w:val="24"/>
              </w:rPr>
              <w:t xml:space="preserve">). </w:t>
            </w:r>
          </w:p>
          <w:p w14:paraId="3373F35B" w14:textId="679C4B5D" w:rsidR="00A56F7A" w:rsidRPr="004F4CFC" w:rsidRDefault="00AC123C" w:rsidP="00A56F7A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Předpokládá</w:t>
            </w:r>
            <w:r w:rsidR="009E0C46" w:rsidRPr="004F4CFC">
              <w:rPr>
                <w:sz w:val="18"/>
                <w:szCs w:val="24"/>
              </w:rPr>
              <w:t xml:space="preserve"> se</w:t>
            </w:r>
            <w:r w:rsidRPr="004F4CFC">
              <w:rPr>
                <w:sz w:val="18"/>
                <w:szCs w:val="24"/>
              </w:rPr>
              <w:t xml:space="preserve"> dvouúrovňový systém, který naplňuje požadavky řešení bezpečnosti. Provozovatelé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 budou přistupovat do několika části </w:t>
            </w:r>
            <w:r w:rsidRPr="004F4CFC">
              <w:rPr>
                <w:sz w:val="18"/>
                <w:szCs w:val="24"/>
              </w:rPr>
              <w:lastRenderedPageBreak/>
              <w:t xml:space="preserve">AISG (veřejný portál ve správní části, dozorová část pro </w:t>
            </w:r>
            <w:r w:rsidR="00A56F7A" w:rsidRPr="004F4CFC">
              <w:rPr>
                <w:sz w:val="18"/>
                <w:szCs w:val="24"/>
              </w:rPr>
              <w:t>registraci</w:t>
            </w:r>
            <w:r w:rsidRPr="004F4CFC">
              <w:rPr>
                <w:sz w:val="18"/>
                <w:szCs w:val="24"/>
              </w:rPr>
              <w:t xml:space="preserve"> a autorizaci</w:t>
            </w:r>
            <w:r w:rsidR="00A56F7A" w:rsidRPr="004F4CFC">
              <w:rPr>
                <w:sz w:val="18"/>
                <w:szCs w:val="24"/>
              </w:rPr>
              <w:t xml:space="preserve"> hráčů</w:t>
            </w:r>
            <w:r w:rsidR="00F90856" w:rsidRPr="004F4CFC">
              <w:rPr>
                <w:sz w:val="18"/>
                <w:szCs w:val="24"/>
              </w:rPr>
              <w:t xml:space="preserve">, DB správní a DMS pro </w:t>
            </w:r>
            <w:proofErr w:type="gramStart"/>
            <w:r w:rsidR="008C5D97" w:rsidRPr="004F4CFC">
              <w:rPr>
                <w:sz w:val="18"/>
                <w:szCs w:val="24"/>
              </w:rPr>
              <w:t>PAO</w:t>
            </w:r>
            <w:proofErr w:type="gramEnd"/>
            <w:r w:rsidRPr="004F4CFC">
              <w:rPr>
                <w:sz w:val="18"/>
                <w:szCs w:val="24"/>
              </w:rPr>
              <w:t xml:space="preserve">). </w:t>
            </w:r>
            <w:r w:rsidR="00A56F7A" w:rsidRPr="004F4CFC">
              <w:rPr>
                <w:sz w:val="18"/>
                <w:szCs w:val="24"/>
              </w:rPr>
              <w:t xml:space="preserve"> V</w:t>
            </w:r>
            <w:r w:rsidR="005F2AEE">
              <w:rPr>
                <w:sz w:val="18"/>
                <w:szCs w:val="24"/>
              </w:rPr>
              <w:t> </w:t>
            </w:r>
            <w:r w:rsidR="00A56F7A" w:rsidRPr="004F4CFC">
              <w:rPr>
                <w:sz w:val="18"/>
                <w:szCs w:val="24"/>
              </w:rPr>
              <w:t xml:space="preserve">prvním případě bude autentizace provozovatele založena na ISDS, ve zbylých případech se bude jednat o </w:t>
            </w:r>
            <w:r w:rsidR="008765C7" w:rsidRPr="004F4CFC">
              <w:rPr>
                <w:sz w:val="18"/>
                <w:szCs w:val="24"/>
              </w:rPr>
              <w:t xml:space="preserve">XML </w:t>
            </w:r>
            <w:r w:rsidR="00A56F7A" w:rsidRPr="004F4CFC">
              <w:rPr>
                <w:sz w:val="18"/>
                <w:szCs w:val="24"/>
              </w:rPr>
              <w:t>komunikaci s</w:t>
            </w:r>
            <w:r w:rsidR="005F2AEE">
              <w:rPr>
                <w:sz w:val="18"/>
                <w:szCs w:val="24"/>
              </w:rPr>
              <w:t> </w:t>
            </w:r>
            <w:r w:rsidR="00A56F7A" w:rsidRPr="004F4CFC">
              <w:rPr>
                <w:sz w:val="18"/>
                <w:szCs w:val="24"/>
              </w:rPr>
              <w:t xml:space="preserve">využitím HTTPS. </w:t>
            </w:r>
            <w:r w:rsidR="00633D28" w:rsidRPr="004F4CFC">
              <w:rPr>
                <w:sz w:val="18"/>
                <w:szCs w:val="24"/>
              </w:rPr>
              <w:t>Z</w:t>
            </w:r>
            <w:r w:rsidR="005F2AEE">
              <w:rPr>
                <w:sz w:val="18"/>
                <w:szCs w:val="24"/>
              </w:rPr>
              <w:t> </w:t>
            </w:r>
            <w:r w:rsidR="00633D28" w:rsidRPr="004F4CFC">
              <w:rPr>
                <w:sz w:val="18"/>
                <w:szCs w:val="24"/>
              </w:rPr>
              <w:t>legislativního hlediska není důležité, který konkrétní pracovník provozovatele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="00633D28" w:rsidRPr="004F4CFC">
              <w:rPr>
                <w:sz w:val="18"/>
                <w:szCs w:val="24"/>
              </w:rPr>
              <w:t xml:space="preserve"> přistupuje k</w:t>
            </w:r>
            <w:r w:rsidR="005F2AEE">
              <w:rPr>
                <w:sz w:val="18"/>
                <w:szCs w:val="24"/>
              </w:rPr>
              <w:t> </w:t>
            </w:r>
            <w:r w:rsidR="00633D28" w:rsidRPr="004F4CFC">
              <w:rPr>
                <w:sz w:val="18"/>
                <w:szCs w:val="24"/>
              </w:rPr>
              <w:t>AISG, odpovědnost za předávání dat a dodržení ostatních pravidel dle zákona je na provozovateli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="00633D28" w:rsidRPr="004F4CFC">
              <w:rPr>
                <w:sz w:val="18"/>
                <w:szCs w:val="24"/>
              </w:rPr>
              <w:t xml:space="preserve"> jako právnické osobě.</w:t>
            </w:r>
          </w:p>
          <w:p w14:paraId="4E465276" w14:textId="2ED12E3E" w:rsidR="00F90856" w:rsidRDefault="00AC123C" w:rsidP="00A56F7A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IdM</w:t>
            </w:r>
            <w:proofErr w:type="spellEnd"/>
            <w:r w:rsidRPr="004F4CFC">
              <w:rPr>
                <w:sz w:val="18"/>
                <w:szCs w:val="24"/>
              </w:rPr>
              <w:t xml:space="preserve"> modul bude tedy evidovat provozovatele hazardních her</w:t>
            </w:r>
            <w:r w:rsidR="00F90856" w:rsidRPr="004F4CFC">
              <w:rPr>
                <w:sz w:val="18"/>
                <w:szCs w:val="24"/>
              </w:rPr>
              <w:t>, resp</w:t>
            </w:r>
            <w:r w:rsidR="008C5D97" w:rsidRPr="004F4CFC">
              <w:rPr>
                <w:sz w:val="18"/>
                <w:szCs w:val="24"/>
              </w:rPr>
              <w:t>.</w:t>
            </w:r>
            <w:r w:rsidR="00F90856" w:rsidRPr="004F4CFC">
              <w:rPr>
                <w:sz w:val="18"/>
                <w:szCs w:val="24"/>
              </w:rPr>
              <w:t xml:space="preserve"> </w:t>
            </w:r>
            <w:r w:rsidR="008C5D97" w:rsidRPr="004F4CFC">
              <w:rPr>
                <w:sz w:val="18"/>
                <w:szCs w:val="24"/>
              </w:rPr>
              <w:t>PAO</w:t>
            </w:r>
            <w:r w:rsidR="00F90856" w:rsidRPr="004F4CFC">
              <w:rPr>
                <w:sz w:val="18"/>
                <w:szCs w:val="24"/>
              </w:rPr>
              <w:t>,</w:t>
            </w:r>
            <w:r w:rsidRPr="004F4CFC">
              <w:rPr>
                <w:sz w:val="18"/>
                <w:szCs w:val="24"/>
              </w:rPr>
              <w:t xml:space="preserve"> a pro každého jednu až několik sad přístupových údajů pro </w:t>
            </w:r>
            <w:r w:rsidR="00A20DD0">
              <w:rPr>
                <w:sz w:val="18"/>
                <w:szCs w:val="24"/>
              </w:rPr>
              <w:t>Dozorovou</w:t>
            </w:r>
            <w:r w:rsidRPr="004F4CFC">
              <w:rPr>
                <w:sz w:val="18"/>
                <w:szCs w:val="24"/>
              </w:rPr>
              <w:t xml:space="preserve"> část </w:t>
            </w:r>
            <w:r w:rsidR="00EB67CC" w:rsidRPr="004F4CFC">
              <w:rPr>
                <w:sz w:val="18"/>
                <w:szCs w:val="24"/>
              </w:rPr>
              <w:t xml:space="preserve">(včetně </w:t>
            </w:r>
            <w:r w:rsidR="00A20DD0">
              <w:rPr>
                <w:sz w:val="18"/>
                <w:szCs w:val="24"/>
              </w:rPr>
              <w:t xml:space="preserve">jejich </w:t>
            </w:r>
            <w:r w:rsidR="00EB67CC" w:rsidRPr="004F4CFC">
              <w:rPr>
                <w:sz w:val="18"/>
                <w:szCs w:val="24"/>
              </w:rPr>
              <w:t>certifikátů)</w:t>
            </w:r>
            <w:r w:rsidRPr="004F4CFC">
              <w:rPr>
                <w:sz w:val="18"/>
                <w:szCs w:val="24"/>
              </w:rPr>
              <w:t xml:space="preserve">. </w:t>
            </w:r>
            <w:proofErr w:type="spellStart"/>
            <w:r w:rsidRPr="004F4CFC">
              <w:rPr>
                <w:sz w:val="18"/>
                <w:szCs w:val="24"/>
              </w:rPr>
              <w:t>IdM</w:t>
            </w:r>
            <w:proofErr w:type="spellEnd"/>
            <w:r w:rsidRPr="004F4CFC">
              <w:rPr>
                <w:sz w:val="18"/>
                <w:szCs w:val="24"/>
              </w:rPr>
              <w:t xml:space="preserve"> bude dále obsahovat údaj o datové schránce provozovatele</w:t>
            </w:r>
            <w:r w:rsidR="00F90856" w:rsidRPr="004F4CFC">
              <w:rPr>
                <w:sz w:val="18"/>
                <w:szCs w:val="24"/>
              </w:rPr>
              <w:t>, resp</w:t>
            </w:r>
            <w:r w:rsidR="008C5D97" w:rsidRPr="004F4CFC">
              <w:rPr>
                <w:sz w:val="18"/>
                <w:szCs w:val="24"/>
              </w:rPr>
              <w:t>. PAO</w:t>
            </w:r>
            <w:r w:rsidR="00F90856" w:rsidRPr="004F4CFC">
              <w:rPr>
                <w:sz w:val="18"/>
                <w:szCs w:val="24"/>
              </w:rPr>
              <w:t>.</w:t>
            </w:r>
          </w:p>
          <w:p w14:paraId="7D7D21D0" w14:textId="6A028ADB" w:rsidR="00B00159" w:rsidRDefault="00B00159" w:rsidP="00A56F7A">
            <w:pPr>
              <w:jc w:val="both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IdM</w:t>
            </w:r>
            <w:proofErr w:type="spellEnd"/>
            <w:r>
              <w:rPr>
                <w:sz w:val="18"/>
                <w:szCs w:val="24"/>
              </w:rPr>
              <w:t xml:space="preserve"> kontroluje platnost uložených certifikátů a notifikuje administrátora o blížícím se termínu obnovy certifikátů.</w:t>
            </w:r>
          </w:p>
          <w:p w14:paraId="212282C7" w14:textId="77777777" w:rsidR="00722F1D" w:rsidRPr="004F4CFC" w:rsidRDefault="00722F1D" w:rsidP="00722F1D">
            <w:pPr>
              <w:jc w:val="both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IdM</w:t>
            </w:r>
            <w:proofErr w:type="spellEnd"/>
            <w:r>
              <w:rPr>
                <w:sz w:val="18"/>
                <w:szCs w:val="24"/>
              </w:rPr>
              <w:t xml:space="preserve"> musí umožňovat administrátorskou operaci strojově čitelného exportu údajů o provozovatelích a PAO (např. CSV, XML, samostatné soubory s certifikáty, …) za účelem využití stejných identit v jiných systémech Objednatele komunikujících s provozovateli a PAO.</w:t>
            </w:r>
          </w:p>
          <w:p w14:paraId="1CA4EBE3" w14:textId="4F4E9F70" w:rsidR="0028778F" w:rsidRPr="004F4CFC" w:rsidRDefault="00F90856">
            <w:pPr>
              <w:jc w:val="both"/>
              <w:rPr>
                <w:i/>
                <w:sz w:val="18"/>
                <w:szCs w:val="24"/>
              </w:rPr>
            </w:pPr>
            <w:proofErr w:type="spellStart"/>
            <w:r w:rsidRPr="004F4CFC">
              <w:rPr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: Přestože funkční procesy provozovatele a </w:t>
            </w:r>
            <w:r w:rsidR="008C5D97" w:rsidRPr="004F4CFC">
              <w:rPr>
                <w:i/>
                <w:sz w:val="18"/>
                <w:szCs w:val="24"/>
              </w:rPr>
              <w:t>PAO</w:t>
            </w:r>
            <w:r w:rsidRPr="004F4CFC">
              <w:rPr>
                <w:i/>
                <w:sz w:val="18"/>
                <w:szCs w:val="24"/>
              </w:rPr>
              <w:t xml:space="preserve"> a jejich vazba na vnitřní komponenty AISG jsou zcela odlišné, z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technického hlediska pro ně předpokládáme automatizovaná XML rozhraní založená na stejných principech a stejný princip autentizace. Proto je jejich identita spravována ve stejné komponentě řešení</w:t>
            </w:r>
            <w:r w:rsidR="00AC123C" w:rsidRPr="004F4CFC">
              <w:rPr>
                <w:i/>
                <w:sz w:val="18"/>
                <w:szCs w:val="24"/>
              </w:rPr>
              <w:t>.</w:t>
            </w:r>
            <w:r w:rsidR="00AC123C" w:rsidRPr="004F4CFC">
              <w:rPr>
                <w:rStyle w:val="Odkaznakoment"/>
                <w:i/>
                <w:sz w:val="18"/>
                <w:szCs w:val="24"/>
              </w:rPr>
              <w:t xml:space="preserve"> </w:t>
            </w:r>
          </w:p>
        </w:tc>
      </w:tr>
      <w:bookmarkEnd w:id="91"/>
    </w:tbl>
    <w:p w14:paraId="0694DE00" w14:textId="13118070" w:rsidR="00450F21" w:rsidRPr="004F4CFC" w:rsidRDefault="00450F21" w:rsidP="00450F21"/>
    <w:p w14:paraId="290B54EA" w14:textId="77777777" w:rsidR="00C7429E" w:rsidRDefault="00C7429E">
      <w:pPr>
        <w:rPr>
          <w:rFonts w:asciiTheme="majorHAnsi" w:eastAsiaTheme="majorEastAsia" w:hAnsiTheme="majorHAnsi" w:cstheme="majorBidi"/>
          <w:b/>
          <w:bCs/>
          <w:i/>
          <w:color w:val="DC6900" w:themeColor="text2"/>
          <w:sz w:val="32"/>
          <w:szCs w:val="26"/>
        </w:rPr>
      </w:pPr>
      <w:r>
        <w:br w:type="page"/>
      </w:r>
    </w:p>
    <w:p w14:paraId="383BA502" w14:textId="47DDF4F6" w:rsidR="00E50591" w:rsidRPr="004F4CFC" w:rsidRDefault="005A6725">
      <w:pPr>
        <w:pStyle w:val="Nadpis2"/>
      </w:pPr>
      <w:bookmarkStart w:id="92" w:name="_Toc510300900"/>
      <w:r w:rsidRPr="004F4CFC">
        <w:lastRenderedPageBreak/>
        <w:t xml:space="preserve">Rozhraní </w:t>
      </w:r>
      <w:r w:rsidR="00E50591" w:rsidRPr="004F4CFC">
        <w:t>a datové toky</w:t>
      </w:r>
      <w:bookmarkEnd w:id="92"/>
    </w:p>
    <w:p w14:paraId="48235FD7" w14:textId="0E801EB9" w:rsidR="008A1207" w:rsidRPr="004F4CFC" w:rsidRDefault="008A1207" w:rsidP="00B80DB8">
      <w:pPr>
        <w:pStyle w:val="Zkladntext"/>
      </w:pPr>
      <w:r w:rsidRPr="004F4CFC">
        <w:t xml:space="preserve">Diagram datových </w:t>
      </w:r>
      <w:r w:rsidR="004B4710" w:rsidRPr="004F4CFC">
        <w:t xml:space="preserve">a datových </w:t>
      </w:r>
      <w:r w:rsidRPr="004F4CFC">
        <w:t xml:space="preserve">toků popisuje datové toky mezi komponentami </w:t>
      </w:r>
      <w:r w:rsidR="00E43648" w:rsidRPr="004F4CFC">
        <w:t>AISG</w:t>
      </w:r>
      <w:r w:rsidRPr="004F4CFC">
        <w:t xml:space="preserve"> a ostatními systémy, které jsou na něj napojeny (informační systémy </w:t>
      </w:r>
      <w:r w:rsidR="00CC1F67" w:rsidRPr="004F4CFC">
        <w:t xml:space="preserve">resortu </w:t>
      </w:r>
      <w:r w:rsidR="00E43648" w:rsidRPr="004F4CFC">
        <w:t xml:space="preserve">MF, </w:t>
      </w:r>
      <w:r w:rsidRPr="004F4CFC">
        <w:t>veřejné správy a systémy provozovatelů</w:t>
      </w:r>
      <w:r w:rsidR="00E507B2">
        <w:t xml:space="preserve"> a PAO</w:t>
      </w:r>
      <w:r w:rsidRPr="004F4CFC">
        <w:t>).</w:t>
      </w:r>
    </w:p>
    <w:p w14:paraId="393CBF9A" w14:textId="38D4EA5A" w:rsidR="008A69A2" w:rsidRPr="004F4CFC" w:rsidRDefault="00D64649" w:rsidP="00B80DB8">
      <w:pPr>
        <w:pStyle w:val="Zkladntext"/>
      </w:pPr>
      <w:r w:rsidRPr="00D64649">
        <w:rPr>
          <w:noProof/>
        </w:rPr>
        <w:t xml:space="preserve"> </w:t>
      </w:r>
      <w:r w:rsidR="00F25409">
        <w:rPr>
          <w:noProof/>
          <w:lang w:eastAsia="cs-CZ"/>
        </w:rPr>
        <w:drawing>
          <wp:inline distT="0" distB="0" distL="0" distR="0" wp14:anchorId="2C94F976" wp14:editId="163A8BFE">
            <wp:extent cx="6263640" cy="370014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4F90" w14:textId="5435EE02" w:rsidR="00AD1C2F" w:rsidRDefault="00AD1C2F" w:rsidP="00DF4FF8">
      <w:pPr>
        <w:jc w:val="both"/>
      </w:pPr>
      <w:r w:rsidRPr="004F4CFC">
        <w:rPr>
          <w:b/>
        </w:rPr>
        <w:t>Poznámka:</w:t>
      </w:r>
      <w:r w:rsidRPr="004F4CFC">
        <w:t xml:space="preserve"> </w:t>
      </w:r>
      <w:r w:rsidR="00D50C9F" w:rsidRPr="004F4CFC">
        <w:t>rozhraní a datové toky jsou zobrazené a popsané z</w:t>
      </w:r>
      <w:r w:rsidR="005F2AEE">
        <w:t> </w:t>
      </w:r>
      <w:r w:rsidR="00D50C9F" w:rsidRPr="004F4CFC">
        <w:t xml:space="preserve">pohledu komponent AISG jako logické, popisují </w:t>
      </w:r>
      <w:r w:rsidR="00834DBA" w:rsidRPr="004F4CFC">
        <w:t>zdroje a cíle dat předávaných na rozhraní. Z</w:t>
      </w:r>
      <w:r w:rsidR="005F2AEE">
        <w:t> </w:t>
      </w:r>
      <w:r w:rsidR="00834DBA" w:rsidRPr="004F4CFC">
        <w:t>technického pohledu nereprezentují přímou komunikaci, např. přímý přístup do DB. Pro implementaci rozhraní mohou být v</w:t>
      </w:r>
      <w:r w:rsidR="005F2AEE">
        <w:t> </w:t>
      </w:r>
      <w:r w:rsidR="00834DBA" w:rsidRPr="004F4CFC">
        <w:t xml:space="preserve">návrhu Dodavatele využity další funkční komponenty implementující např. </w:t>
      </w:r>
      <w:proofErr w:type="spellStart"/>
      <w:r w:rsidR="00834DBA" w:rsidRPr="004F4CFC">
        <w:t>WebServices</w:t>
      </w:r>
      <w:proofErr w:type="spellEnd"/>
      <w:r w:rsidR="00834DBA" w:rsidRPr="004F4CFC">
        <w:t xml:space="preserve"> rozhraní apod.</w:t>
      </w:r>
    </w:p>
    <w:p w14:paraId="33F89CB7" w14:textId="1C05767D" w:rsidR="007D1305" w:rsidRDefault="007D1305" w:rsidP="00DF4FF8">
      <w:pPr>
        <w:jc w:val="both"/>
      </w:pPr>
      <w:r w:rsidRPr="009F75AE">
        <w:t xml:space="preserve">Dodavatel je povinen v rámci </w:t>
      </w:r>
      <w:r w:rsidR="005A05D0">
        <w:t xml:space="preserve">Detailního </w:t>
      </w:r>
      <w:r w:rsidRPr="009F75AE">
        <w:t xml:space="preserve">návrhu </w:t>
      </w:r>
      <w:r w:rsidR="005A05D0">
        <w:t xml:space="preserve">řešení </w:t>
      </w:r>
      <w:r w:rsidRPr="009F75AE">
        <w:t xml:space="preserve">a implementace systému definovat a implementovat mechanismy, které minimalizují vliv nefunkčnosti spolupracujících externích systémů na funkčnost AISG (např. ošetření chybových stavů, opakování neúspěšných operací, využití </w:t>
      </w:r>
      <w:proofErr w:type="spellStart"/>
      <w:r w:rsidRPr="009F75AE">
        <w:t>nakešovaných</w:t>
      </w:r>
      <w:proofErr w:type="spellEnd"/>
      <w:r w:rsidR="00A30E64">
        <w:t xml:space="preserve"> nebo „starých“</w:t>
      </w:r>
      <w:r w:rsidRPr="009F75AE">
        <w:t xml:space="preserve"> informací – v případech, kde je to možné a umožní alespoň částečnou funkci systému)</w:t>
      </w:r>
      <w:r>
        <w:t>.</w:t>
      </w:r>
      <w:r w:rsidR="00A30E64">
        <w:t xml:space="preserve"> F</w:t>
      </w:r>
      <w:r w:rsidR="00A30E64" w:rsidRPr="00A30E64">
        <w:t xml:space="preserve">unkcionalita AISG může být </w:t>
      </w:r>
      <w:r w:rsidR="00A30E64">
        <w:t xml:space="preserve">v případě nefunkčnosti spolupracujících systémů </w:t>
      </w:r>
      <w:r w:rsidR="00A30E64" w:rsidRPr="00A30E64">
        <w:t>omezena pouze ve funkcionalitách, které jsou přímo závislé na zmíněných systémech.</w:t>
      </w:r>
      <w:r w:rsidR="0001689B">
        <w:t xml:space="preserve"> </w:t>
      </w:r>
      <w:r w:rsidR="0001689B" w:rsidRPr="0001689B">
        <w:t xml:space="preserve">Tyto funkcionality musí mít pro takový případ předem definované chybové stavy, tj. jaký dopad má nefunkčnost spolupracujícího systému na konkrétní funkcionality </w:t>
      </w:r>
      <w:r w:rsidR="0001689B">
        <w:t>AISG</w:t>
      </w:r>
      <w:r w:rsidR="0001689B" w:rsidRPr="0001689B">
        <w:t>.</w:t>
      </w:r>
    </w:p>
    <w:p w14:paraId="7F6D3B8C" w14:textId="79F5BD2C" w:rsidR="00D95DD4" w:rsidRPr="00220CC5" w:rsidRDefault="005A05D0">
      <w:pPr>
        <w:jc w:val="both"/>
      </w:pPr>
      <w:r>
        <w:t xml:space="preserve">V Detailním návrhu řešení Dodavatel </w:t>
      </w:r>
      <w:r w:rsidR="00D95DD4" w:rsidRPr="00220CC5">
        <w:t xml:space="preserve">podrobně </w:t>
      </w:r>
      <w:r>
        <w:t>popíše chybové stavy jednotlivých rozhraní, analyzuje jejich příčiny a navrhne způsob jejich ošetření na straně AISG.</w:t>
      </w:r>
    </w:p>
    <w:p w14:paraId="3765A448" w14:textId="7524DFD5" w:rsidR="00345CFB" w:rsidRPr="004F4CFC" w:rsidRDefault="00345CFB" w:rsidP="007C56A3">
      <w:pPr>
        <w:pStyle w:val="Titulek"/>
        <w:keepNext/>
      </w:pPr>
      <w:r w:rsidRPr="004F4CFC">
        <w:t>Popis elementů diagramu</w:t>
      </w:r>
      <w:r w:rsidR="00D200D4" w:rsidRPr="004F4CFC">
        <w:t xml:space="preserve"> rozhraní a</w:t>
      </w:r>
      <w:r w:rsidR="003C52B6" w:rsidRPr="004F4CFC">
        <w:t xml:space="preserve"> datových toků</w:t>
      </w:r>
    </w:p>
    <w:p w14:paraId="22ABDBB4" w14:textId="3F6ED16B" w:rsidR="00E0765E" w:rsidRPr="004F4CFC" w:rsidRDefault="00E0765E" w:rsidP="00E0765E">
      <w:bookmarkStart w:id="93" w:name="_Hlk489205182"/>
      <w:r w:rsidRPr="004F4CFC">
        <w:t xml:space="preserve">Tabulka nepopisuje obecně rozhraní jako směrová, logika iniciace a směrování komunikací mezi Elementem A </w:t>
      </w:r>
      <w:proofErr w:type="spellStart"/>
      <w:r w:rsidRPr="004F4CFC">
        <w:t>a</w:t>
      </w:r>
      <w:proofErr w:type="spellEnd"/>
      <w:r w:rsidRPr="004F4CFC">
        <w:t xml:space="preserve"> Elementem B vždy vyplývá z</w:t>
      </w:r>
      <w:r w:rsidR="005F2AEE">
        <w:t> </w:t>
      </w:r>
      <w:r w:rsidRPr="004F4CFC">
        <w:t>konkrétních požadavků a způsobu implementace daného rozhraní.</w:t>
      </w:r>
    </w:p>
    <w:tbl>
      <w:tblPr>
        <w:tblW w:w="992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1232"/>
        <w:gridCol w:w="1320"/>
        <w:gridCol w:w="948"/>
        <w:gridCol w:w="6423"/>
      </w:tblGrid>
      <w:tr w:rsidR="00557B52" w:rsidRPr="004F4CFC" w14:paraId="402F7823" w14:textId="77777777" w:rsidTr="006F1763">
        <w:trPr>
          <w:tblHeader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58" w:type="dxa"/>
              <w:left w:w="29" w:type="dxa"/>
              <w:bottom w:w="29" w:type="dxa"/>
              <w:right w:w="58" w:type="dxa"/>
            </w:tcMar>
          </w:tcPr>
          <w:bookmarkEnd w:id="93"/>
          <w:p w14:paraId="53FA3657" w14:textId="245EFEE0" w:rsidR="00557B52" w:rsidRPr="004F4CFC" w:rsidRDefault="00E0765E" w:rsidP="007C5E57">
            <w:pPr>
              <w:spacing w:after="0"/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Element A</w:t>
            </w:r>
            <w:r w:rsidR="00557B52"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1038F3B" w14:textId="6B64A55F" w:rsidR="00557B52" w:rsidRPr="004F4CFC" w:rsidRDefault="00E0765E" w:rsidP="007C5E57">
            <w:pPr>
              <w:spacing w:after="0"/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Element B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</w:tcPr>
          <w:p w14:paraId="409AAC4A" w14:textId="77777777" w:rsidR="00557B52" w:rsidRPr="004F4CFC" w:rsidRDefault="00557B52" w:rsidP="007C5E57">
            <w:pPr>
              <w:spacing w:after="0"/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Typ</w:t>
            </w:r>
          </w:p>
        </w:tc>
        <w:tc>
          <w:tcPr>
            <w:tcW w:w="6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8D07544" w14:textId="6E90643E" w:rsidR="00557B52" w:rsidRPr="004F4CFC" w:rsidRDefault="00557B52" w:rsidP="008854AC">
            <w:pPr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 xml:space="preserve">Popis </w:t>
            </w:r>
            <w:r w:rsidR="007A6F77"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rozhraní</w:t>
            </w:r>
          </w:p>
        </w:tc>
      </w:tr>
      <w:tr w:rsidR="00557B52" w:rsidRPr="004F4CFC" w14:paraId="1293D527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17A69A55" w14:textId="4D9556DE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Provozovatel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D7B68F2" w14:textId="5F5632A3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hráčů</w:t>
            </w:r>
          </w:p>
          <w:p w14:paraId="3276035A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BD9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7287E6D" w14:textId="29E7C0F7" w:rsidR="00557B52" w:rsidRPr="004F4CFC" w:rsidRDefault="00557B52" w:rsidP="008854AC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Mezi systémem provozovatele a AISG jsou vystaveny následující služby</w:t>
            </w:r>
            <w:r w:rsidR="00E421AB">
              <w:rPr>
                <w:rFonts w:eastAsia="Times New Roman"/>
                <w:sz w:val="18"/>
                <w:szCs w:val="24"/>
              </w:rPr>
              <w:t xml:space="preserve"> </w:t>
            </w:r>
            <w:r w:rsidR="00E421AB">
              <w:rPr>
                <w:rFonts w:eastAsia="Times New Roman"/>
                <w:sz w:val="18"/>
                <w:szCs w:val="24"/>
              </w:rPr>
              <w:lastRenderedPageBreak/>
              <w:t>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E421AB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E421AB">
              <w:rPr>
                <w:rFonts w:eastAsia="Times New Roman"/>
                <w:sz w:val="18"/>
                <w:szCs w:val="24"/>
              </w:rPr>
              <w:t xml:space="preserve">definicí procesu 13. Registrace (viz </w:t>
            </w:r>
            <w:r w:rsidR="008053AF">
              <w:rPr>
                <w:rFonts w:eastAsia="Times New Roman"/>
                <w:sz w:val="18"/>
                <w:szCs w:val="24"/>
              </w:rPr>
              <w:t xml:space="preserve">Přílohu </w:t>
            </w:r>
            <w:r w:rsidR="00E421AB">
              <w:rPr>
                <w:rFonts w:eastAsia="Times New Roman"/>
                <w:sz w:val="18"/>
                <w:szCs w:val="24"/>
              </w:rPr>
              <w:t>č. 2 Smlouvy)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2786E45B" w14:textId="3A0906F4" w:rsidR="00557B52" w:rsidRPr="004F4CFC" w:rsidRDefault="00557B52" w:rsidP="00CE2A81">
            <w:pPr>
              <w:pStyle w:val="Odstavecseseznamem"/>
              <w:numPr>
                <w:ilvl w:val="1"/>
                <w:numId w:val="9"/>
              </w:numPr>
              <w:ind w:left="41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Registrace</w:t>
            </w:r>
            <w:r w:rsidR="008854AC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/</w:t>
            </w:r>
            <w:r w:rsidR="008854AC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ztotožnění hráče</w:t>
            </w:r>
          </w:p>
          <w:p w14:paraId="72850ED7" w14:textId="77777777" w:rsidR="00557B52" w:rsidRPr="004F4CFC" w:rsidRDefault="00557B52" w:rsidP="00DD29C4">
            <w:pPr>
              <w:pStyle w:val="Odstavecseseznamem"/>
              <w:numPr>
                <w:ilvl w:val="1"/>
                <w:numId w:val="9"/>
              </w:numPr>
              <w:ind w:left="41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Aktualizace údajů hráče</w:t>
            </w:r>
          </w:p>
          <w:p w14:paraId="5495D186" w14:textId="1BA2CE3A" w:rsidR="00E64825" w:rsidRPr="004F4CFC" w:rsidRDefault="00AC36A9">
            <w:pPr>
              <w:pStyle w:val="Textpoznpodarou"/>
            </w:pPr>
            <w:r>
              <w:rPr>
                <w:sz w:val="18"/>
                <w:szCs w:val="18"/>
              </w:rPr>
              <w:t xml:space="preserve">Viz též sekce </w:t>
            </w:r>
            <w:r w:rsidRPr="00AC36A9">
              <w:rPr>
                <w:sz w:val="18"/>
                <w:szCs w:val="18"/>
              </w:rPr>
              <w:t>Obecný popis rozhraní k provozovatelům a PAO</w:t>
            </w:r>
            <w:r>
              <w:t xml:space="preserve"> </w:t>
            </w:r>
            <w:r w:rsidRPr="00D107E8">
              <w:rPr>
                <w:sz w:val="18"/>
                <w:szCs w:val="18"/>
              </w:rPr>
              <w:t>pod touto tabulkou.</w:t>
            </w:r>
          </w:p>
        </w:tc>
      </w:tr>
      <w:tr w:rsidR="00E421AB" w:rsidRPr="004F4CFC" w14:paraId="5CEC016B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812A77A" w14:textId="02F1E147" w:rsidR="00E421AB" w:rsidRPr="004F4CFC" w:rsidRDefault="00E421AB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lastRenderedPageBreak/>
              <w:t>Provozovatel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EAFE356" w14:textId="651059D7" w:rsidR="00E421AB" w:rsidRPr="004F4CFC" w:rsidRDefault="00E421AB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94A" w14:textId="493EDACE" w:rsidR="00E421AB" w:rsidRPr="004F4CFC" w:rsidRDefault="00E421AB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0846321" w14:textId="3AE27F4D" w:rsidR="00E421AB" w:rsidRPr="004F4CFC" w:rsidRDefault="00E421AB" w:rsidP="00E421AB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Mezi systémem provozovatele a AISG jsou vystaveny následující služby</w:t>
            </w:r>
            <w:r>
              <w:rPr>
                <w:rFonts w:eastAsia="Times New Roman"/>
                <w:sz w:val="18"/>
                <w:szCs w:val="24"/>
              </w:rPr>
              <w:t xml:space="preserve">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 xml:space="preserve">definicí procesu 13. Registrace (viz </w:t>
            </w:r>
            <w:r w:rsidR="008053AF">
              <w:rPr>
                <w:rFonts w:eastAsia="Times New Roman"/>
                <w:sz w:val="18"/>
                <w:szCs w:val="24"/>
              </w:rPr>
              <w:t xml:space="preserve">Přílohu </w:t>
            </w:r>
            <w:r>
              <w:rPr>
                <w:rFonts w:eastAsia="Times New Roman"/>
                <w:sz w:val="18"/>
                <w:szCs w:val="24"/>
              </w:rPr>
              <w:t>č. 2 Smlouvy)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0C880ECF" w14:textId="2970D755" w:rsidR="00E421AB" w:rsidRPr="004F4CFC" w:rsidRDefault="00E421AB" w:rsidP="00E421AB">
            <w:pPr>
              <w:pStyle w:val="Odstavecseseznamem"/>
              <w:numPr>
                <w:ilvl w:val="1"/>
                <w:numId w:val="121"/>
              </w:numPr>
              <w:ind w:left="411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Autorizace </w:t>
            </w:r>
            <w:r w:rsidRPr="004F4CFC">
              <w:rPr>
                <w:rFonts w:eastAsia="Times New Roman"/>
                <w:sz w:val="18"/>
                <w:szCs w:val="24"/>
              </w:rPr>
              <w:t>hráče</w:t>
            </w:r>
          </w:p>
          <w:p w14:paraId="585556B3" w14:textId="721BB8AB" w:rsidR="00E421AB" w:rsidRPr="004F4CFC" w:rsidRDefault="00AC36A9" w:rsidP="00E421AB">
            <w:pPr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Viz též sekce </w:t>
            </w:r>
            <w:r w:rsidRPr="00AC36A9">
              <w:rPr>
                <w:sz w:val="18"/>
                <w:szCs w:val="18"/>
              </w:rPr>
              <w:t>Obecný popis rozhraní k provozovatelům a PAO</w:t>
            </w:r>
            <w:r w:rsidRPr="00D107E8">
              <w:rPr>
                <w:sz w:val="18"/>
                <w:szCs w:val="18"/>
              </w:rPr>
              <w:t xml:space="preserve"> pod touto tabulkou.</w:t>
            </w:r>
          </w:p>
        </w:tc>
      </w:tr>
      <w:tr w:rsidR="00EB1500" w:rsidRPr="004F4CFC" w14:paraId="7F0F7334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24A38E82" w14:textId="25771FAF" w:rsidR="00EB1500" w:rsidRPr="004F4CFC" w:rsidRDefault="00FF4F9A" w:rsidP="00594DAF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PAO (</w:t>
            </w:r>
            <w:r w:rsidR="00EB1500" w:rsidRPr="004F4CFC">
              <w:rPr>
                <w:rFonts w:eastAsia="Times New Roman"/>
                <w:sz w:val="18"/>
                <w:szCs w:val="24"/>
              </w:rPr>
              <w:t>Pověřená osoba</w:t>
            </w:r>
            <w:r w:rsidRPr="004F4CFC">
              <w:rPr>
                <w:rFonts w:eastAsia="Times New Roman"/>
                <w:sz w:val="18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19EE24D" w14:textId="6B21E7D4" w:rsidR="00EB1500" w:rsidRPr="004F4CFC" w:rsidRDefault="00EB1500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Správní, DMS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BFB" w14:textId="66074731" w:rsidR="00EB1500" w:rsidRPr="004F4CFC" w:rsidRDefault="001473CF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2E75454" w14:textId="36EE8E6B" w:rsidR="00EB1500" w:rsidRPr="004F4CFC" w:rsidRDefault="00B74529" w:rsidP="00C77F7C">
            <w:pPr>
              <w:pStyle w:val="Zkladntext"/>
              <w:rPr>
                <w:sz w:val="18"/>
              </w:rPr>
            </w:pPr>
            <w:r w:rsidRPr="004F4CFC">
              <w:rPr>
                <w:sz w:val="18"/>
              </w:rPr>
              <w:t xml:space="preserve">Automatizované rozhraní pro </w:t>
            </w:r>
            <w:r w:rsidR="00EB1500" w:rsidRPr="004F4CFC">
              <w:rPr>
                <w:sz w:val="18"/>
              </w:rPr>
              <w:t>evidence osvědčení (včetně předání dokumentů)</w:t>
            </w:r>
            <w:r w:rsidRPr="004F4CFC">
              <w:rPr>
                <w:sz w:val="18"/>
              </w:rPr>
              <w:t>.</w:t>
            </w:r>
          </w:p>
          <w:p w14:paraId="6FA74503" w14:textId="06B7A79D" w:rsidR="00EB1500" w:rsidRPr="004F4CFC" w:rsidRDefault="00AC36A9" w:rsidP="006F1763">
            <w:pPr>
              <w:pStyle w:val="Textpoznpodarou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Viz též sekce </w:t>
            </w:r>
            <w:r w:rsidRPr="00AC36A9">
              <w:rPr>
                <w:sz w:val="18"/>
                <w:szCs w:val="18"/>
              </w:rPr>
              <w:t xml:space="preserve">Obecný popis rozhraní k </w:t>
            </w:r>
            <w:r w:rsidRPr="00D107E8">
              <w:rPr>
                <w:rFonts w:eastAsiaTheme="minorHAnsi" w:cstheme="minorBidi"/>
                <w:sz w:val="18"/>
                <w:szCs w:val="18"/>
              </w:rPr>
              <w:t>provozovatelům a PAO pod touto tabulkou.</w:t>
            </w:r>
          </w:p>
        </w:tc>
      </w:tr>
      <w:tr w:rsidR="00557B52" w:rsidRPr="004F4CFC" w14:paraId="3554DC9B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8D6F098" w14:textId="094CF27F" w:rsidR="00557B52" w:rsidRPr="004F4CFC" w:rsidRDefault="00557B52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hráčů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8D8CBF6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  <w:p w14:paraId="401586EA" w14:textId="67FFADC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417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8D4BB1B" w14:textId="77777777" w:rsidR="00557B52" w:rsidRPr="004F4CFC" w:rsidRDefault="00557B52" w:rsidP="00DD29C4">
            <w:pPr>
              <w:pStyle w:val="Odstavecseseznamem"/>
              <w:numPr>
                <w:ilvl w:val="1"/>
                <w:numId w:val="14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Ztotožnění hráče</w:t>
            </w:r>
          </w:p>
          <w:p w14:paraId="241ACFDB" w14:textId="2D097EAD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</w:t>
            </w:r>
          </w:p>
          <w:p w14:paraId="33A4BE41" w14:textId="604D8079" w:rsidR="00557B52" w:rsidRPr="008B0CB1" w:rsidRDefault="00557B52" w:rsidP="00CE2A81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8B0CB1">
              <w:rPr>
                <w:rFonts w:eastAsia="Times New Roman"/>
                <w:sz w:val="18"/>
                <w:szCs w:val="24"/>
              </w:rPr>
              <w:t>AISG volá základní službu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8B0CB1">
              <w:rPr>
                <w:rFonts w:eastAsia="Times New Roman"/>
                <w:sz w:val="18"/>
                <w:szCs w:val="24"/>
              </w:rPr>
              <w:t>identifikačními údaji daného hráče</w:t>
            </w:r>
            <w:r w:rsidR="008B0CB1" w:rsidRPr="008B0CB1">
              <w:rPr>
                <w:rFonts w:eastAsia="Times New Roman"/>
                <w:sz w:val="18"/>
                <w:szCs w:val="24"/>
              </w:rPr>
              <w:t xml:space="preserve"> (jméno, příjmení, místo narození, datum narození, </w:t>
            </w:r>
            <w:r w:rsidR="008B0CB1">
              <w:rPr>
                <w:rFonts w:eastAsia="Times New Roman"/>
                <w:sz w:val="18"/>
                <w:szCs w:val="24"/>
              </w:rPr>
              <w:t>bydliště)</w:t>
            </w:r>
          </w:p>
          <w:p w14:paraId="52239835" w14:textId="184682B1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 vrací kompletní evidovanou sadu údajů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danému subjektu, případně vrací informaci, že na základě poskytnutých údajů není možné hráče jednoznačně ztotožnit (existuje více subjektů se stejnými údaji; neexistuje žádný subjekt odpovídající údajům).</w:t>
            </w:r>
          </w:p>
          <w:p w14:paraId="3A9305DE" w14:textId="641086E2" w:rsidR="00557B52" w:rsidRPr="004F4CFC" w:rsidRDefault="00557B52" w:rsidP="002B0180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se registruje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aktualizaci údajů o subjektu.</w:t>
            </w:r>
          </w:p>
        </w:tc>
      </w:tr>
      <w:tr w:rsidR="00877DD1" w:rsidRPr="004F4CFC" w14:paraId="5C299B4E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13A000AD" w14:textId="67A9ACF5" w:rsidR="00877DD1" w:rsidRPr="004F4CFC" w:rsidRDefault="00877DD1" w:rsidP="00877DD1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C46A291" w14:textId="554B28EF" w:rsidR="00877DD1" w:rsidRPr="004F4CFC" w:rsidRDefault="00877DD1" w:rsidP="00877DD1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hráčů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DF2" w14:textId="77777777" w:rsidR="00877DD1" w:rsidRPr="004F4CFC" w:rsidRDefault="00877DD1" w:rsidP="00877DD1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D31DC3" w14:textId="0EEE6C43" w:rsidR="00877DD1" w:rsidRPr="004F4CFC" w:rsidRDefault="00877DD1" w:rsidP="00877DD1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 U fyzických osob registrovaných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AISG bude AISG dávkově </w:t>
            </w:r>
            <w:r>
              <w:rPr>
                <w:rFonts w:eastAsia="Times New Roman"/>
                <w:sz w:val="18"/>
                <w:szCs w:val="24"/>
              </w:rPr>
              <w:t xml:space="preserve">(1x denně) </w:t>
            </w:r>
            <w:r w:rsidRPr="004F4CFC">
              <w:rPr>
                <w:rFonts w:eastAsia="Times New Roman"/>
                <w:sz w:val="18"/>
                <w:szCs w:val="24"/>
              </w:rPr>
              <w:t>dostávat informace o aktualizaci jejich referenčních údajů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základních registrech. </w:t>
            </w:r>
          </w:p>
        </w:tc>
      </w:tr>
      <w:tr w:rsidR="009F78EC" w:rsidRPr="004F4CFC" w14:paraId="5B4AEFCF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7AD2554A" w14:textId="20F5D1BA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21EF576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A31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0171A0D" w14:textId="50EB7B30" w:rsidR="009F78EC" w:rsidRPr="004F4CFC" w:rsidRDefault="009F78EC" w:rsidP="00E7425A">
            <w:pPr>
              <w:pStyle w:val="Odstavecseseznamem"/>
              <w:numPr>
                <w:ilvl w:val="1"/>
                <w:numId w:val="19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Validace / stažení údajů o </w:t>
            </w:r>
            <w:proofErr w:type="gramStart"/>
            <w:r w:rsidRPr="004F4CFC">
              <w:rPr>
                <w:rFonts w:eastAsia="Times New Roman"/>
                <w:sz w:val="18"/>
                <w:szCs w:val="24"/>
              </w:rPr>
              <w:t>provozovateli</w:t>
            </w:r>
            <w:proofErr w:type="gramEnd"/>
            <w:r w:rsidR="00080432">
              <w:rPr>
                <w:rFonts w:eastAsia="Times New Roman"/>
                <w:sz w:val="18"/>
                <w:szCs w:val="24"/>
              </w:rPr>
              <w:t xml:space="preserve"> nebo PAO</w:t>
            </w:r>
          </w:p>
          <w:p w14:paraId="514F2CCE" w14:textId="238E6E11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</w:t>
            </w:r>
          </w:p>
          <w:p w14:paraId="6576AAA2" w14:textId="2A215520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volá základní službu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IČO provozovatele</w:t>
            </w:r>
            <w:r w:rsidR="00080432">
              <w:rPr>
                <w:rFonts w:eastAsia="Times New Roman"/>
                <w:sz w:val="18"/>
                <w:szCs w:val="24"/>
              </w:rPr>
              <w:t xml:space="preserve"> nebo PAO</w:t>
            </w:r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147CF3DA" w14:textId="5BCB6306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 vrací kompletní evidovanou sadu údajů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danému subjektu, případně vrací informaci, že na základě poskytnutých údajů není možné subjekt jednoznačně ztotožnit (existuje více subjektů se stejnými údaji; neexistuje žádný subjekt odpovídající údajům).</w:t>
            </w:r>
          </w:p>
          <w:p w14:paraId="18A3B45C" w14:textId="24A2B213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se registruje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aktualizaci údajů o subjektu.</w:t>
            </w:r>
          </w:p>
        </w:tc>
      </w:tr>
      <w:tr w:rsidR="00557B52" w:rsidRPr="004F4CFC" w14:paraId="52798E8F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4337D488" w14:textId="7667FC44" w:rsidR="00557B52" w:rsidRPr="004F4CFC" w:rsidRDefault="00557B52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FE12D09" w14:textId="0E45BC89" w:rsidR="00557B52" w:rsidRPr="004F4CFC" w:rsidRDefault="00557B52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4FD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78B34E9" w14:textId="26773694" w:rsidR="00557B52" w:rsidRPr="004F4CFC" w:rsidRDefault="00557B52" w:rsidP="002B0180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 U právnických osob registrovaných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AISG bude AISG dávkově </w:t>
            </w:r>
            <w:r w:rsidR="006E6570">
              <w:rPr>
                <w:rFonts w:eastAsia="Times New Roman"/>
                <w:sz w:val="18"/>
                <w:szCs w:val="24"/>
              </w:rPr>
              <w:t xml:space="preserve">(1x </w:t>
            </w:r>
            <w:r w:rsidR="00160480">
              <w:rPr>
                <w:rFonts w:eastAsia="Times New Roman"/>
                <w:sz w:val="18"/>
                <w:szCs w:val="24"/>
              </w:rPr>
              <w:t>týdně</w:t>
            </w:r>
            <w:r w:rsidR="00637341" w:rsidRPr="004F4CFC">
              <w:rPr>
                <w:rFonts w:eastAsia="Times New Roman"/>
                <w:sz w:val="18"/>
                <w:szCs w:val="24"/>
              </w:rPr>
              <w:t xml:space="preserve">) </w:t>
            </w:r>
            <w:r w:rsidRPr="004F4CFC">
              <w:rPr>
                <w:rFonts w:eastAsia="Times New Roman"/>
                <w:sz w:val="18"/>
                <w:szCs w:val="24"/>
              </w:rPr>
              <w:t>dostávat informace o aktualizaci jejich referenčních údajů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základních registrech. </w:t>
            </w:r>
          </w:p>
        </w:tc>
      </w:tr>
      <w:tr w:rsidR="009F78EC" w:rsidRPr="004F4CFC" w14:paraId="27F2CFE3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462A1C9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E59601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31D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F24F5B3" w14:textId="0DD1C74D" w:rsidR="009F78EC" w:rsidRPr="004F4CFC" w:rsidRDefault="009F78EC" w:rsidP="00E7425A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SZR. U fyzických osob uvedených DB vyloučení bude AISG dávkově </w:t>
            </w:r>
            <w:r w:rsidR="00637341" w:rsidRPr="004F4CFC">
              <w:rPr>
                <w:rFonts w:eastAsia="Times New Roman"/>
                <w:sz w:val="18"/>
                <w:szCs w:val="24"/>
              </w:rPr>
              <w:t xml:space="preserve">(1x </w:t>
            </w:r>
            <w:r w:rsidR="006E6570">
              <w:rPr>
                <w:rFonts w:eastAsia="Times New Roman"/>
                <w:sz w:val="18"/>
                <w:szCs w:val="24"/>
              </w:rPr>
              <w:t>denně</w:t>
            </w:r>
            <w:r w:rsidR="00637341" w:rsidRPr="004F4CFC">
              <w:rPr>
                <w:rFonts w:eastAsia="Times New Roman"/>
                <w:sz w:val="18"/>
                <w:szCs w:val="24"/>
              </w:rPr>
              <w:t xml:space="preserve">) </w:t>
            </w:r>
            <w:r w:rsidRPr="004F4CFC">
              <w:rPr>
                <w:rFonts w:eastAsia="Times New Roman"/>
                <w:sz w:val="18"/>
                <w:szCs w:val="24"/>
              </w:rPr>
              <w:t xml:space="preserve">dostávat informace o </w:t>
            </w:r>
            <w:r w:rsidRPr="004F4CFC">
              <w:rPr>
                <w:rFonts w:eastAsia="Times New Roman"/>
                <w:sz w:val="18"/>
                <w:szCs w:val="24"/>
              </w:rPr>
              <w:lastRenderedPageBreak/>
              <w:t>aktualizaci jejich referenčních údajů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základních registrech. </w:t>
            </w:r>
          </w:p>
        </w:tc>
      </w:tr>
      <w:tr w:rsidR="00E64825" w:rsidRPr="004F4CFC" w14:paraId="540698FE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3670375B" w14:textId="2E1849D9" w:rsidR="00E64825" w:rsidRPr="004F4CFC" w:rsidRDefault="00144B92" w:rsidP="00CC1F67">
            <w:pPr>
              <w:spacing w:after="0"/>
              <w:rPr>
                <w:rFonts w:eastAsia="Times New Roman"/>
                <w:i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lastRenderedPageBreak/>
              <w:t>EPD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A08682B" w14:textId="77777777" w:rsidR="00E64825" w:rsidRPr="004F4CFC" w:rsidRDefault="00E64825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62" w14:textId="77777777" w:rsidR="00E64825" w:rsidRPr="004F4CFC" w:rsidRDefault="00E64825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3D6A16B" w14:textId="20412F31" w:rsidR="00E64825" w:rsidRPr="004F4CFC" w:rsidRDefault="00E64825" w:rsidP="00DD29C4">
            <w:pPr>
              <w:pStyle w:val="Odstavecseseznamem"/>
              <w:numPr>
                <w:ilvl w:val="1"/>
                <w:numId w:val="22"/>
              </w:numPr>
              <w:ind w:left="459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Předání informace o dokumentech určených pro AISG</w:t>
            </w:r>
          </w:p>
          <w:p w14:paraId="0BFB7897" w14:textId="6889C7C4" w:rsidR="00E64825" w:rsidRPr="004F4CFC" w:rsidRDefault="00E64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EPD předává do AISG informaci o dokumentech, které byly do EPD předány pro účely výkonu agendy AISG. Informace jsou minimálně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rozsahu:</w:t>
            </w:r>
          </w:p>
          <w:p w14:paraId="494DEFED" w14:textId="59398439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j</w:t>
            </w:r>
            <w:r w:rsidR="00E64825" w:rsidRPr="004F4CFC">
              <w:rPr>
                <w:rFonts w:eastAsia="Times New Roman"/>
                <w:sz w:val="18"/>
                <w:szCs w:val="24"/>
              </w:rPr>
              <w:t>edinečný identifikátor dokumentu (číslo jednací, PID),</w:t>
            </w:r>
          </w:p>
          <w:p w14:paraId="4DFA4458" w14:textId="1F8CA256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t</w:t>
            </w:r>
            <w:r w:rsidR="00E64825" w:rsidRPr="004F4CFC">
              <w:rPr>
                <w:rFonts w:eastAsia="Times New Roman"/>
                <w:sz w:val="18"/>
                <w:szCs w:val="24"/>
              </w:rPr>
              <w:t>yp dokumentu (z číselníku),</w:t>
            </w:r>
          </w:p>
          <w:p w14:paraId="151CB75E" w14:textId="37ABA9C8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</w:t>
            </w:r>
            <w:r w:rsidR="00E64825" w:rsidRPr="004F4CFC">
              <w:rPr>
                <w:rFonts w:eastAsia="Times New Roman"/>
                <w:sz w:val="18"/>
                <w:szCs w:val="24"/>
              </w:rPr>
              <w:t>erze dokumentu,</w:t>
            </w:r>
          </w:p>
          <w:p w14:paraId="09B34AFF" w14:textId="5DD40FE5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</w:t>
            </w:r>
            <w:r w:rsidR="00E64825" w:rsidRPr="004F4CFC">
              <w:rPr>
                <w:rFonts w:eastAsia="Times New Roman"/>
                <w:sz w:val="18"/>
                <w:szCs w:val="24"/>
              </w:rPr>
              <w:t>ubjekt, který dokument předal,</w:t>
            </w:r>
          </w:p>
          <w:p w14:paraId="3E50D4CE" w14:textId="669B70C9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n</w:t>
            </w:r>
            <w:r w:rsidR="00E64825" w:rsidRPr="004F4CFC">
              <w:rPr>
                <w:rFonts w:eastAsia="Times New Roman"/>
                <w:sz w:val="18"/>
                <w:szCs w:val="24"/>
              </w:rPr>
              <w:t>ázev dokumentu,</w:t>
            </w:r>
          </w:p>
          <w:p w14:paraId="3E00B735" w14:textId="3D298806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</w:t>
            </w:r>
            <w:r w:rsidR="00E64825" w:rsidRPr="004F4CFC">
              <w:rPr>
                <w:rFonts w:eastAsia="Times New Roman"/>
                <w:sz w:val="18"/>
                <w:szCs w:val="24"/>
              </w:rPr>
              <w:t>dkaz na dokument,</w:t>
            </w:r>
          </w:p>
          <w:p w14:paraId="3C8133F6" w14:textId="20C996E7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</w:t>
            </w:r>
            <w:r w:rsidR="00E64825" w:rsidRPr="004F4CFC">
              <w:rPr>
                <w:rFonts w:eastAsia="Times New Roman"/>
                <w:sz w:val="18"/>
                <w:szCs w:val="24"/>
              </w:rPr>
              <w:t>tav dokumentu (nový, smazaný, atd.).</w:t>
            </w:r>
          </w:p>
          <w:p w14:paraId="43B337B0" w14:textId="3C9FCD3D" w:rsidR="00E64825" w:rsidRPr="004F4CFC" w:rsidRDefault="00E64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Forma rozhraní odpovídá standardům EPD. </w:t>
            </w:r>
          </w:p>
          <w:p w14:paraId="4D6C342D" w14:textId="530712DB" w:rsidR="00E64825" w:rsidRPr="004F4CFC" w:rsidRDefault="00E64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rámci rozhraní neprobíhá samostatné předání dokumentu </w:t>
            </w:r>
            <w:r w:rsidR="005F2AEE">
              <w:rPr>
                <w:rFonts w:eastAsia="Times New Roman"/>
                <w:sz w:val="18"/>
                <w:szCs w:val="24"/>
              </w:rPr>
              <w:t>–</w:t>
            </w:r>
            <w:r w:rsidRPr="004F4CFC">
              <w:rPr>
                <w:rFonts w:eastAsia="Times New Roman"/>
                <w:sz w:val="18"/>
                <w:szCs w:val="24"/>
              </w:rPr>
              <w:t xml:space="preserve"> ten je umístěn a spravován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EPD.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AISG se evidují pouze výše uvedená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metadata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dokumentu.</w:t>
            </w:r>
          </w:p>
          <w:p w14:paraId="4B1A8900" w14:textId="7F1DE2AB" w:rsidR="006737A2" w:rsidRPr="00CE2A81" w:rsidRDefault="00EC474A" w:rsidP="00CE2A81">
            <w:pPr>
              <w:pStyle w:val="Odstavecseseznamem"/>
              <w:ind w:left="0"/>
              <w:rPr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P</w:t>
            </w:r>
            <w:r w:rsidR="006737A2" w:rsidRPr="004F4CFC">
              <w:rPr>
                <w:sz w:val="18"/>
                <w:szCs w:val="24"/>
              </w:rPr>
              <w:t>ro správní část AISG platí, že elektronická komunikace bude probíhat primárně přes EPD s</w:t>
            </w:r>
            <w:r w:rsidR="005F2AEE">
              <w:rPr>
                <w:sz w:val="18"/>
                <w:szCs w:val="24"/>
              </w:rPr>
              <w:t> </w:t>
            </w:r>
            <w:r w:rsidR="006737A2" w:rsidRPr="004F4CFC">
              <w:rPr>
                <w:sz w:val="18"/>
                <w:szCs w:val="24"/>
              </w:rPr>
              <w:t>využitím ISDS. Pokud je na MF doručen elektronicky podepsaný dokument emailem, je zanesen do EPD obdobně jako v</w:t>
            </w:r>
            <w:r w:rsidR="005F2AEE">
              <w:rPr>
                <w:sz w:val="18"/>
                <w:szCs w:val="24"/>
              </w:rPr>
              <w:t> </w:t>
            </w:r>
            <w:r w:rsidR="006737A2" w:rsidRPr="004F4CFC">
              <w:rPr>
                <w:sz w:val="18"/>
                <w:szCs w:val="24"/>
              </w:rPr>
              <w:t>případě, že by dorazil s</w:t>
            </w:r>
            <w:r w:rsidR="005F2AEE">
              <w:rPr>
                <w:sz w:val="18"/>
                <w:szCs w:val="24"/>
              </w:rPr>
              <w:t> </w:t>
            </w:r>
            <w:r w:rsidR="006737A2" w:rsidRPr="004F4CFC">
              <w:rPr>
                <w:sz w:val="18"/>
                <w:szCs w:val="24"/>
              </w:rPr>
              <w:t>využitím ISDS. Ověřování elektronických podpisů u přijatých dokumentů bude kompletně řešit EPD, tedy správní část AISG podpisy ověřovat nebude.</w:t>
            </w:r>
          </w:p>
        </w:tc>
      </w:tr>
      <w:tr w:rsidR="00057C8E" w:rsidRPr="004F4CFC" w14:paraId="0C375B85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4A2A54C" w14:textId="6FCC38F0" w:rsidR="00057C8E" w:rsidRPr="004F4CFC" w:rsidDel="00144B92" w:rsidRDefault="00EC474A" w:rsidP="00CC1F6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EAC45F9" w14:textId="0936CFBE" w:rsidR="00057C8E" w:rsidRPr="004F4CFC" w:rsidRDefault="00EC474A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EPD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AD8" w14:textId="74AF91CA" w:rsidR="00057C8E" w:rsidRPr="004F4CFC" w:rsidRDefault="00971E21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27ACDD7" w14:textId="388DB1C8" w:rsidR="00057C8E" w:rsidRPr="004F4CFC" w:rsidRDefault="00EC474A" w:rsidP="00CE2A81">
            <w:pPr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Z</w:t>
            </w:r>
            <w:r w:rsidRPr="00CE2A81">
              <w:rPr>
                <w:rFonts w:eastAsia="Times New Roman"/>
                <w:sz w:val="18"/>
                <w:szCs w:val="24"/>
              </w:rPr>
              <w:t>obrazení dokumentu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CE2A81">
              <w:rPr>
                <w:rFonts w:eastAsia="Times New Roman"/>
                <w:sz w:val="18"/>
                <w:szCs w:val="24"/>
              </w:rPr>
              <w:t>EPD</w:t>
            </w:r>
          </w:p>
        </w:tc>
      </w:tr>
      <w:tr w:rsidR="00557B52" w:rsidRPr="004F4CFC" w14:paraId="391458A4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32511410" w14:textId="56C4D020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E537A0E" w14:textId="1AE2D2CE" w:rsidR="006D2FF8" w:rsidRPr="004F4CFC" w:rsidRDefault="006D2FF8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</w:p>
          <w:p w14:paraId="6B7B83CD" w14:textId="0ABDD7AB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F14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2CB7181" w14:textId="2B2FF278" w:rsidR="006D2FF8" w:rsidRPr="004F4CFC" w:rsidRDefault="00557B52" w:rsidP="00DD29C4">
            <w:pPr>
              <w:pStyle w:val="Odstavecseseznamem"/>
              <w:numPr>
                <w:ilvl w:val="1"/>
                <w:numId w:val="16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Předávání informace o bezdlužnosti u ČSSZ</w:t>
            </w:r>
            <w:r w:rsidR="006D2FF8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4BAEE658" w14:textId="673FD760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="006D2FF8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0FC789A6" w14:textId="428776DE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="006D2FF8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ČSSZ – registr dlužníků na sociálním pojištění</w:t>
            </w:r>
            <w:r w:rsidR="00B03BC2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74F86A50" w14:textId="0BC1BE49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AISG přes </w:t>
            </w:r>
            <w:proofErr w:type="spellStart"/>
            <w:r w:rsidR="006D2FF8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6D2FF8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službu zasílá IČO.</w:t>
            </w:r>
          </w:p>
          <w:p w14:paraId="79136410" w14:textId="17366A00" w:rsidR="00557B52" w:rsidRPr="004F4CFC" w:rsidRDefault="006D2FF8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557B52" w:rsidRPr="004F4CFC">
              <w:rPr>
                <w:rFonts w:eastAsia="Times New Roman"/>
                <w:sz w:val="18"/>
                <w:szCs w:val="24"/>
              </w:rPr>
              <w:t xml:space="preserve"> služba vrací informaci, zda je dané IČO vedeno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557B52" w:rsidRPr="004F4CFC">
              <w:rPr>
                <w:rFonts w:eastAsia="Times New Roman"/>
                <w:sz w:val="18"/>
                <w:szCs w:val="24"/>
              </w:rPr>
              <w:t>registru dlužníků.</w:t>
            </w:r>
          </w:p>
          <w:p w14:paraId="77F2B451" w14:textId="4DE773E1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okamžiku zadávání daného subjektu do AISG, tak pravidelně (1x za </w:t>
            </w:r>
            <w:r w:rsidR="00637341" w:rsidRPr="004F4CFC">
              <w:rPr>
                <w:rFonts w:eastAsia="Times New Roman"/>
                <w:sz w:val="18"/>
                <w:szCs w:val="24"/>
              </w:rPr>
              <w:t>týden</w:t>
            </w:r>
            <w:r w:rsidRPr="004F4CFC">
              <w:rPr>
                <w:rFonts w:eastAsia="Times New Roman"/>
                <w:sz w:val="18"/>
                <w:szCs w:val="24"/>
              </w:rPr>
              <w:t>) pro všechny právnické osoby (provozovatelé</w:t>
            </w:r>
            <w:r w:rsidR="00080432"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AISG.</w:t>
            </w:r>
          </w:p>
          <w:p w14:paraId="34FC8708" w14:textId="77777777" w:rsidR="00557B52" w:rsidRPr="004F4CFC" w:rsidRDefault="00557B52" w:rsidP="00DD29C4">
            <w:pPr>
              <w:pStyle w:val="Odstavecseseznamem"/>
              <w:numPr>
                <w:ilvl w:val="1"/>
                <w:numId w:val="16"/>
              </w:numPr>
              <w:ind w:left="317" w:hanging="317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Předávání informace o bezúhonnosti</w:t>
            </w:r>
          </w:p>
          <w:p w14:paraId="56D4FE45" w14:textId="3CA9D223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="00247600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247600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442B7808" w14:textId="43642F5C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="00247600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Rejstřík trestů.</w:t>
            </w:r>
          </w:p>
          <w:p w14:paraId="52A89203" w14:textId="0B9B125A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AISG přes </w:t>
            </w:r>
            <w:proofErr w:type="spellStart"/>
            <w:r w:rsidR="00247600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</w:t>
            </w:r>
            <w:r w:rsidR="00D54DCA">
              <w:rPr>
                <w:rFonts w:eastAsia="Times New Roman"/>
                <w:sz w:val="18"/>
                <w:szCs w:val="24"/>
              </w:rPr>
              <w:t xml:space="preserve">zasílá </w:t>
            </w:r>
            <w:r w:rsidRPr="004F4CFC">
              <w:rPr>
                <w:rFonts w:eastAsia="Times New Roman"/>
                <w:sz w:val="18"/>
                <w:szCs w:val="24"/>
              </w:rPr>
              <w:t>IČO / AIFO (u fyzických osob).</w:t>
            </w:r>
          </w:p>
          <w:p w14:paraId="27F66564" w14:textId="59EF5298" w:rsidR="00557B52" w:rsidRPr="004F4CFC" w:rsidRDefault="00247600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557B52" w:rsidRPr="004F4CFC">
              <w:rPr>
                <w:rFonts w:eastAsia="Times New Roman"/>
                <w:sz w:val="18"/>
                <w:szCs w:val="24"/>
              </w:rPr>
              <w:t xml:space="preserve"> vrací informaci, zda je dané IČO</w:t>
            </w:r>
            <w:r w:rsidR="002B018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557B52" w:rsidRPr="004F4CFC">
              <w:rPr>
                <w:rFonts w:eastAsia="Times New Roman"/>
                <w:sz w:val="18"/>
                <w:szCs w:val="24"/>
              </w:rPr>
              <w:t>/</w:t>
            </w:r>
            <w:r w:rsidR="002B018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557B52" w:rsidRPr="004F4CFC">
              <w:rPr>
                <w:rFonts w:eastAsia="Times New Roman"/>
                <w:sz w:val="18"/>
                <w:szCs w:val="24"/>
              </w:rPr>
              <w:t>AIFO vedeno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557B52" w:rsidRPr="004F4CFC">
              <w:rPr>
                <w:rFonts w:eastAsia="Times New Roman"/>
                <w:sz w:val="18"/>
                <w:szCs w:val="24"/>
              </w:rPr>
              <w:t>Rejstříku trestů.</w:t>
            </w:r>
          </w:p>
          <w:p w14:paraId="7D375AFC" w14:textId="3BE7A9A8" w:rsidR="00557B52" w:rsidRDefault="00557B52" w:rsidP="00C83FED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okamžiku zadávání daného subjektu do AISG, tak pravidelně (1x za </w:t>
            </w:r>
            <w:r w:rsidR="00637341" w:rsidRPr="004F4CFC">
              <w:rPr>
                <w:rFonts w:eastAsia="Times New Roman"/>
                <w:sz w:val="18"/>
                <w:szCs w:val="24"/>
              </w:rPr>
              <w:t>týden</w:t>
            </w:r>
            <w:r w:rsidRPr="004F4CFC">
              <w:rPr>
                <w:rFonts w:eastAsia="Times New Roman"/>
                <w:sz w:val="18"/>
                <w:szCs w:val="24"/>
              </w:rPr>
              <w:t>) pro všechny právnické osoby (provozovatelé</w:t>
            </w:r>
            <w:r w:rsidR="00080432"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</w:t>
            </w:r>
            <w:r w:rsidR="00CB59FF">
              <w:rPr>
                <w:rFonts w:eastAsia="Times New Roman"/>
                <w:sz w:val="18"/>
                <w:szCs w:val="24"/>
              </w:rPr>
              <w:t>.</w:t>
            </w:r>
          </w:p>
          <w:p w14:paraId="656E68EE" w14:textId="77777777" w:rsidR="00A073B6" w:rsidRDefault="00A073B6" w:rsidP="00CE2A81">
            <w:pPr>
              <w:pStyle w:val="Odstavecseseznamem"/>
              <w:ind w:left="743"/>
              <w:jc w:val="both"/>
              <w:rPr>
                <w:rFonts w:eastAsia="Times New Roman"/>
                <w:sz w:val="18"/>
                <w:szCs w:val="24"/>
              </w:rPr>
            </w:pPr>
          </w:p>
          <w:p w14:paraId="29FD9FD7" w14:textId="41645D2F" w:rsidR="00A073B6" w:rsidRPr="004F4CFC" w:rsidRDefault="00A073B6" w:rsidP="00A073B6">
            <w:pPr>
              <w:pStyle w:val="Odstavecseseznamem"/>
              <w:numPr>
                <w:ilvl w:val="1"/>
                <w:numId w:val="16"/>
              </w:numPr>
              <w:ind w:left="317" w:hanging="317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Předávání informace o </w:t>
            </w:r>
            <w:r>
              <w:rPr>
                <w:rFonts w:eastAsia="Times New Roman"/>
                <w:sz w:val="18"/>
                <w:szCs w:val="24"/>
              </w:rPr>
              <w:t>osobách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>úpadku</w:t>
            </w:r>
          </w:p>
          <w:p w14:paraId="01E9CC42" w14:textId="39C8CF65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014DA898" w14:textId="2632BE2A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</w:t>
            </w:r>
            <w:r>
              <w:rPr>
                <w:rFonts w:eastAsia="Times New Roman"/>
                <w:sz w:val="18"/>
                <w:szCs w:val="24"/>
              </w:rPr>
              <w:t>Insolvenční r</w:t>
            </w:r>
            <w:r w:rsidRPr="004F4CFC">
              <w:rPr>
                <w:rFonts w:eastAsia="Times New Roman"/>
                <w:sz w:val="18"/>
                <w:szCs w:val="24"/>
              </w:rPr>
              <w:t>ejstřík.</w:t>
            </w:r>
          </w:p>
          <w:p w14:paraId="1B496D92" w14:textId="2B26A99B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lastRenderedPageBreak/>
              <w:t xml:space="preserve">AISG přes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>
              <w:rPr>
                <w:rFonts w:eastAsia="Times New Roman"/>
                <w:sz w:val="18"/>
                <w:szCs w:val="24"/>
              </w:rPr>
              <w:t xml:space="preserve"> službu </w:t>
            </w:r>
            <w:r w:rsidR="00D54DCA">
              <w:rPr>
                <w:rFonts w:eastAsia="Times New Roman"/>
                <w:sz w:val="18"/>
                <w:szCs w:val="24"/>
              </w:rPr>
              <w:t xml:space="preserve">zasílá </w:t>
            </w:r>
            <w:r>
              <w:rPr>
                <w:rFonts w:eastAsia="Times New Roman"/>
                <w:sz w:val="18"/>
                <w:szCs w:val="24"/>
              </w:rPr>
              <w:t>IČO</w:t>
            </w:r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6AFD33CD" w14:textId="67C92736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vrací informaci, zda je dané IČO</w:t>
            </w:r>
            <w:r>
              <w:rPr>
                <w:rFonts w:eastAsia="Times New Roman"/>
                <w:sz w:val="18"/>
                <w:szCs w:val="24"/>
              </w:rPr>
              <w:t xml:space="preserve"> vedeno</w:t>
            </w:r>
            <w:r w:rsidRPr="004F4CFC">
              <w:rPr>
                <w:rFonts w:eastAsia="Times New Roman"/>
                <w:sz w:val="18"/>
                <w:szCs w:val="24"/>
              </w:rPr>
              <w:t xml:space="preserve">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>Insolvenčním r</w:t>
            </w:r>
            <w:r w:rsidRPr="004F4CFC">
              <w:rPr>
                <w:rFonts w:eastAsia="Times New Roman"/>
                <w:sz w:val="18"/>
                <w:szCs w:val="24"/>
              </w:rPr>
              <w:t>ejstříku.</w:t>
            </w:r>
          </w:p>
          <w:p w14:paraId="329C812D" w14:textId="28D25CCB" w:rsidR="00A073B6" w:rsidRPr="00CE2A81" w:rsidRDefault="00A073B6" w:rsidP="00CE2A81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okamžiku zadávání daného subjektu do AISG, tak pravidelně (1x za týden) pro všechny právnické osoby (provozovatelé</w:t>
            </w:r>
            <w:r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AISG.</w:t>
            </w:r>
          </w:p>
        </w:tc>
      </w:tr>
      <w:tr w:rsidR="001848E3" w:rsidRPr="004F4CFC" w14:paraId="20A33479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22548CD" w14:textId="47319B5A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lastRenderedPageBreak/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B66B07E" w14:textId="115DAC3A" w:rsidR="001848E3" w:rsidRPr="004F4CFC" w:rsidDel="006D2FF8" w:rsidRDefault="00A337B7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ADIS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1AD" w14:textId="1F9AB9B3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66F853E" w14:textId="77777777" w:rsidR="001848E3" w:rsidRPr="004F4CFC" w:rsidRDefault="001848E3" w:rsidP="00845046">
            <w:pPr>
              <w:pStyle w:val="Odstavecseseznamem"/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Předávání informace o bezdlužnosti u FS</w:t>
            </w:r>
          </w:p>
          <w:p w14:paraId="2F578ADE" w14:textId="77777777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založeno na výměně XML zpráv formou Web Service</w:t>
            </w:r>
          </w:p>
          <w:p w14:paraId="4C773D7D" w14:textId="293EA2C0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Na straně IS FS se jedná a službu registru osob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nedoplatkem u Finanční správy.</w:t>
            </w:r>
          </w:p>
          <w:p w14:paraId="157ED242" w14:textId="1E3A6FF6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zasílá IČO</w:t>
            </w:r>
            <w:r w:rsidR="008434D1">
              <w:rPr>
                <w:rFonts w:eastAsia="Times New Roman"/>
                <w:sz w:val="18"/>
                <w:szCs w:val="24"/>
              </w:rPr>
              <w:t xml:space="preserve"> (v případě zahraničních subjektů </w:t>
            </w:r>
            <w:r w:rsidR="008434D1">
              <w:t>vlastní číslo plátce (VČP))</w:t>
            </w:r>
            <w:r w:rsidRPr="004F4CFC">
              <w:rPr>
                <w:rFonts w:eastAsia="Times New Roman"/>
                <w:sz w:val="18"/>
                <w:szCs w:val="24"/>
              </w:rPr>
              <w:t>, ISFS vrací informaci, zda je dané IČO</w:t>
            </w:r>
            <w:r w:rsidR="008434D1">
              <w:rPr>
                <w:rFonts w:eastAsia="Times New Roman"/>
                <w:sz w:val="18"/>
                <w:szCs w:val="24"/>
              </w:rPr>
              <w:t xml:space="preserve">/VČP </w:t>
            </w:r>
            <w:r w:rsidRPr="004F4CFC">
              <w:rPr>
                <w:rFonts w:eastAsia="Times New Roman"/>
                <w:sz w:val="18"/>
                <w:szCs w:val="24"/>
              </w:rPr>
              <w:t>vedeno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registru dlužníků.</w:t>
            </w:r>
          </w:p>
          <w:p w14:paraId="34B1B616" w14:textId="78BFDB61" w:rsidR="001848E3" w:rsidRPr="004F4CFC" w:rsidRDefault="001848E3" w:rsidP="00C83FED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okamžiku zadávání daného subjektu do AISG, tak pravidelně (1x za </w:t>
            </w:r>
            <w:r w:rsidR="00637341" w:rsidRPr="004F4CFC">
              <w:rPr>
                <w:rFonts w:eastAsia="Times New Roman"/>
                <w:sz w:val="18"/>
                <w:szCs w:val="24"/>
              </w:rPr>
              <w:t>týden</w:t>
            </w:r>
            <w:r w:rsidRPr="004F4CFC">
              <w:rPr>
                <w:rFonts w:eastAsia="Times New Roman"/>
                <w:sz w:val="18"/>
                <w:szCs w:val="24"/>
              </w:rPr>
              <w:t>) pro všechny právnické osoby (provozovatelé</w:t>
            </w:r>
            <w:r w:rsidR="00080432"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 (cca 100 subjektů).</w:t>
            </w:r>
          </w:p>
        </w:tc>
      </w:tr>
      <w:tr w:rsidR="001848E3" w:rsidRPr="004F4CFC" w14:paraId="5AD2E5A9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016D6739" w14:textId="59FCA111" w:rsidR="001848E3" w:rsidRPr="004F4CFC" w:rsidRDefault="001848E3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JIP</w:t>
            </w:r>
            <w:r w:rsidR="002B018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/KAAS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D1DA848" w14:textId="3CF31B03" w:rsidR="001848E3" w:rsidRPr="004F4CFC" w:rsidRDefault="005564A2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AM veřejná správa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34C" w14:textId="7777777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1CA2A8D" w14:textId="61ACC578" w:rsidR="001848E3" w:rsidRPr="004F4CFC" w:rsidRDefault="001848E3" w:rsidP="00DD29C4">
            <w:pPr>
              <w:pStyle w:val="Odstavecseseznamem"/>
              <w:numPr>
                <w:ilvl w:val="1"/>
                <w:numId w:val="17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Autentizace a autorizace uživatelů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veřejné správy pracujících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</w:t>
            </w:r>
          </w:p>
          <w:p w14:paraId="53CF4B4C" w14:textId="5D3D4154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JIP/KAAS předává token a role ke konkrétní osobě při jejím přihlášení.</w:t>
            </w:r>
          </w:p>
          <w:p w14:paraId="528887E9" w14:textId="283B1728" w:rsidR="001848E3" w:rsidRPr="004F4CFC" w:rsidRDefault="001848E3" w:rsidP="00C77F7C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Forma komunikace je podle standardu JIP/KAAS.</w:t>
            </w:r>
          </w:p>
        </w:tc>
      </w:tr>
      <w:tr w:rsidR="001848E3" w:rsidRPr="004F4CFC" w14:paraId="68DEC331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037670E0" w14:textId="7DF41F23" w:rsidR="001848E3" w:rsidRPr="004F4CFC" w:rsidRDefault="001848E3" w:rsidP="00965F7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1D4E50A" w14:textId="64969C48" w:rsidR="001848E3" w:rsidRPr="004F4CFC" w:rsidRDefault="001848E3" w:rsidP="00777BCA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C29" w14:textId="7777777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B6A772E" w14:textId="3C208142" w:rsidR="001848E3" w:rsidRPr="004F4CFC" w:rsidRDefault="001848E3" w:rsidP="00DD29C4">
            <w:pPr>
              <w:pStyle w:val="Odstavecseseznamem"/>
              <w:numPr>
                <w:ilvl w:val="1"/>
                <w:numId w:val="18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Identifikace osob pobírajících dávky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hmotné nouzi</w:t>
            </w:r>
          </w:p>
          <w:p w14:paraId="3E6B18F2" w14:textId="452E01E2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2DA8D1DC" w14:textId="110B1C5D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MPSV – registr osob pobírajících dávky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hmotné nouzi.</w:t>
            </w:r>
          </w:p>
          <w:p w14:paraId="2EE55C19" w14:textId="724BC66B" w:rsidR="001848E3" w:rsidRPr="004F4CFC" w:rsidRDefault="00F91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MPSV 1x denně </w:t>
            </w:r>
            <w:r w:rsidR="002C565D" w:rsidRPr="004F4CFC">
              <w:rPr>
                <w:rFonts w:eastAsia="Times New Roman"/>
                <w:sz w:val="18"/>
                <w:szCs w:val="24"/>
              </w:rPr>
              <w:t xml:space="preserve">(dávkovou replikací) 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předává AISG </w:t>
            </w:r>
            <w:r w:rsidR="00DE21EE" w:rsidRPr="004F4CFC">
              <w:rPr>
                <w:rFonts w:eastAsia="Times New Roman"/>
                <w:sz w:val="18"/>
                <w:szCs w:val="24"/>
              </w:rPr>
              <w:t>údaje</w:t>
            </w:r>
            <w:r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DE21EE" w:rsidRPr="004F4CFC">
              <w:rPr>
                <w:rFonts w:eastAsia="Times New Roman"/>
                <w:sz w:val="18"/>
                <w:szCs w:val="24"/>
              </w:rPr>
              <w:t>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registru osob pobírajících dávky</w:t>
            </w:r>
            <w:r w:rsidR="001848E3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300AE5D4" w14:textId="6007DE45" w:rsidR="001848E3" w:rsidRPr="004F4CFC" w:rsidRDefault="001848E3" w:rsidP="00DD29C4">
            <w:pPr>
              <w:pStyle w:val="Odstavecseseznamem"/>
              <w:numPr>
                <w:ilvl w:val="1"/>
                <w:numId w:val="18"/>
              </w:numPr>
              <w:ind w:left="317" w:hanging="283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Identifikace osob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úpadku</w:t>
            </w:r>
          </w:p>
          <w:p w14:paraId="2D1FB914" w14:textId="3EA0A7FC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350BFD8C" w14:textId="1A8CA2EC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</w:t>
            </w:r>
            <w:r w:rsidR="00A073B6">
              <w:rPr>
                <w:rFonts w:eastAsia="Times New Roman"/>
                <w:sz w:val="18"/>
                <w:szCs w:val="24"/>
              </w:rPr>
              <w:t>Insolvenční rejstřík</w:t>
            </w:r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55CE5D51" w14:textId="5D273312" w:rsidR="001848E3" w:rsidRPr="004F4CFC" w:rsidRDefault="00A073B6" w:rsidP="00965F7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Insolvenční rejstřík</w:t>
            </w:r>
            <w:r w:rsidR="001848E3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F91825" w:rsidRPr="004F4CFC">
              <w:rPr>
                <w:rFonts w:eastAsia="Times New Roman"/>
                <w:sz w:val="18"/>
                <w:szCs w:val="24"/>
              </w:rPr>
              <w:t xml:space="preserve">1x denně </w:t>
            </w:r>
            <w:r w:rsidR="002C565D" w:rsidRPr="004F4CFC">
              <w:rPr>
                <w:rFonts w:eastAsia="Times New Roman"/>
                <w:sz w:val="18"/>
                <w:szCs w:val="24"/>
              </w:rPr>
              <w:t xml:space="preserve">(dávkovou replikací) </w:t>
            </w:r>
            <w:r w:rsidR="00F91825" w:rsidRPr="004F4CFC">
              <w:rPr>
                <w:rFonts w:eastAsia="Times New Roman"/>
                <w:sz w:val="18"/>
                <w:szCs w:val="24"/>
              </w:rPr>
              <w:t xml:space="preserve">předává AISG </w:t>
            </w:r>
            <w:r w:rsidR="00DE21EE" w:rsidRPr="004F4CFC">
              <w:rPr>
                <w:rFonts w:eastAsia="Times New Roman"/>
                <w:sz w:val="18"/>
                <w:szCs w:val="24"/>
              </w:rPr>
              <w:t>údaje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F91825" w:rsidRPr="004F4CFC">
              <w:rPr>
                <w:rFonts w:eastAsia="Times New Roman"/>
                <w:sz w:val="18"/>
                <w:szCs w:val="24"/>
              </w:rPr>
              <w:t>registru osob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F91825" w:rsidRPr="004F4CFC">
              <w:rPr>
                <w:rFonts w:eastAsia="Times New Roman"/>
                <w:sz w:val="18"/>
                <w:szCs w:val="24"/>
              </w:rPr>
              <w:t>úpadku</w:t>
            </w:r>
            <w:r w:rsidR="001848E3" w:rsidRPr="004F4CFC">
              <w:rPr>
                <w:rFonts w:eastAsia="Times New Roman"/>
                <w:sz w:val="18"/>
                <w:szCs w:val="24"/>
              </w:rPr>
              <w:t>.</w:t>
            </w:r>
          </w:p>
        </w:tc>
      </w:tr>
      <w:tr w:rsidR="001848E3" w:rsidRPr="004F4CFC" w14:paraId="0008E13E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44F66553" w14:textId="6F69060B" w:rsidR="001848E3" w:rsidRPr="004F4CFC" w:rsidRDefault="001848E3" w:rsidP="006E28C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EPP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B99EA5C" w14:textId="2B19BDCC" w:rsidR="001848E3" w:rsidRPr="004F4CFC" w:rsidRDefault="001848E3" w:rsidP="006E28C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F0B" w14:textId="2806FC2E" w:rsidR="001848E3" w:rsidRPr="004F4CFC" w:rsidRDefault="002D7588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6F9E59" w14:textId="77777777" w:rsidR="002D7588" w:rsidRPr="004F4CFC" w:rsidRDefault="002D7588" w:rsidP="002D7588">
            <w:pPr>
              <w:pStyle w:val="Odstavecseseznamem"/>
              <w:numPr>
                <w:ilvl w:val="1"/>
                <w:numId w:val="20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Předání dat o správním řízení</w:t>
            </w:r>
          </w:p>
          <w:p w14:paraId="731A95DE" w14:textId="43DF2390" w:rsidR="002D7588" w:rsidRPr="004F4CFC" w:rsidRDefault="002D7588" w:rsidP="002D7588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IS EPP volá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AISG a předává data o realizovaném správním řízení vedeném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systému EPP a pokutách. Minimální obsah předávaných dat:</w:t>
            </w:r>
          </w:p>
          <w:p w14:paraId="5DF4682C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unikátní ID správního řízení / pokuty,</w:t>
            </w:r>
          </w:p>
          <w:p w14:paraId="044D4A03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základní informace o správním řízení / pokutě (účastníci správního řízení, údaje ztotožněné vůči ISZR),</w:t>
            </w:r>
          </w:p>
          <w:p w14:paraId="241D0964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unikátní ID kontroly, ke kterému se správní řízení / pokuta váže,</w:t>
            </w:r>
          </w:p>
          <w:p w14:paraId="08FE12EE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částka,</w:t>
            </w:r>
          </w:p>
          <w:p w14:paraId="1628E086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stav správního řízení,</w:t>
            </w:r>
          </w:p>
          <w:p w14:paraId="393A20AA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právní kvalifikace,</w:t>
            </w:r>
          </w:p>
          <w:p w14:paraId="0603E524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výsledek správního řízení,</w:t>
            </w:r>
          </w:p>
          <w:p w14:paraId="5E7A3F36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přílohy (soubory).</w:t>
            </w:r>
          </w:p>
          <w:p w14:paraId="12D7F01C" w14:textId="3711B96B" w:rsidR="002D7588" w:rsidRPr="004F4CFC" w:rsidRDefault="002D7588" w:rsidP="002D7588">
            <w:pPr>
              <w:jc w:val="both"/>
              <w:rPr>
                <w:rFonts w:eastAsia="Times New Roman"/>
                <w:i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lastRenderedPageBreak/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: Rozhraní je online ve smyslu synchronního volání jedné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pro každé správní řízení. Rozhraní lze použít kdykoliv, ale předpokládá se jeho volání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plánovaném režimu, např. 1x denně pro všechna správní řízení realizovaná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daný den.</w:t>
            </w:r>
          </w:p>
          <w:p w14:paraId="2DD92FBB" w14:textId="36B976F8" w:rsidR="001848E3" w:rsidRPr="004F4CFC" w:rsidRDefault="002D7588" w:rsidP="00301988"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>: Předávané přílohy jsou uloženy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 xml:space="preserve">DMS jako kopie originálních příloh uložených (a dlouhodobě archivovaných) ve spisové službě CS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. Přímé spojení AISG do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není, AISG pracuje s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kopiemi.</w:t>
            </w:r>
          </w:p>
        </w:tc>
      </w:tr>
      <w:tr w:rsidR="001848E3" w:rsidRPr="004F4CFC" w14:paraId="0041E555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FB5C5DC" w14:textId="7777777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lastRenderedPageBreak/>
              <w:t>Mobilní dohled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B748DEC" w14:textId="7F04C30A" w:rsidR="001848E3" w:rsidRPr="004F4CFC" w:rsidRDefault="001848E3" w:rsidP="006E28C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7BC" w14:textId="7BF0B3A6" w:rsidR="001848E3" w:rsidRPr="004F4CFC" w:rsidRDefault="002D7588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596FC3A" w14:textId="77777777" w:rsidR="002D7588" w:rsidRPr="004F4CFC" w:rsidRDefault="002D7588" w:rsidP="002D7588">
            <w:pPr>
              <w:pStyle w:val="Odstavecseseznamem"/>
              <w:numPr>
                <w:ilvl w:val="1"/>
                <w:numId w:val="21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Předání dat o realizovaných kontrolách</w:t>
            </w:r>
          </w:p>
          <w:p w14:paraId="2C57144A" w14:textId="77777777" w:rsidR="002D7588" w:rsidRPr="004F4CFC" w:rsidRDefault="002D7588" w:rsidP="002D7588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IS Mobilní dohled volá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AISG a předává data o realizované kontrole. Minimální obsah předávaných dat:</w:t>
            </w:r>
          </w:p>
          <w:p w14:paraId="23B21ED8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unikátní ID kontroly,</w:t>
            </w:r>
          </w:p>
          <w:p w14:paraId="035614A5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základní údaje o kontrole (kdo, kde, kontrolovaný subjekt; údaje ztotožněné vůči ISZR),</w:t>
            </w:r>
          </w:p>
          <w:p w14:paraId="1862BF0F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typ kontroly (z číselníku),</w:t>
            </w:r>
          </w:p>
          <w:p w14:paraId="1F485002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výsledek kontroly (z číselníku),</w:t>
            </w:r>
          </w:p>
          <w:p w14:paraId="343220FD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komentář, </w:t>
            </w:r>
          </w:p>
          <w:p w14:paraId="02284F99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přílohy (soubory).</w:t>
            </w:r>
          </w:p>
          <w:p w14:paraId="5F825135" w14:textId="5FCAB0C2" w:rsidR="002D7588" w:rsidRPr="004F4CFC" w:rsidRDefault="002D7588" w:rsidP="002D7588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Vzhledem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časovému rozdílu mezi zadáním kontroly do systému a uzavřením kontroly se předpokládá předání údajů minimálně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okamžiku zadání kontroly a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okamžiku jejího uzavření.</w:t>
            </w:r>
          </w:p>
          <w:p w14:paraId="25725A0A" w14:textId="5E7269F2" w:rsidR="002D7588" w:rsidRPr="004F4CFC" w:rsidRDefault="002D7588" w:rsidP="002D7588">
            <w:pPr>
              <w:jc w:val="both"/>
              <w:rPr>
                <w:rFonts w:eastAsia="Times New Roman"/>
                <w:i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: Rozhraní je online ve smyslu synchronního volání jedné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pro každou kontrolu. Rozhraní lze použít kdykoliv, ale předpokládá se jeho volání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plánovaném režimu, např. 1x denně pro všechny kontroly zadané a uzavřené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daný den.</w:t>
            </w:r>
          </w:p>
          <w:p w14:paraId="0B84C9E4" w14:textId="5A3B44E6" w:rsidR="001848E3" w:rsidRPr="004F4CFC" w:rsidRDefault="002D7588" w:rsidP="00301988"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>: Předávané přílohy jsou uloženy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 xml:space="preserve">DMS jako kopie originálních příloh uložených (a dlouhodobě archivovaných) ve spisové službě CS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. Přímé spojení AISG do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není, AISG pracuje s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kopiemi.</w:t>
            </w:r>
          </w:p>
        </w:tc>
      </w:tr>
      <w:tr w:rsidR="001848E3" w:rsidRPr="004F4CFC" w14:paraId="63DF2028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1409CE5D" w14:textId="67B7DD6F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SDSL</w:t>
            </w:r>
            <w:r w:rsidR="005D00A3" w:rsidRPr="004F4CFC">
              <w:rPr>
                <w:rFonts w:eastAsia="Times New Roman"/>
                <w:sz w:val="18"/>
                <w:szCs w:val="24"/>
              </w:rPr>
              <w:t xml:space="preserve"> (MF)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73E9043" w14:textId="20FB5F07" w:rsidR="001848E3" w:rsidRPr="004F4CFC" w:rsidRDefault="001848E3" w:rsidP="000111AB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950" w14:textId="32486F6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BD635E9" w14:textId="57EEFB46" w:rsidR="001848E3" w:rsidRPr="004F4CFC" w:rsidRDefault="001848E3" w:rsidP="008053AF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mezi stávajícím systémem pro státní dozor (SDSL) a AISG. Detailnější informace jsou obsaženy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8053AF">
              <w:rPr>
                <w:rFonts w:eastAsia="Times New Roman"/>
                <w:sz w:val="18"/>
                <w:szCs w:val="24"/>
              </w:rPr>
              <w:t>P</w:t>
            </w:r>
            <w:r w:rsidR="008053AF" w:rsidRPr="004F4CFC">
              <w:rPr>
                <w:rFonts w:eastAsia="Times New Roman"/>
                <w:sz w:val="18"/>
                <w:szCs w:val="24"/>
              </w:rPr>
              <w:t xml:space="preserve">říloze </w:t>
            </w:r>
            <w:r w:rsidR="0017369D" w:rsidRPr="004F4CFC">
              <w:rPr>
                <w:rFonts w:eastAsia="Times New Roman"/>
                <w:sz w:val="18"/>
                <w:szCs w:val="24"/>
              </w:rPr>
              <w:t xml:space="preserve">č. 3 </w:t>
            </w:r>
            <w:r w:rsidR="00E1210A" w:rsidRPr="004F4CFC">
              <w:rPr>
                <w:rFonts w:eastAsia="Times New Roman"/>
                <w:sz w:val="18"/>
                <w:szCs w:val="24"/>
              </w:rPr>
              <w:t>Smlouvy</w:t>
            </w:r>
            <w:r w:rsidR="0017369D" w:rsidRPr="004F4CFC">
              <w:rPr>
                <w:rFonts w:eastAsia="Times New Roman"/>
                <w:sz w:val="18"/>
                <w:szCs w:val="24"/>
              </w:rPr>
              <w:t>.</w:t>
            </w:r>
          </w:p>
        </w:tc>
      </w:tr>
      <w:tr w:rsidR="006F1898" w:rsidRPr="004F4CFC" w14:paraId="4D1275C8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2075DEFC" w14:textId="36ACCDC4" w:rsidR="006F1898" w:rsidRPr="004F4CFC" w:rsidRDefault="006F1898" w:rsidP="006F1898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DB správní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4F83BBE" w14:textId="5F0B3BB5" w:rsidR="006F1898" w:rsidRPr="004F4CFC" w:rsidRDefault="00FE7036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ADIS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BD4" w14:textId="77777777" w:rsidR="006F1898" w:rsidRPr="004F4CFC" w:rsidRDefault="006F189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3EA57E3" w14:textId="5D226B31" w:rsidR="006F1898" w:rsidRPr="004F4CFC" w:rsidRDefault="006F1898" w:rsidP="00DD29C4">
            <w:pPr>
              <w:pStyle w:val="Odstavecseseznamem"/>
              <w:numPr>
                <w:ilvl w:val="0"/>
                <w:numId w:val="62"/>
              </w:num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Zajištění podkladů pro kontrolu daňových přiznání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dani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hazardních her</w:t>
            </w:r>
          </w:p>
          <w:p w14:paraId="403A6333" w14:textId="0C771956" w:rsidR="006F1898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Systém bude předávat informace pro kontrolu údajů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daňových přiznáních provozovatelů. </w:t>
            </w:r>
          </w:p>
          <w:p w14:paraId="1AFC7D29" w14:textId="05047A40" w:rsidR="006F1898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Údaje</w:t>
            </w:r>
            <w:r w:rsidR="00741F38">
              <w:rPr>
                <w:rFonts w:eastAsia="Times New Roman"/>
                <w:sz w:val="18"/>
                <w:szCs w:val="24"/>
              </w:rPr>
              <w:t xml:space="preserve"> o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6C40E7DB" w14:textId="4B272A74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 xml:space="preserve">jednotlivých </w:t>
            </w:r>
            <w:proofErr w:type="gramStart"/>
            <w:r w:rsidRPr="00741F38">
              <w:rPr>
                <w:rFonts w:eastAsia="Times New Roman"/>
                <w:sz w:val="18"/>
                <w:szCs w:val="24"/>
              </w:rPr>
              <w:t>provozovatelích</w:t>
            </w:r>
            <w:proofErr w:type="gramEnd"/>
            <w:r w:rsidRPr="00741F38">
              <w:rPr>
                <w:rFonts w:eastAsia="Times New Roman"/>
                <w:sz w:val="18"/>
                <w:szCs w:val="24"/>
              </w:rPr>
              <w:t xml:space="preserve"> – DIČ/VČP, název provozovatele, sídlo</w:t>
            </w:r>
            <w:r w:rsidR="008434D1">
              <w:rPr>
                <w:rFonts w:eastAsia="Times New Roman"/>
                <w:sz w:val="18"/>
                <w:szCs w:val="24"/>
              </w:rPr>
              <w:t>, včetně státu sídla u zahraničních provozovatelů</w:t>
            </w:r>
          </w:p>
          <w:p w14:paraId="110BB353" w14:textId="77777777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druhu hazardní hry a způsobu jejího provozována (</w:t>
            </w:r>
            <w:proofErr w:type="spellStart"/>
            <w:r w:rsidRPr="00741F38">
              <w:rPr>
                <w:rFonts w:eastAsia="Times New Roman"/>
                <w:sz w:val="18"/>
                <w:szCs w:val="24"/>
              </w:rPr>
              <w:t>land-based</w:t>
            </w:r>
            <w:proofErr w:type="spellEnd"/>
            <w:r w:rsidRPr="00741F38">
              <w:rPr>
                <w:rFonts w:eastAsia="Times New Roman"/>
                <w:sz w:val="18"/>
                <w:szCs w:val="24"/>
              </w:rPr>
              <w:t>/internet)</w:t>
            </w:r>
          </w:p>
          <w:p w14:paraId="08EB26E3" w14:textId="77777777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základním povolení – číslo jednací, datum nabytí právní moci, platnost povolení (od-do), typ rozhodnutí (povolení, změna, zrušení)</w:t>
            </w:r>
          </w:p>
          <w:p w14:paraId="403F7AA0" w14:textId="7F410652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 xml:space="preserve">umístění herního prostoru </w:t>
            </w:r>
            <w:r w:rsidR="005F2AEE">
              <w:rPr>
                <w:rFonts w:eastAsia="Times New Roman"/>
                <w:sz w:val="18"/>
                <w:szCs w:val="24"/>
              </w:rPr>
              <w:t>–</w:t>
            </w:r>
            <w:r w:rsidRPr="00741F38">
              <w:rPr>
                <w:rFonts w:eastAsia="Times New Roman"/>
                <w:sz w:val="18"/>
                <w:szCs w:val="24"/>
              </w:rPr>
              <w:t xml:space="preserve"> číslo jednací povolení, datum nabytí právní moci, platnost povolení (</w:t>
            </w:r>
            <w:proofErr w:type="gramStart"/>
            <w:r w:rsidRPr="00741F38">
              <w:rPr>
                <w:rFonts w:eastAsia="Times New Roman"/>
                <w:sz w:val="18"/>
                <w:szCs w:val="24"/>
              </w:rPr>
              <w:t>od</w:t>
            </w:r>
            <w:proofErr w:type="gramEnd"/>
            <w:r w:rsidRPr="00741F38">
              <w:rPr>
                <w:rFonts w:eastAsia="Times New Roman"/>
                <w:sz w:val="18"/>
                <w:szCs w:val="24"/>
              </w:rPr>
              <w:t xml:space="preserve"> –</w:t>
            </w:r>
            <w:proofErr w:type="gramStart"/>
            <w:r w:rsidRPr="00741F38">
              <w:rPr>
                <w:rFonts w:eastAsia="Times New Roman"/>
                <w:sz w:val="18"/>
                <w:szCs w:val="24"/>
              </w:rPr>
              <w:t>do</w:t>
            </w:r>
            <w:proofErr w:type="gramEnd"/>
            <w:r w:rsidRPr="00741F38">
              <w:rPr>
                <w:rFonts w:eastAsia="Times New Roman"/>
                <w:sz w:val="18"/>
                <w:szCs w:val="24"/>
              </w:rPr>
              <w:t xml:space="preserve">), uvedení </w:t>
            </w:r>
            <w:r w:rsidRPr="00741F38">
              <w:rPr>
                <w:rFonts w:eastAsia="Times New Roman"/>
                <w:sz w:val="18"/>
                <w:szCs w:val="24"/>
              </w:rPr>
              <w:lastRenderedPageBreak/>
              <w:t>typu rozhodnutí (povolení, změna, zrušení), provozovna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uvedením adresy</w:t>
            </w:r>
          </w:p>
          <w:p w14:paraId="5E5033C0" w14:textId="7C9C7763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názvu a adrese herního prostoru ve vazbě na základní povolení/povolení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umístění herního prostoru</w:t>
            </w:r>
          </w:p>
          <w:p w14:paraId="45DE2E9B" w14:textId="77777777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adrese místa, kde bude ohlašovaná hazardní hra provozována</w:t>
            </w:r>
          </w:p>
          <w:p w14:paraId="77AED2B0" w14:textId="3B96DA20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počtu herních pozic jednotlivých povolených koncových zařízení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umístění herního prostoru pro výpočet minimální daně u technických her</w:t>
            </w:r>
          </w:p>
          <w:p w14:paraId="1A18A364" w14:textId="253ACBB4" w:rsidR="00E25F5A" w:rsidRPr="004F4CFC" w:rsidRDefault="00741F38" w:rsidP="00DD29C4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 xml:space="preserve">údaje o herním prostoru </w:t>
            </w:r>
            <w:r w:rsidR="005F2AEE">
              <w:rPr>
                <w:rFonts w:eastAsia="Times New Roman"/>
                <w:sz w:val="18"/>
                <w:szCs w:val="24"/>
              </w:rPr>
              <w:t>–</w:t>
            </w:r>
            <w:r w:rsidRPr="00741F38">
              <w:rPr>
                <w:rFonts w:eastAsia="Times New Roman"/>
                <w:sz w:val="18"/>
                <w:szCs w:val="24"/>
              </w:rPr>
              <w:t xml:space="preserve"> obec/město; ulice; č. popisné/orientační; PSČ; kód obce</w:t>
            </w:r>
          </w:p>
          <w:p w14:paraId="3C151F81" w14:textId="77777777" w:rsidR="00E73B70" w:rsidRPr="004F4CFC" w:rsidRDefault="00E73B70" w:rsidP="00322133">
            <w:pPr>
              <w:pStyle w:val="Odstavecseseznamem"/>
              <w:ind w:left="1081"/>
              <w:rPr>
                <w:rFonts w:eastAsia="Times New Roman"/>
                <w:sz w:val="18"/>
                <w:szCs w:val="24"/>
              </w:rPr>
            </w:pPr>
          </w:p>
          <w:p w14:paraId="51E88504" w14:textId="062A9DA6" w:rsidR="006F1898" w:rsidRPr="004F4CFC" w:rsidRDefault="006F1898" w:rsidP="00DD29C4">
            <w:pPr>
              <w:pStyle w:val="Odstavecseseznamem"/>
              <w:numPr>
                <w:ilvl w:val="0"/>
                <w:numId w:val="62"/>
              </w:num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Zajištění podkladů pro </w:t>
            </w:r>
            <w:r w:rsidR="00260AB4">
              <w:rPr>
                <w:rFonts w:eastAsia="Times New Roman"/>
                <w:sz w:val="18"/>
                <w:szCs w:val="24"/>
              </w:rPr>
              <w:t>převod</w:t>
            </w:r>
            <w:r w:rsidR="00260AB4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daní obcím</w:t>
            </w:r>
          </w:p>
          <w:p w14:paraId="6043D12E" w14:textId="75B4A378" w:rsidR="006F1898" w:rsidRPr="004F4CFC" w:rsidRDefault="00E73B70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Systém bude předávat </w:t>
            </w:r>
            <w:r w:rsidR="006F1898" w:rsidRPr="004F4CFC">
              <w:rPr>
                <w:rFonts w:eastAsia="Times New Roman"/>
                <w:sz w:val="18"/>
                <w:szCs w:val="24"/>
              </w:rPr>
              <w:t>podíl jednotlivých obcí vyjádřený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6F1898" w:rsidRPr="004F4CFC">
              <w:rPr>
                <w:rFonts w:eastAsia="Times New Roman"/>
                <w:sz w:val="18"/>
                <w:szCs w:val="24"/>
              </w:rPr>
              <w:t xml:space="preserve">procentech, kterým se jednotlivé obce podílejí na části celostátního hrubého výnosu daně plynoucího ve zdaňovacím období, </w:t>
            </w:r>
            <w:r w:rsidRPr="004F4CFC">
              <w:rPr>
                <w:rFonts w:eastAsia="Times New Roman"/>
                <w:sz w:val="18"/>
                <w:szCs w:val="24"/>
              </w:rPr>
              <w:t xml:space="preserve">což </w:t>
            </w:r>
            <w:r w:rsidR="0017369D" w:rsidRPr="004F4CFC">
              <w:rPr>
                <w:rFonts w:eastAsia="Times New Roman"/>
                <w:sz w:val="18"/>
                <w:szCs w:val="24"/>
              </w:rPr>
              <w:t>se určí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17369D" w:rsidRPr="004F4CFC">
              <w:rPr>
                <w:rFonts w:eastAsia="Times New Roman"/>
                <w:sz w:val="18"/>
                <w:szCs w:val="24"/>
              </w:rPr>
              <w:t>závislosti na poměru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24BCACAD" w14:textId="4E3EA9BB" w:rsidR="006F1898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a) součtu herních pozic jednotlivých povolených koncových zařízení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umístění herního prostoru, které jsou povoleny na území dané obce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prvnímu dni bezprostředně předcházejícího zdaňovacího období, k</w:t>
            </w:r>
          </w:p>
          <w:p w14:paraId="5B33AFE8" w14:textId="7757AE73" w:rsidR="00E73B70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b) celkovému součtu herních pozic jednotlivých povolených koncových zařízení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umístění herního prostoru, které jsou povoleny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prvnímu dni bezprostředně předcházejícího zdaňovacího období (tj. podle § 7 odst. 3 zákona č. 187/2016 Sb., o dani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hazardních her). </w:t>
            </w:r>
          </w:p>
          <w:p w14:paraId="631C3B0E" w14:textId="2BEEAE64" w:rsidR="006F1898" w:rsidRPr="004F4CFC" w:rsidRDefault="0026520C" w:rsidP="001E1293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Všechny výše uvedené ú</w:t>
            </w:r>
            <w:r w:rsidR="00586C54" w:rsidRPr="004F4CFC">
              <w:rPr>
                <w:rFonts w:eastAsia="Times New Roman"/>
                <w:sz w:val="18"/>
                <w:szCs w:val="24"/>
              </w:rPr>
              <w:t xml:space="preserve">daje 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se budou </w:t>
            </w:r>
            <w:r w:rsidR="006F1898" w:rsidRPr="004F4CFC">
              <w:rPr>
                <w:rFonts w:eastAsia="Times New Roman"/>
                <w:sz w:val="18"/>
                <w:szCs w:val="24"/>
              </w:rPr>
              <w:t xml:space="preserve">předávat nejpozději 1. den </w:t>
            </w:r>
            <w:r w:rsidR="001E1293">
              <w:rPr>
                <w:rFonts w:eastAsia="Times New Roman"/>
                <w:sz w:val="18"/>
                <w:szCs w:val="24"/>
              </w:rPr>
              <w:t xml:space="preserve">následujícího </w:t>
            </w:r>
            <w:r w:rsidR="006F1898" w:rsidRPr="004F4CFC">
              <w:rPr>
                <w:rFonts w:eastAsia="Times New Roman"/>
                <w:sz w:val="18"/>
                <w:szCs w:val="24"/>
              </w:rPr>
              <w:t xml:space="preserve">měsíce </w:t>
            </w:r>
            <w:r w:rsidR="001E1293">
              <w:rPr>
                <w:rFonts w:eastAsia="Times New Roman"/>
                <w:sz w:val="18"/>
                <w:szCs w:val="24"/>
              </w:rPr>
              <w:t xml:space="preserve">po uplynutí </w:t>
            </w:r>
            <w:r w:rsidR="006F1898" w:rsidRPr="004F4CFC">
              <w:rPr>
                <w:rFonts w:eastAsia="Times New Roman"/>
                <w:sz w:val="18"/>
                <w:szCs w:val="24"/>
              </w:rPr>
              <w:t>každého zdaňovacího období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. Data </w:t>
            </w:r>
            <w:r w:rsidR="00D543A5" w:rsidRPr="004F4CFC">
              <w:rPr>
                <w:rFonts w:eastAsia="Times New Roman"/>
                <w:sz w:val="18"/>
                <w:szCs w:val="24"/>
              </w:rPr>
              <w:t xml:space="preserve">budou 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předávána ve formátu </w:t>
            </w:r>
            <w:r w:rsidR="00586C54" w:rsidRPr="004F4CFC">
              <w:rPr>
                <w:rFonts w:eastAsia="Times New Roman"/>
                <w:sz w:val="18"/>
                <w:szCs w:val="24"/>
              </w:rPr>
              <w:t xml:space="preserve">XML přes </w:t>
            </w:r>
            <w:r w:rsidR="00E73B70" w:rsidRPr="004F4CFC">
              <w:rPr>
                <w:rFonts w:eastAsia="Times New Roman"/>
                <w:sz w:val="18"/>
                <w:szCs w:val="24"/>
              </w:rPr>
              <w:t>webov</w:t>
            </w:r>
            <w:r w:rsidR="00586C54" w:rsidRPr="004F4CFC">
              <w:rPr>
                <w:rFonts w:eastAsia="Times New Roman"/>
                <w:sz w:val="18"/>
                <w:szCs w:val="24"/>
              </w:rPr>
              <w:t>é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586C54" w:rsidRPr="004F4CFC">
              <w:rPr>
                <w:rFonts w:eastAsia="Times New Roman"/>
                <w:sz w:val="18"/>
                <w:szCs w:val="24"/>
              </w:rPr>
              <w:t>rozhraní</w:t>
            </w:r>
            <w:r w:rsidR="00E73B70" w:rsidRPr="004F4CFC">
              <w:rPr>
                <w:rFonts w:eastAsia="Times New Roman"/>
                <w:sz w:val="18"/>
                <w:szCs w:val="24"/>
              </w:rPr>
              <w:t>.</w:t>
            </w:r>
          </w:p>
        </w:tc>
      </w:tr>
      <w:tr w:rsidR="00A05AC8" w:rsidRPr="004F4CFC" w14:paraId="62527547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AF80F29" w14:textId="51F0B81E" w:rsidR="00A05AC8" w:rsidRPr="004F4CFC" w:rsidRDefault="00A05AC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lastRenderedPageBreak/>
              <w:t>DMS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96A7A46" w14:textId="2EB201E9" w:rsidR="00A05AC8" w:rsidRPr="004F4CFC" w:rsidDel="00FE7036" w:rsidRDefault="00144B92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EPD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C4E" w14:textId="7A7A058D" w:rsidR="00A05AC8" w:rsidRPr="004F4CFC" w:rsidRDefault="00A05AC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DF4D93A" w14:textId="77777777" w:rsidR="00A05AC8" w:rsidRPr="004F4CFC" w:rsidRDefault="00A05AC8" w:rsidP="00BF56A6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Rozhraní pro přesun dokumentů a vytváření kopií, mj. pro vytvoření dočasné kopie dokumentu z EPD v AISG. </w:t>
            </w:r>
          </w:p>
          <w:p w14:paraId="3301ACE4" w14:textId="67246350" w:rsidR="00736871" w:rsidRPr="004F4CFC" w:rsidRDefault="00736871" w:rsidP="00BF56A6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Rozhraní mezi DMS a EPD musí být v souladu s požadavky na rozhraní mezi ISSD (informační systém spravující dokumenty) a </w:t>
            </w:r>
            <w:proofErr w:type="spellStart"/>
            <w:r w:rsidRPr="004F4CFC">
              <w:rPr>
                <w:sz w:val="18"/>
                <w:szCs w:val="24"/>
              </w:rPr>
              <w:t>eSSL</w:t>
            </w:r>
            <w:proofErr w:type="spellEnd"/>
            <w:r w:rsidRPr="004F4CFC">
              <w:rPr>
                <w:sz w:val="18"/>
                <w:szCs w:val="24"/>
              </w:rPr>
              <w:t xml:space="preserve"> (elektronický systém spisové služby) dané Národním standardem pro elektronické systémy spisové služby (http://www.mvcr.cz/clanek/narodni-standard-pro-elektronicke-systemy-spisove-sluzby.aspx) s tím, že rozhraní musí implementovat události (operace) odpovídající charakteru a funkcionalitě komponenty DMS podle požadavků v přílohách Smlouvy.</w:t>
            </w:r>
          </w:p>
        </w:tc>
      </w:tr>
      <w:tr w:rsidR="00D61B90" w:rsidRPr="004F4CFC" w14:paraId="1BB0FBE0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16B493C" w14:textId="7103B2C8" w:rsidR="00D61B90" w:rsidRPr="004F4CFC" w:rsidRDefault="00D61B90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24"/>
              </w:rPr>
              <w:t>IdM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BE5542C" w14:textId="4363905E" w:rsidR="00D61B90" w:rsidRPr="004F4CFC" w:rsidDel="00144B92" w:rsidRDefault="00D61B90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ISDS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980" w14:textId="3A3B0727" w:rsidR="00D61B90" w:rsidRPr="004F4CFC" w:rsidRDefault="00D61B90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798BF50" w14:textId="7925B292" w:rsidR="00D61B90" w:rsidRDefault="00D61B90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Autentizac</w:t>
            </w:r>
            <w:r w:rsidR="006F1FD0">
              <w:rPr>
                <w:sz w:val="18"/>
                <w:szCs w:val="24"/>
              </w:rPr>
              <w:t>e</w:t>
            </w:r>
            <w:r>
              <w:rPr>
                <w:sz w:val="18"/>
                <w:szCs w:val="24"/>
              </w:rPr>
              <w:t xml:space="preserve"> </w:t>
            </w:r>
            <w:r w:rsidR="006F1FD0">
              <w:rPr>
                <w:sz w:val="18"/>
                <w:szCs w:val="24"/>
              </w:rPr>
              <w:t xml:space="preserve">majitelů datových schránek (primárně </w:t>
            </w:r>
            <w:r w:rsidRPr="002505A1">
              <w:rPr>
                <w:sz w:val="18"/>
                <w:szCs w:val="24"/>
              </w:rPr>
              <w:t>provozovatel</w:t>
            </w:r>
            <w:r>
              <w:rPr>
                <w:sz w:val="18"/>
                <w:szCs w:val="24"/>
              </w:rPr>
              <w:t>ů</w:t>
            </w:r>
            <w:r w:rsidRPr="002505A1">
              <w:rPr>
                <w:sz w:val="18"/>
                <w:szCs w:val="24"/>
              </w:rPr>
              <w:t xml:space="preserve"> a PAO</w:t>
            </w:r>
            <w:r w:rsidR="006F1FD0">
              <w:rPr>
                <w:sz w:val="18"/>
                <w:szCs w:val="24"/>
              </w:rPr>
              <w:t>)</w:t>
            </w:r>
            <w:r w:rsidRPr="002505A1">
              <w:rPr>
                <w:sz w:val="18"/>
                <w:szCs w:val="24"/>
              </w:rPr>
              <w:t xml:space="preserve"> pomocí autentizační služby Portálu veřejné správy, která ověřuje uživatele pomocí přístupových údajů datových schránek</w:t>
            </w:r>
            <w:r>
              <w:rPr>
                <w:sz w:val="18"/>
                <w:szCs w:val="24"/>
              </w:rPr>
              <w:t xml:space="preserve">. </w:t>
            </w:r>
          </w:p>
          <w:p w14:paraId="31D6E236" w14:textId="52163A60" w:rsidR="00D54064" w:rsidRPr="004F4CFC" w:rsidRDefault="00D54064" w:rsidP="00BF56A6">
            <w:pPr>
              <w:jc w:val="both"/>
              <w:rPr>
                <w:sz w:val="18"/>
                <w:szCs w:val="24"/>
              </w:rPr>
            </w:pPr>
            <w:proofErr w:type="spellStart"/>
            <w:r w:rsidRPr="00CE2A81">
              <w:rPr>
                <w:i/>
                <w:sz w:val="18"/>
                <w:szCs w:val="24"/>
              </w:rPr>
              <w:t>Pozn</w:t>
            </w:r>
            <w:proofErr w:type="spellEnd"/>
            <w:r w:rsidRPr="00CE2A81">
              <w:rPr>
                <w:i/>
                <w:sz w:val="18"/>
                <w:szCs w:val="24"/>
              </w:rPr>
              <w:t xml:space="preserve">: Využíváno v rámci Správní části AISG, viz popis komponenty </w:t>
            </w:r>
            <w:proofErr w:type="spellStart"/>
            <w:r w:rsidRPr="00CE2A81">
              <w:rPr>
                <w:i/>
                <w:sz w:val="18"/>
                <w:szCs w:val="24"/>
              </w:rPr>
              <w:t>IdM</w:t>
            </w:r>
            <w:proofErr w:type="spellEnd"/>
          </w:p>
        </w:tc>
      </w:tr>
      <w:tr w:rsidR="00D169AA" w:rsidRPr="004F4CFC" w14:paraId="1EAF5222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7A8EFEB" w14:textId="344AFCB4" w:rsidR="00D169AA" w:rsidRDefault="00D169AA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Veřejný portál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708DED2" w14:textId="78241D0A" w:rsidR="00D169AA" w:rsidRDefault="00D169AA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ISDS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699" w14:textId="62B706F4" w:rsidR="00D169AA" w:rsidRDefault="00D169AA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AC7D125" w14:textId="41D57B92" w:rsidR="00D169AA" w:rsidRDefault="00D169AA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Odesílací brána ISDS</w:t>
            </w:r>
          </w:p>
        </w:tc>
      </w:tr>
      <w:tr w:rsidR="00F71508" w:rsidRPr="004F4CFC" w14:paraId="7BD250C1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06CED365" w14:textId="2C445558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24"/>
              </w:rPr>
              <w:t>IdM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7907586" w14:textId="0325D461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Služby vytvářející </w:t>
            </w:r>
            <w:r>
              <w:rPr>
                <w:rFonts w:eastAsia="Times New Roman"/>
                <w:sz w:val="18"/>
                <w:szCs w:val="24"/>
              </w:rPr>
              <w:lastRenderedPageBreak/>
              <w:t>důvěru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97D" w14:textId="40A4E251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lastRenderedPageBreak/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CB661C9" w14:textId="769D17C9" w:rsidR="00E262AA" w:rsidRDefault="00F71508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Komunikace s</w:t>
            </w:r>
            <w:r w:rsidR="00F25409">
              <w:rPr>
                <w:sz w:val="18"/>
                <w:szCs w:val="24"/>
              </w:rPr>
              <w:t>e</w:t>
            </w:r>
            <w:r>
              <w:rPr>
                <w:sz w:val="18"/>
                <w:szCs w:val="24"/>
              </w:rPr>
              <w:t xml:space="preserve"> službami modulu Služby vytvářející důvěru prostřednictvím </w:t>
            </w:r>
            <w:r w:rsidR="00F25409">
              <w:rPr>
                <w:sz w:val="18"/>
                <w:szCs w:val="24"/>
              </w:rPr>
              <w:t xml:space="preserve">standardních protokolů pro danou službu (stahování certifikátů a CRL po </w:t>
            </w:r>
            <w:r w:rsidR="00F25409">
              <w:rPr>
                <w:sz w:val="18"/>
                <w:szCs w:val="24"/>
              </w:rPr>
              <w:lastRenderedPageBreak/>
              <w:t xml:space="preserve">HTTPS </w:t>
            </w:r>
            <w:proofErr w:type="spellStart"/>
            <w:r w:rsidR="00F25409">
              <w:rPr>
                <w:sz w:val="18"/>
                <w:szCs w:val="24"/>
              </w:rPr>
              <w:t>apod</w:t>
            </w:r>
            <w:proofErr w:type="spellEnd"/>
            <w:r w:rsidR="00F25409">
              <w:rPr>
                <w:sz w:val="18"/>
                <w:szCs w:val="24"/>
              </w:rPr>
              <w:t xml:space="preserve">), případně </w:t>
            </w:r>
            <w:proofErr w:type="spellStart"/>
            <w:r>
              <w:rPr>
                <w:sz w:val="18"/>
                <w:szCs w:val="24"/>
              </w:rPr>
              <w:t>WebServices</w:t>
            </w:r>
            <w:proofErr w:type="spellEnd"/>
            <w:r w:rsidR="00F25409">
              <w:rPr>
                <w:sz w:val="18"/>
                <w:szCs w:val="24"/>
              </w:rPr>
              <w:t>.</w:t>
            </w:r>
          </w:p>
        </w:tc>
      </w:tr>
      <w:tr w:rsidR="00F71508" w:rsidRPr="004F4CFC" w14:paraId="6E6C73C8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2643B686" w14:textId="6E9DA719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lastRenderedPageBreak/>
              <w:t>DB správní</w:t>
            </w:r>
          </w:p>
          <w:p w14:paraId="2094E080" w14:textId="77777777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hráčů</w:t>
            </w:r>
          </w:p>
          <w:p w14:paraId="3E440EEC" w14:textId="6E764F03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3FD4063" w14:textId="0FE450B3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Analytický modul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8D6" w14:textId="76733667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B1E4358" w14:textId="77777777" w:rsidR="00F71508" w:rsidRDefault="00F71508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Předávání aktuálního stavu DB a změn za předchozí den 1x denně. Data budou předávány </w:t>
            </w:r>
            <w:r w:rsidR="00E262AA">
              <w:rPr>
                <w:sz w:val="18"/>
                <w:szCs w:val="24"/>
              </w:rPr>
              <w:t xml:space="preserve">způsobem umožňujícím zpracování standardními ETL nástroji, tj. ve formě strukturovaných souborů nebo separátní sady tabulek. </w:t>
            </w:r>
          </w:p>
          <w:p w14:paraId="39402F89" w14:textId="2BDDA58A" w:rsidR="00E262AA" w:rsidRDefault="00E262AA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AISG musí dále podporovat předání historie změn za určité období (manuální operace administrátora AISG) </w:t>
            </w:r>
          </w:p>
        </w:tc>
      </w:tr>
    </w:tbl>
    <w:p w14:paraId="4377B8AB" w14:textId="77777777" w:rsidR="00301988" w:rsidRDefault="00301988">
      <w:pPr>
        <w:rPr>
          <w:b/>
        </w:rPr>
      </w:pPr>
    </w:p>
    <w:p w14:paraId="219D3EBC" w14:textId="7EA4F7EF" w:rsidR="00AC36A9" w:rsidRPr="00D107E8" w:rsidRDefault="00301988">
      <w:pPr>
        <w:rPr>
          <w:b/>
        </w:rPr>
      </w:pPr>
      <w:r w:rsidRPr="00D107E8">
        <w:rPr>
          <w:b/>
        </w:rPr>
        <w:t xml:space="preserve">Obecný </w:t>
      </w:r>
      <w:r>
        <w:rPr>
          <w:b/>
        </w:rPr>
        <w:t xml:space="preserve">požadavek na </w:t>
      </w:r>
      <w:r w:rsidRPr="00D107E8">
        <w:rPr>
          <w:b/>
        </w:rPr>
        <w:t>rozhraní k </w:t>
      </w:r>
      <w:proofErr w:type="gramStart"/>
      <w:r w:rsidRPr="00D107E8">
        <w:rPr>
          <w:b/>
        </w:rPr>
        <w:t>IS</w:t>
      </w:r>
      <w:proofErr w:type="gramEnd"/>
      <w:r w:rsidRPr="00D107E8">
        <w:rPr>
          <w:b/>
        </w:rPr>
        <w:t xml:space="preserve"> provozovaným v re</w:t>
      </w:r>
      <w:r w:rsidR="00D107E8">
        <w:rPr>
          <w:b/>
        </w:rPr>
        <w:t>s</w:t>
      </w:r>
      <w:r w:rsidRPr="00D107E8">
        <w:rPr>
          <w:b/>
        </w:rPr>
        <w:t>ortu MF</w:t>
      </w:r>
    </w:p>
    <w:p w14:paraId="35CB4156" w14:textId="7700FF2C" w:rsidR="00301988" w:rsidRDefault="00301988">
      <w:r>
        <w:t xml:space="preserve">Spojení musí být navázáno prostřednictvím kryptografických prostředků, samostatně předávané soubory musí být šifrovány v souladu s minimálními požadavky na kryptografické algoritmy uvedené ve vyhlášce č. 316/2014. </w:t>
      </w:r>
    </w:p>
    <w:p w14:paraId="7C4A24EE" w14:textId="77777777" w:rsidR="00301988" w:rsidRDefault="00301988"/>
    <w:p w14:paraId="3E5F931B" w14:textId="3C382B28" w:rsidR="00AC36A9" w:rsidRDefault="00AC36A9">
      <w:pPr>
        <w:rPr>
          <w:b/>
        </w:rPr>
      </w:pPr>
      <w:r w:rsidRPr="006F1763">
        <w:rPr>
          <w:b/>
        </w:rPr>
        <w:t xml:space="preserve">Obecný popis </w:t>
      </w:r>
      <w:proofErr w:type="gramStart"/>
      <w:r w:rsidRPr="006F1763">
        <w:rPr>
          <w:b/>
        </w:rPr>
        <w:t>rozhraní k</w:t>
      </w:r>
      <w:r w:rsidR="00301988">
        <w:rPr>
          <w:b/>
        </w:rPr>
        <w:t> IS</w:t>
      </w:r>
      <w:proofErr w:type="gramEnd"/>
      <w:r w:rsidR="00301988">
        <w:rPr>
          <w:b/>
        </w:rPr>
        <w:t xml:space="preserve"> </w:t>
      </w:r>
      <w:r w:rsidRPr="006F1763">
        <w:rPr>
          <w:b/>
        </w:rPr>
        <w:t>provozovatelů a PAO</w:t>
      </w:r>
    </w:p>
    <w:p w14:paraId="555C9160" w14:textId="51DC79B1" w:rsidR="000109B6" w:rsidRDefault="00AC36A9" w:rsidP="006F1763">
      <w:pPr>
        <w:jc w:val="both"/>
      </w:pPr>
      <w:r w:rsidRPr="00AC36A9">
        <w:t>Přenos dat mezi systém</w:t>
      </w:r>
      <w:r w:rsidR="006D3096">
        <w:t>y</w:t>
      </w:r>
      <w:r w:rsidRPr="00AC36A9">
        <w:t xml:space="preserve"> provozovatele</w:t>
      </w:r>
      <w:r w:rsidR="006D3096">
        <w:t>/PAO</w:t>
      </w:r>
      <w:r w:rsidRPr="00AC36A9">
        <w:t xml:space="preserve"> a AISG je vždy šifrován. </w:t>
      </w:r>
      <w:r w:rsidR="006D3096">
        <w:t xml:space="preserve">Půjde o HTTPS </w:t>
      </w:r>
      <w:r w:rsidRPr="00AC36A9">
        <w:t>komunikac</w:t>
      </w:r>
      <w:r w:rsidR="006D3096">
        <w:t>i</w:t>
      </w:r>
      <w:r w:rsidR="000E6AF1">
        <w:t xml:space="preserve"> s přenosem elektronicky podepsaných XML zpráv </w:t>
      </w:r>
      <w:r w:rsidR="000E6AF1" w:rsidRPr="00AC36A9">
        <w:t>dle standardu WS-</w:t>
      </w:r>
      <w:proofErr w:type="spellStart"/>
      <w:r w:rsidR="000E6AF1" w:rsidRPr="00AC36A9">
        <w:t>security</w:t>
      </w:r>
      <w:proofErr w:type="spellEnd"/>
      <w:r w:rsidR="000E6AF1" w:rsidRPr="00AC36A9">
        <w:t xml:space="preserve"> (nebo obdobným způsobem)</w:t>
      </w:r>
      <w:r w:rsidR="000E6AF1">
        <w:t xml:space="preserve">. </w:t>
      </w:r>
      <w:r w:rsidR="000109B6" w:rsidRPr="00AC36A9">
        <w:t>Všechny používané certifikáty provozovatelů</w:t>
      </w:r>
      <w:r w:rsidR="000109B6">
        <w:t>/PAO</w:t>
      </w:r>
      <w:r w:rsidR="000109B6" w:rsidRPr="00AC36A9">
        <w:t xml:space="preserve"> budou registrovány v </w:t>
      </w:r>
      <w:proofErr w:type="spellStart"/>
      <w:r w:rsidR="000109B6" w:rsidRPr="00AC36A9">
        <w:t>IdM</w:t>
      </w:r>
      <w:proofErr w:type="spellEnd"/>
      <w:r w:rsidR="000109B6" w:rsidRPr="00AC36A9">
        <w:t>.</w:t>
      </w:r>
    </w:p>
    <w:p w14:paraId="76F370F4" w14:textId="72BFA715" w:rsidR="00344FAA" w:rsidRDefault="00F25409" w:rsidP="00D107E8">
      <w:pPr>
        <w:jc w:val="both"/>
      </w:pPr>
      <w:r>
        <w:t xml:space="preserve">XML zprávy v obou směrech budou </w:t>
      </w:r>
      <w:r w:rsidR="000109B6">
        <w:t xml:space="preserve">opatřeny </w:t>
      </w:r>
      <w:r>
        <w:t>elektronickým podpisem (</w:t>
      </w:r>
      <w:r w:rsidR="000109B6">
        <w:t>pečetí</w:t>
      </w:r>
      <w:r>
        <w:t>)</w:t>
      </w:r>
      <w:r w:rsidR="00521540">
        <w:t>.</w:t>
      </w:r>
      <w:r w:rsidR="000109B6">
        <w:t xml:space="preserve"> </w:t>
      </w:r>
      <w:r>
        <w:t>E</w:t>
      </w:r>
      <w:r w:rsidR="00344FAA">
        <w:t xml:space="preserve">lektronické </w:t>
      </w:r>
      <w:r w:rsidR="00211274">
        <w:t>podpisy (</w:t>
      </w:r>
      <w:r w:rsidR="00344FAA">
        <w:t>pečetě</w:t>
      </w:r>
      <w:r w:rsidR="00211274">
        <w:t>)</w:t>
      </w:r>
      <w:r w:rsidR="00344FAA">
        <w:t xml:space="preserve"> budou vytvářeny a ověřovány přímo na serverech AISG s využitím klíčů a certifikátů </w:t>
      </w:r>
      <w:r w:rsidR="00211274">
        <w:t xml:space="preserve">získaných prostřednictvím modulu Služeb vytvářejících důvěru Objednatele a </w:t>
      </w:r>
      <w:r w:rsidR="00344FAA">
        <w:t xml:space="preserve">uložených v softwarových úložištích </w:t>
      </w:r>
      <w:proofErr w:type="spellStart"/>
      <w:r w:rsidR="00344FAA">
        <w:t>IdM</w:t>
      </w:r>
      <w:proofErr w:type="spellEnd"/>
      <w:r w:rsidR="00211274">
        <w:t xml:space="preserve">, </w:t>
      </w:r>
    </w:p>
    <w:p w14:paraId="20B6130F" w14:textId="7717EC78" w:rsidR="007E1FCC" w:rsidRPr="006F1763" w:rsidRDefault="007E1FCC">
      <w:r>
        <w:br w:type="page"/>
      </w:r>
    </w:p>
    <w:p w14:paraId="68643E86" w14:textId="7C27DF7F" w:rsidR="002B409A" w:rsidRPr="004F4CFC" w:rsidRDefault="007D5B5F" w:rsidP="002B409A">
      <w:pPr>
        <w:pStyle w:val="Heading1NoSpacing"/>
        <w:spacing w:after="240"/>
        <w:ind w:left="431" w:hanging="431"/>
      </w:pPr>
      <w:bookmarkStart w:id="94" w:name="_Toc510300901"/>
      <w:r w:rsidRPr="004F4CFC">
        <w:lastRenderedPageBreak/>
        <w:t>Technická infrastruktura</w:t>
      </w:r>
      <w:bookmarkEnd w:id="94"/>
    </w:p>
    <w:p w14:paraId="4F08E707" w14:textId="2AEFD04E" w:rsidR="00E76988" w:rsidRPr="004F4CFC" w:rsidRDefault="009D0F69" w:rsidP="00E76988">
      <w:pPr>
        <w:pStyle w:val="Nadpis2"/>
      </w:pPr>
      <w:bookmarkStart w:id="95" w:name="_Toc510300902"/>
      <w:r w:rsidRPr="004F4CFC">
        <w:t>Vymezení odpovědností</w:t>
      </w:r>
      <w:r w:rsidR="00FE50FF" w:rsidRPr="004F4CFC">
        <w:t xml:space="preserve"> Dodavatele</w:t>
      </w:r>
      <w:bookmarkEnd w:id="95"/>
    </w:p>
    <w:p w14:paraId="2393E8FD" w14:textId="1BED9101" w:rsidR="00E76988" w:rsidRPr="004F4CFC" w:rsidRDefault="00E76988" w:rsidP="00E76988">
      <w:pPr>
        <w:jc w:val="both"/>
      </w:pPr>
      <w:r w:rsidRPr="004F4CFC">
        <w:t xml:space="preserve">V souladu se strategií ICT resortu Ministerstva financí bude AISG vybudován a provozován v prostředí Národního datového centra (dále jen „NDC“) resortního dodavatele služeb infrastruktury a provozu Státní pokladny Centra sdílených služeb, </w:t>
      </w:r>
      <w:proofErr w:type="spellStart"/>
      <w:proofErr w:type="gramStart"/>
      <w:r w:rsidRPr="004F4CFC">
        <w:t>s.p</w:t>
      </w:r>
      <w:proofErr w:type="spellEnd"/>
      <w:r w:rsidRPr="004F4CFC">
        <w:t>.</w:t>
      </w:r>
      <w:proofErr w:type="gramEnd"/>
      <w:r w:rsidRPr="004F4CFC">
        <w:t xml:space="preserve"> (dále jen „SPCSS“). Dodávku</w:t>
      </w:r>
      <w:r w:rsidR="003C2FB1" w:rsidRPr="004F4CFC">
        <w:t>, implementaci</w:t>
      </w:r>
      <w:r w:rsidRPr="004F4CFC">
        <w:t xml:space="preserve"> a provoz síťové, HW a SW infrastruktury</w:t>
      </w:r>
      <w:r w:rsidR="003C2FB1" w:rsidRPr="004F4CFC">
        <w:t xml:space="preserve"> </w:t>
      </w:r>
      <w:r w:rsidR="00A049B5" w:rsidRPr="004F4CFC">
        <w:t>(dále jen Technické infrastruktury, v rozsahu upřesněném v této kapitole</w:t>
      </w:r>
      <w:r w:rsidR="00945198" w:rsidRPr="004F4CFC">
        <w:t xml:space="preserve"> přílohy Smlouvy</w:t>
      </w:r>
      <w:r w:rsidR="00A049B5" w:rsidRPr="004F4CFC">
        <w:t xml:space="preserve">) </w:t>
      </w:r>
      <w:r w:rsidR="003C2FB1" w:rsidRPr="004F4CFC">
        <w:t>a</w:t>
      </w:r>
      <w:r w:rsidRPr="004F4CFC">
        <w:t xml:space="preserve"> související provozní služby (zálohování, </w:t>
      </w:r>
      <w:r w:rsidR="001C0319" w:rsidRPr="004F4CFC">
        <w:t>monitoring</w:t>
      </w:r>
      <w:r w:rsidRPr="004F4CFC">
        <w:t xml:space="preserve">) zajistí Objednatel prostřednictvím SPCSS. Cílem této strategie je dosažení maximální efektivity sdílených služeb IT infrastruktury v resortu Ministerstva financí a soulad se strategií rozvoje </w:t>
      </w:r>
      <w:proofErr w:type="spellStart"/>
      <w:r w:rsidRPr="004F4CFC">
        <w:t>eGovernmentu</w:t>
      </w:r>
      <w:proofErr w:type="spellEnd"/>
      <w:r w:rsidR="00C11C4F" w:rsidRPr="004F4CFC">
        <w:t xml:space="preserve"> ČR</w:t>
      </w:r>
      <w:r w:rsidRPr="004F4CFC">
        <w:t xml:space="preserve">. </w:t>
      </w:r>
    </w:p>
    <w:p w14:paraId="0A1CAB6F" w14:textId="2D44DDF7" w:rsidR="00C11C4F" w:rsidRPr="004F4CFC" w:rsidRDefault="00E76988" w:rsidP="00C11C4F">
      <w:pPr>
        <w:spacing w:after="0"/>
        <w:jc w:val="both"/>
      </w:pPr>
      <w:r w:rsidRPr="004F4CFC">
        <w:t xml:space="preserve">SPCSS bude poskytovat </w:t>
      </w:r>
      <w:r w:rsidR="00A049B5" w:rsidRPr="004F4CFC">
        <w:t xml:space="preserve">Technickou </w:t>
      </w:r>
      <w:r w:rsidRPr="004F4CFC">
        <w:t>infrastrukturu a související provozní služby formou provozních služeb na svých sdílených platformách</w:t>
      </w:r>
      <w:r w:rsidR="0081298F" w:rsidRPr="004F4CFC">
        <w:t xml:space="preserve">, včetně přípravy těchto služeb v rámci </w:t>
      </w:r>
      <w:r w:rsidR="00F83FCE" w:rsidRPr="004F4CFC">
        <w:t>implementace AISG</w:t>
      </w:r>
      <w:r w:rsidR="0081298F" w:rsidRPr="004F4CFC">
        <w:t>.</w:t>
      </w:r>
      <w:r w:rsidRPr="004F4CFC">
        <w:t xml:space="preserve"> </w:t>
      </w:r>
      <w:r w:rsidR="00C11C4F" w:rsidRPr="004F4CFC">
        <w:t>Konkrétně jde o oblasti:</w:t>
      </w:r>
    </w:p>
    <w:p w14:paraId="08E977CD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Služby datového centra</w:t>
      </w:r>
    </w:p>
    <w:p w14:paraId="7FA5A8F8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Bezpečné propojení a připojení do Internetu (síťové služby)</w:t>
      </w:r>
    </w:p>
    <w:p w14:paraId="11502676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 xml:space="preserve">Poskytování výpočetního výkonu (včetně </w:t>
      </w:r>
      <w:proofErr w:type="spellStart"/>
      <w:r w:rsidRPr="004F4CFC">
        <w:t>virtualizace</w:t>
      </w:r>
      <w:proofErr w:type="spellEnd"/>
      <w:r w:rsidRPr="004F4CFC">
        <w:t>)</w:t>
      </w:r>
    </w:p>
    <w:p w14:paraId="4AE033CA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Poskytování diskového prostoru</w:t>
      </w:r>
    </w:p>
    <w:p w14:paraId="162FABB2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Správa operačních systémů</w:t>
      </w:r>
    </w:p>
    <w:p w14:paraId="3DDA80F0" w14:textId="3792AB84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Správa databází</w:t>
      </w:r>
      <w:r w:rsidR="0081298F" w:rsidRPr="004F4CFC">
        <w:t xml:space="preserve"> (pouze provozní služby v rámci Servisních služeb, dodávka</w:t>
      </w:r>
      <w:r w:rsidR="003C2FB1" w:rsidRPr="004F4CFC">
        <w:t xml:space="preserve">, SW licence včetně </w:t>
      </w:r>
      <w:proofErr w:type="spellStart"/>
      <w:r w:rsidR="003C2FB1" w:rsidRPr="004F4CFC">
        <w:t>maintenance</w:t>
      </w:r>
      <w:proofErr w:type="spellEnd"/>
      <w:r w:rsidR="0081298F" w:rsidRPr="004F4CFC">
        <w:t xml:space="preserve"> a implementace v odpovědnosti Dodavatele)</w:t>
      </w:r>
    </w:p>
    <w:p w14:paraId="029156A6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Zálohování a archivace dat</w:t>
      </w:r>
    </w:p>
    <w:p w14:paraId="1CB5E185" w14:textId="4F0124A8" w:rsidR="00C11C4F" w:rsidRPr="004F4CFC" w:rsidRDefault="0081298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 xml:space="preserve">CKB, SOC a bezpečnostní </w:t>
      </w:r>
      <w:r w:rsidR="001C0319" w:rsidRPr="004F4CFC">
        <w:t>monitoring</w:t>
      </w:r>
    </w:p>
    <w:p w14:paraId="013C8F99" w14:textId="57FEED6C" w:rsidR="0081298F" w:rsidRPr="004F4CFC" w:rsidRDefault="0081298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Provozní monitoring</w:t>
      </w:r>
    </w:p>
    <w:p w14:paraId="69E734A7" w14:textId="3D23BFC8" w:rsidR="00F85D05" w:rsidRPr="004F4CFC" w:rsidRDefault="00F85D05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ServiceDesk</w:t>
      </w:r>
    </w:p>
    <w:p w14:paraId="4DB9D283" w14:textId="71093AAB" w:rsidR="006600FF" w:rsidRPr="004F4CFC" w:rsidRDefault="006600FF" w:rsidP="00C11C4F">
      <w:pPr>
        <w:spacing w:after="0"/>
        <w:jc w:val="both"/>
      </w:pPr>
    </w:p>
    <w:p w14:paraId="3538CE1D" w14:textId="25773C14" w:rsidR="00E76988" w:rsidRPr="004F4CFC" w:rsidRDefault="004939B7" w:rsidP="00BF56A6">
      <w:pPr>
        <w:jc w:val="both"/>
      </w:pPr>
      <w:r w:rsidRPr="004F4CFC">
        <w:t>Návrh</w:t>
      </w:r>
      <w:r w:rsidR="001B2FFB" w:rsidRPr="004F4CFC">
        <w:t xml:space="preserve"> kompletní</w:t>
      </w:r>
      <w:r w:rsidRPr="004F4CFC">
        <w:t xml:space="preserve"> </w:t>
      </w:r>
      <w:r w:rsidR="00A049B5" w:rsidRPr="004F4CFC">
        <w:t>T</w:t>
      </w:r>
      <w:r w:rsidRPr="004F4CFC">
        <w:t xml:space="preserve">echnické infrastruktury AISG je odpovědností Dodavatele. Dodavatel navrhne a popíše </w:t>
      </w:r>
      <w:r w:rsidR="00A049B5" w:rsidRPr="004F4CFC">
        <w:t>T</w:t>
      </w:r>
      <w:r w:rsidR="00E76988" w:rsidRPr="004F4CFC">
        <w:t xml:space="preserve">echnickou infrastrukturu včetně jejího kapacitního </w:t>
      </w:r>
      <w:r w:rsidR="003C2FB1" w:rsidRPr="004F4CFC">
        <w:t xml:space="preserve">návrhu </w:t>
      </w:r>
      <w:r w:rsidR="00E76988" w:rsidRPr="004F4CFC">
        <w:t>v </w:t>
      </w:r>
      <w:r w:rsidR="008053AF">
        <w:t>P</w:t>
      </w:r>
      <w:r w:rsidR="008053AF" w:rsidRPr="004F4CFC">
        <w:t xml:space="preserve">říloze </w:t>
      </w:r>
      <w:r w:rsidR="00E76988" w:rsidRPr="004F4CFC">
        <w:t xml:space="preserve">č. </w:t>
      </w:r>
      <w:r w:rsidR="00C66F35" w:rsidRPr="004F4CFC">
        <w:t>8</w:t>
      </w:r>
      <w:r w:rsidR="00E76988" w:rsidRPr="004F4CFC">
        <w:t xml:space="preserve"> </w:t>
      </w:r>
      <w:r w:rsidR="00007888" w:rsidRPr="004F4CFC">
        <w:t>S</w:t>
      </w:r>
      <w:r w:rsidR="00E76988" w:rsidRPr="004F4CFC">
        <w:t xml:space="preserve">mlouvy na základě požadavků uvedených ve Smlouvě a jejích přílohách. V návrhu </w:t>
      </w:r>
      <w:r w:rsidR="00A049B5" w:rsidRPr="004F4CFC">
        <w:t>T</w:t>
      </w:r>
      <w:r w:rsidR="00E76988" w:rsidRPr="004F4CFC">
        <w:t xml:space="preserve">echnické infrastruktury Dodavatel použije </w:t>
      </w:r>
      <w:r w:rsidR="005551DF" w:rsidRPr="004F4CFC">
        <w:t xml:space="preserve">výhradně </w:t>
      </w:r>
      <w:r w:rsidR="00E76988" w:rsidRPr="004F4CFC">
        <w:t xml:space="preserve">standardy a stavební bloky SPCSS, uvedené v kapitole </w:t>
      </w:r>
      <w:r w:rsidR="00007888" w:rsidRPr="004F4CFC">
        <w:t>3.3</w:t>
      </w:r>
      <w:r w:rsidR="00E76988" w:rsidRPr="004F4CFC">
        <w:t xml:space="preserve"> této přílohy Smlouvy a popíše ji </w:t>
      </w:r>
      <w:r w:rsidRPr="004F4CFC">
        <w:t xml:space="preserve">podle požadavků uvedených v </w:t>
      </w:r>
      <w:r w:rsidR="008053AF">
        <w:t>P</w:t>
      </w:r>
      <w:r w:rsidR="008053AF" w:rsidRPr="004F4CFC">
        <w:t xml:space="preserve">říloze </w:t>
      </w:r>
      <w:r w:rsidR="008C4DFF" w:rsidRPr="004F4CFC">
        <w:t xml:space="preserve">č. </w:t>
      </w:r>
      <w:r w:rsidR="00C66F35" w:rsidRPr="004F4CFC">
        <w:t>8</w:t>
      </w:r>
      <w:r w:rsidRPr="004F4CFC">
        <w:t xml:space="preserve"> </w:t>
      </w:r>
      <w:r w:rsidR="005551DF" w:rsidRPr="004F4CFC">
        <w:t>S</w:t>
      </w:r>
      <w:r w:rsidRPr="004F4CFC">
        <w:t>mlouvy</w:t>
      </w:r>
      <w:r w:rsidR="007C663D" w:rsidRPr="004F4CFC">
        <w:t>.</w:t>
      </w:r>
    </w:p>
    <w:p w14:paraId="33DC54CB" w14:textId="0E32E5D0" w:rsidR="005551DF" w:rsidRPr="004F4CFC" w:rsidRDefault="005551DF" w:rsidP="00BF56A6">
      <w:pPr>
        <w:jc w:val="both"/>
      </w:pPr>
      <w:r w:rsidRPr="004F4CFC">
        <w:t xml:space="preserve">Součástí Technické infrastruktury jsou veškeré HW komponenty potřebné pro provoz AISG. Součástí Technické infrastruktury jsou pouze takové </w:t>
      </w:r>
      <w:r w:rsidR="00FA416A" w:rsidRPr="004F4CFC">
        <w:t>softwarové</w:t>
      </w:r>
      <w:r w:rsidRPr="004F4CFC">
        <w:t xml:space="preserve"> produkty a aplikace, které jsou nedílnou součástí HW zařízení (firmware) nebo uvedené v popisu standardů a stavebních bloků dále v této kapitole</w:t>
      </w:r>
      <w:r w:rsidR="00FA416A" w:rsidRPr="004F4CFC">
        <w:t xml:space="preserve"> (</w:t>
      </w:r>
      <w:proofErr w:type="spellStart"/>
      <w:r w:rsidR="00FA416A" w:rsidRPr="004F4CFC">
        <w:t>virtualizační</w:t>
      </w:r>
      <w:proofErr w:type="spellEnd"/>
      <w:r w:rsidR="00FA416A" w:rsidRPr="004F4CFC">
        <w:t xml:space="preserve"> software</w:t>
      </w:r>
      <w:r w:rsidRPr="004F4CFC">
        <w:t xml:space="preserve">, operační systémy, </w:t>
      </w:r>
      <w:r w:rsidR="00FA416A" w:rsidRPr="004F4CFC">
        <w:t>software</w:t>
      </w:r>
      <w:r w:rsidRPr="004F4CFC">
        <w:t xml:space="preserve"> dohledových systémů a ServiceDesk). Ostatní </w:t>
      </w:r>
      <w:r w:rsidR="00FA416A" w:rsidRPr="004F4CFC">
        <w:t>software</w:t>
      </w:r>
      <w:r w:rsidR="00F61363" w:rsidRPr="004F4CFC">
        <w:t xml:space="preserve"> a</w:t>
      </w:r>
      <w:r w:rsidR="0075120D" w:rsidRPr="004F4CFC">
        <w:t xml:space="preserve"> aplikace jsou součástí Díla</w:t>
      </w:r>
      <w:r w:rsidR="00FA416A" w:rsidRPr="004F4CFC">
        <w:t xml:space="preserve">, a v této </w:t>
      </w:r>
      <w:r w:rsidR="00F000B7" w:rsidRPr="004F4CFC">
        <w:t>a ostatních přílohách Smlouvy jsou</w:t>
      </w:r>
      <w:r w:rsidR="00FA416A" w:rsidRPr="004F4CFC">
        <w:t xml:space="preserve"> označ</w:t>
      </w:r>
      <w:r w:rsidR="00F000B7" w:rsidRPr="004F4CFC">
        <w:t>ovány</w:t>
      </w:r>
      <w:r w:rsidR="00FA416A" w:rsidRPr="004F4CFC">
        <w:t xml:space="preserve"> jako </w:t>
      </w:r>
      <w:r w:rsidR="00F000B7" w:rsidRPr="004F4CFC">
        <w:t>„</w:t>
      </w:r>
      <w:r w:rsidR="00FA416A" w:rsidRPr="004F4CFC">
        <w:t>SW produkty</w:t>
      </w:r>
      <w:r w:rsidR="00F000B7" w:rsidRPr="004F4CFC">
        <w:t xml:space="preserve">“ (Proprietární software </w:t>
      </w:r>
      <w:r w:rsidR="00E359B0" w:rsidRPr="004F4CFC">
        <w:t xml:space="preserve">nebo Open source software </w:t>
      </w:r>
      <w:r w:rsidR="00F000B7" w:rsidRPr="004F4CFC">
        <w:t>dle odst. 11 Smlouvy)</w:t>
      </w:r>
      <w:r w:rsidR="00FA416A" w:rsidRPr="004F4CFC">
        <w:t xml:space="preserve">, </w:t>
      </w:r>
      <w:r w:rsidR="00F000B7" w:rsidRPr="004F4CFC">
        <w:t>„</w:t>
      </w:r>
      <w:r w:rsidR="00FA416A" w:rsidRPr="004F4CFC">
        <w:t>Aplikace</w:t>
      </w:r>
      <w:r w:rsidR="00F000B7" w:rsidRPr="004F4CFC">
        <w:t>“</w:t>
      </w:r>
      <w:r w:rsidR="00FA416A" w:rsidRPr="004F4CFC">
        <w:t xml:space="preserve"> </w:t>
      </w:r>
      <w:r w:rsidR="00F000B7" w:rsidRPr="004F4CFC">
        <w:t xml:space="preserve">(vyvinuté na zakázku pro AISG) </w:t>
      </w:r>
      <w:r w:rsidR="00FA416A" w:rsidRPr="004F4CFC">
        <w:t xml:space="preserve">a </w:t>
      </w:r>
      <w:r w:rsidR="00F000B7" w:rsidRPr="004F4CFC">
        <w:t>„</w:t>
      </w:r>
      <w:r w:rsidR="00FA416A" w:rsidRPr="004F4CFC">
        <w:t>Data</w:t>
      </w:r>
      <w:r w:rsidR="00F000B7" w:rsidRPr="004F4CFC">
        <w:t>“ (data SW produktů a Aplikací)</w:t>
      </w:r>
      <w:r w:rsidR="0075120D" w:rsidRPr="004F4CFC">
        <w:t>.</w:t>
      </w:r>
      <w:r w:rsidR="00F000B7" w:rsidRPr="004F4CFC">
        <w:t xml:space="preserve"> Souhrnně j</w:t>
      </w:r>
      <w:r w:rsidR="00E7425A" w:rsidRPr="004F4CFC">
        <w:t>sou</w:t>
      </w:r>
      <w:r w:rsidR="00F000B7" w:rsidRPr="004F4CFC">
        <w:t xml:space="preserve"> také obecně </w:t>
      </w:r>
      <w:r w:rsidR="00E7425A" w:rsidRPr="004F4CFC">
        <w:t xml:space="preserve">označovány </w:t>
      </w:r>
      <w:r w:rsidR="00F000B7" w:rsidRPr="004F4CFC">
        <w:t>jako „aplikační komponenty“ nebo „aplikační úroveň“</w:t>
      </w:r>
      <w:r w:rsidR="00BB4A16" w:rsidRPr="004F4CFC">
        <w:t>,</w:t>
      </w:r>
      <w:r w:rsidR="00A35CD2" w:rsidRPr="004F4CFC">
        <w:t xml:space="preserve"> jejich správ</w:t>
      </w:r>
      <w:r w:rsidR="00E7425A" w:rsidRPr="004F4CFC">
        <w:t>a</w:t>
      </w:r>
      <w:r w:rsidR="00BB4A16" w:rsidRPr="004F4CFC">
        <w:t xml:space="preserve"> z pohledu provozu pak </w:t>
      </w:r>
      <w:r w:rsidR="00A35CD2" w:rsidRPr="004F4CFC">
        <w:t xml:space="preserve">jako </w:t>
      </w:r>
      <w:r w:rsidR="00BB4A16" w:rsidRPr="004F4CFC">
        <w:t>„</w:t>
      </w:r>
      <w:r w:rsidR="00A35CD2" w:rsidRPr="004F4CFC">
        <w:t>aplikační správ</w:t>
      </w:r>
      <w:r w:rsidR="00E7425A" w:rsidRPr="004F4CFC">
        <w:t>a</w:t>
      </w:r>
      <w:r w:rsidR="00BB4A16" w:rsidRPr="004F4CFC">
        <w:t>“</w:t>
      </w:r>
      <w:r w:rsidR="00F000B7" w:rsidRPr="004F4CFC">
        <w:t>.</w:t>
      </w:r>
    </w:p>
    <w:p w14:paraId="5A69AEF0" w14:textId="13FF8BF3" w:rsidR="00E76988" w:rsidRPr="004F4CFC" w:rsidRDefault="003C2FB1" w:rsidP="00E76988">
      <w:pPr>
        <w:spacing w:after="0"/>
        <w:jc w:val="both"/>
      </w:pPr>
      <w:r w:rsidRPr="004F4CFC">
        <w:t xml:space="preserve">V rámci realizace Díla a poskytování Servisních služeb a Služeb rozvoje bude Dodavatel spolupracovat s Objednatelem a SPCSS způsobem uvedeným v přílohách č. 4 a </w:t>
      </w:r>
      <w:r w:rsidR="00007888" w:rsidRPr="004F4CFC">
        <w:t xml:space="preserve">č. </w:t>
      </w:r>
      <w:r w:rsidRPr="004F4CFC">
        <w:t>5 Smlouvy, včetně plnění součinností souvisejících s</w:t>
      </w:r>
      <w:r w:rsidR="0069174F" w:rsidRPr="004F4CFC">
        <w:t> </w:t>
      </w:r>
      <w:r w:rsidR="008B584F" w:rsidRPr="004F4CFC">
        <w:t>implementací</w:t>
      </w:r>
      <w:r w:rsidRPr="004F4CFC">
        <w:t xml:space="preserve"> a provozem</w:t>
      </w:r>
      <w:r w:rsidR="0069174F" w:rsidRPr="004F4CFC">
        <w:t xml:space="preserve"> technické infrastruktury a </w:t>
      </w:r>
      <w:r w:rsidR="008B584F" w:rsidRPr="004F4CFC">
        <w:t xml:space="preserve">souvisejících provozních služeb SPCSS. </w:t>
      </w:r>
      <w:r w:rsidR="005551DF" w:rsidRPr="004F4CFC">
        <w:t xml:space="preserve">Rozdělení odpovědností Dodavatele a Objednatele v implementaci i provozu vychází primárně z výše uvedeného vymezení Technické infrastruktury. </w:t>
      </w:r>
      <w:r w:rsidR="0081298F" w:rsidRPr="004F4CFC">
        <w:t>Detailní r</w:t>
      </w:r>
      <w:r w:rsidR="00E76988" w:rsidRPr="004F4CFC">
        <w:t xml:space="preserve">ozdělení odpovědností mezi Dodavatele a SPCSS </w:t>
      </w:r>
      <w:r w:rsidR="0081298F" w:rsidRPr="004F4CFC">
        <w:t xml:space="preserve">a rozsah součinností </w:t>
      </w:r>
      <w:r w:rsidR="00E76988" w:rsidRPr="004F4CFC">
        <w:t xml:space="preserve">při realizaci Díla (implementaci </w:t>
      </w:r>
      <w:r w:rsidR="0081298F" w:rsidRPr="004F4CFC">
        <w:t>A</w:t>
      </w:r>
      <w:r w:rsidR="00E76988" w:rsidRPr="004F4CFC">
        <w:t>IS</w:t>
      </w:r>
      <w:r w:rsidR="0081298F" w:rsidRPr="004F4CFC">
        <w:t>G</w:t>
      </w:r>
      <w:r w:rsidR="00E76988" w:rsidRPr="004F4CFC">
        <w:t xml:space="preserve">) a </w:t>
      </w:r>
      <w:r w:rsidR="00F96281" w:rsidRPr="004F4CFC">
        <w:t xml:space="preserve">poskytování Servisních služeb </w:t>
      </w:r>
      <w:r w:rsidR="00E76988" w:rsidRPr="004F4CFC">
        <w:t>a Služeb rozvoje (provozu</w:t>
      </w:r>
      <w:r w:rsidR="0081298F" w:rsidRPr="004F4CFC">
        <w:t xml:space="preserve"> AISG</w:t>
      </w:r>
      <w:r w:rsidR="00E76988" w:rsidRPr="004F4CFC">
        <w:t xml:space="preserve">) je uvedeno v přílohách č. 4 a </w:t>
      </w:r>
      <w:r w:rsidR="00007888" w:rsidRPr="004F4CFC">
        <w:t xml:space="preserve">č. </w:t>
      </w:r>
      <w:r w:rsidR="00E76988" w:rsidRPr="004F4CFC">
        <w:t>5 Smlouvy.</w:t>
      </w:r>
      <w:r w:rsidR="0022488B" w:rsidRPr="004F4CFC">
        <w:t xml:space="preserve"> </w:t>
      </w:r>
      <w:r w:rsidR="005551DF" w:rsidRPr="004F4CFC">
        <w:t xml:space="preserve"> </w:t>
      </w:r>
    </w:p>
    <w:p w14:paraId="68BF872C" w14:textId="72FD6BFC" w:rsidR="002B409A" w:rsidRPr="004F4CFC" w:rsidRDefault="008362C1" w:rsidP="00A11021">
      <w:pPr>
        <w:pStyle w:val="Nadpis2"/>
      </w:pPr>
      <w:bookmarkStart w:id="96" w:name="_Toc510300903"/>
      <w:r w:rsidRPr="004F4CFC">
        <w:lastRenderedPageBreak/>
        <w:t>Prostředí</w:t>
      </w:r>
      <w:bookmarkEnd w:id="96"/>
    </w:p>
    <w:p w14:paraId="753E5D7B" w14:textId="6A487EBD" w:rsidR="00A00FB4" w:rsidRPr="004F4CFC" w:rsidRDefault="00B31661" w:rsidP="00BF56A6">
      <w:pPr>
        <w:jc w:val="both"/>
        <w:rPr>
          <w:szCs w:val="24"/>
        </w:rPr>
      </w:pPr>
      <w:r w:rsidRPr="004F4CFC">
        <w:t>P</w:t>
      </w:r>
      <w:r w:rsidR="00470C02" w:rsidRPr="004F4CFC">
        <w:t>o</w:t>
      </w:r>
      <w:r w:rsidR="00A00FB4" w:rsidRPr="004F4CFC">
        <w:t xml:space="preserve">žadována je implementace </w:t>
      </w:r>
      <w:r w:rsidR="007F0DEE" w:rsidRPr="004F4CFC">
        <w:t xml:space="preserve">tří </w:t>
      </w:r>
      <w:r w:rsidR="00470C02" w:rsidRPr="004F4CFC">
        <w:t>prostředí</w:t>
      </w:r>
      <w:r w:rsidR="00945198" w:rsidRPr="004F4CFC">
        <w:t xml:space="preserve"> AISG</w:t>
      </w:r>
      <w:r w:rsidR="00470C02" w:rsidRPr="004F4CFC">
        <w:t xml:space="preserve">: Produkční, </w:t>
      </w:r>
      <w:proofErr w:type="spellStart"/>
      <w:r w:rsidR="00470C02" w:rsidRPr="004F4CFC">
        <w:t>Pre</w:t>
      </w:r>
      <w:proofErr w:type="spellEnd"/>
      <w:r w:rsidR="00470C02" w:rsidRPr="004F4CFC">
        <w:t>-produkční a Testovací/vývojov</w:t>
      </w:r>
      <w:r w:rsidR="00A00FB4" w:rsidRPr="004F4CFC">
        <w:t>é</w:t>
      </w:r>
      <w:r w:rsidR="00470C02" w:rsidRPr="004F4CFC">
        <w:t xml:space="preserve"> prostředí.</w:t>
      </w:r>
      <w:r w:rsidR="007E7A14" w:rsidRPr="004F4CFC">
        <w:t xml:space="preserve"> Součástí Testovacího/Vývojového prostředí je i vývojové a dokumentační prostředí</w:t>
      </w:r>
      <w:r w:rsidR="00A00FB4" w:rsidRPr="004F4CFC">
        <w:t xml:space="preserve"> </w:t>
      </w:r>
      <w:r w:rsidR="00A00FB4" w:rsidRPr="004F4CFC">
        <w:rPr>
          <w:szCs w:val="24"/>
        </w:rPr>
        <w:t xml:space="preserve">popsané v kapitole </w:t>
      </w:r>
      <w:r w:rsidR="00007888" w:rsidRPr="004F4CFC">
        <w:rPr>
          <w:szCs w:val="24"/>
        </w:rPr>
        <w:t>4.2</w:t>
      </w:r>
      <w:r w:rsidR="00CE2AC3" w:rsidRPr="004F4CFC">
        <w:rPr>
          <w:szCs w:val="24"/>
        </w:rPr>
        <w:t xml:space="preserve"> </w:t>
      </w:r>
      <w:r w:rsidR="008053AF">
        <w:rPr>
          <w:szCs w:val="24"/>
        </w:rPr>
        <w:t>P</w:t>
      </w:r>
      <w:r w:rsidR="008053AF" w:rsidRPr="004F4CFC">
        <w:rPr>
          <w:szCs w:val="24"/>
        </w:rPr>
        <w:t xml:space="preserve">řílohy </w:t>
      </w:r>
      <w:r w:rsidR="00007888" w:rsidRPr="004F4CFC">
        <w:rPr>
          <w:szCs w:val="24"/>
        </w:rPr>
        <w:t xml:space="preserve">č. 4 </w:t>
      </w:r>
      <w:r w:rsidR="00A00FB4" w:rsidRPr="004F4CFC">
        <w:rPr>
          <w:szCs w:val="24"/>
        </w:rPr>
        <w:t>Smlouvy.</w:t>
      </w:r>
    </w:p>
    <w:p w14:paraId="5E7721F5" w14:textId="2C371DB4" w:rsidR="009322DC" w:rsidRPr="004F4CFC" w:rsidRDefault="009322DC" w:rsidP="009322DC">
      <w:pPr>
        <w:pStyle w:val="Zkladntext"/>
      </w:pPr>
      <w:r w:rsidRPr="004F4CFC">
        <w:t>Redundance HW i SW komponent produkčního prostředí musí umožnit splnění SLA dostupnosti i všech výkonnostních požadavků i v případě výpadku jedné HW komponenty. V případě Správní části AISG je možn</w:t>
      </w:r>
      <w:r w:rsidR="00A00FB4" w:rsidRPr="004F4CFC">
        <w:t>o</w:t>
      </w:r>
      <w:r w:rsidRPr="004F4CFC">
        <w:t xml:space="preserve"> a doporučeno použít mechanismy vysoké dostupnosti na úrovni </w:t>
      </w:r>
      <w:proofErr w:type="spellStart"/>
      <w:r w:rsidRPr="004F4CFC">
        <w:t>virtualizace</w:t>
      </w:r>
      <w:proofErr w:type="spellEnd"/>
      <w:r w:rsidRPr="004F4CFC">
        <w:t xml:space="preserve">. V případě Dozorové části AISG je požadováno </w:t>
      </w:r>
      <w:proofErr w:type="spellStart"/>
      <w:r w:rsidRPr="004F4CFC">
        <w:t>active-active</w:t>
      </w:r>
      <w:proofErr w:type="spellEnd"/>
      <w:r w:rsidRPr="004F4CFC">
        <w:t xml:space="preserve"> řešení na úrovni </w:t>
      </w:r>
      <w:r w:rsidR="001616B3" w:rsidRPr="004F4CFC">
        <w:t>A</w:t>
      </w:r>
      <w:r w:rsidRPr="004F4CFC">
        <w:t>plikac</w:t>
      </w:r>
      <w:r w:rsidR="00F000B7" w:rsidRPr="004F4CFC">
        <w:t>e</w:t>
      </w:r>
      <w:r w:rsidRPr="004F4CFC">
        <w:t xml:space="preserve"> </w:t>
      </w:r>
      <w:r w:rsidR="00945198" w:rsidRPr="004F4CFC">
        <w:t>i</w:t>
      </w:r>
      <w:r w:rsidRPr="004F4CFC">
        <w:t xml:space="preserve"> databáz</w:t>
      </w:r>
      <w:r w:rsidR="00F000B7" w:rsidRPr="004F4CFC">
        <w:t>í</w:t>
      </w:r>
      <w:r w:rsidR="00945198" w:rsidRPr="004F4CFC">
        <w:t>, případně dalších SW produktů</w:t>
      </w:r>
      <w:r w:rsidRPr="004F4CFC">
        <w:t>.</w:t>
      </w:r>
      <w:r w:rsidR="007C4764" w:rsidRPr="004F4CFC">
        <w:t xml:space="preserve"> </w:t>
      </w:r>
    </w:p>
    <w:p w14:paraId="778E4A18" w14:textId="68D1FBBD" w:rsidR="00CE2AC3" w:rsidRPr="004F4CFC" w:rsidRDefault="008C07E6" w:rsidP="00CE2AC3">
      <w:pPr>
        <w:pStyle w:val="Zkladntext"/>
      </w:pPr>
      <w:r w:rsidRPr="004F4CFC">
        <w:t>P</w:t>
      </w:r>
      <w:r w:rsidR="00CE2AC3" w:rsidRPr="004F4CFC">
        <w:t>ro Dozorov</w:t>
      </w:r>
      <w:r w:rsidR="00C7429E">
        <w:t>ou</w:t>
      </w:r>
      <w:r w:rsidR="00CE2AC3" w:rsidRPr="004F4CFC">
        <w:t xml:space="preserve"> část </w:t>
      </w:r>
      <w:r w:rsidR="00BA4892" w:rsidRPr="004F4CFC">
        <w:t xml:space="preserve">je </w:t>
      </w:r>
      <w:r w:rsidR="00CE2AC3" w:rsidRPr="004F4CFC">
        <w:t xml:space="preserve">požadováno umístění části systému do </w:t>
      </w:r>
      <w:r w:rsidRPr="004F4CFC">
        <w:t>druhého datového centra</w:t>
      </w:r>
      <w:r w:rsidR="00CE2AC3" w:rsidRPr="004F4CFC">
        <w:t xml:space="preserve"> </w:t>
      </w:r>
      <w:r w:rsidRPr="004F4CFC">
        <w:t xml:space="preserve">(geografická redundance) </w:t>
      </w:r>
      <w:r w:rsidR="00CE2AC3" w:rsidRPr="004F4CFC">
        <w:t xml:space="preserve">s cílem zajištění parametrů SLA pro tuto část i v případě </w:t>
      </w:r>
      <w:r w:rsidRPr="004F4CFC">
        <w:t xml:space="preserve">kompletního </w:t>
      </w:r>
      <w:r w:rsidR="00CE2AC3" w:rsidRPr="004F4CFC">
        <w:t>výpadku primární</w:t>
      </w:r>
      <w:r w:rsidRPr="004F4CFC">
        <w:t>ho datového centra</w:t>
      </w:r>
      <w:r w:rsidR="00CE2AC3" w:rsidRPr="004F4CFC">
        <w:t xml:space="preserve">. Mechanismus přechodu </w:t>
      </w:r>
      <w:r w:rsidRPr="004F4CFC">
        <w:t xml:space="preserve">provozu do druhého datového centra </w:t>
      </w:r>
      <w:r w:rsidR="00CE2AC3" w:rsidRPr="004F4CFC">
        <w:t>musí splňovat parametry RTO a RPO dle specifikace nefunkčních požadavků v</w:t>
      </w:r>
      <w:r w:rsidR="00007888" w:rsidRPr="004F4CFC">
        <w:t xml:space="preserve"> kapitole 5 </w:t>
      </w:r>
      <w:r w:rsidR="00CE2AC3" w:rsidRPr="004F4CFC">
        <w:t>této přílo</w:t>
      </w:r>
      <w:r w:rsidR="00007888" w:rsidRPr="004F4CFC">
        <w:t>hy</w:t>
      </w:r>
      <w:r w:rsidR="00CE2AC3" w:rsidRPr="004F4CFC">
        <w:t xml:space="preserve"> Smlouvy.</w:t>
      </w:r>
    </w:p>
    <w:p w14:paraId="0569E0C8" w14:textId="0C900272" w:rsidR="00CE2AC3" w:rsidRPr="004F4CFC" w:rsidRDefault="00CE2AC3" w:rsidP="00CE2AC3">
      <w:pPr>
        <w:pStyle w:val="Zkladntext"/>
      </w:pPr>
      <w:r w:rsidRPr="004F4CFC">
        <w:t xml:space="preserve">Využití záložní lokality je možné pro všechny části řešení podle návrhu Dodavatele. </w:t>
      </w:r>
    </w:p>
    <w:p w14:paraId="0BBA92C7" w14:textId="66794796" w:rsidR="0043707D" w:rsidRPr="004F4CFC" w:rsidRDefault="0043707D" w:rsidP="00CE2AC3">
      <w:pPr>
        <w:pStyle w:val="Zkladntext"/>
      </w:pPr>
      <w:r w:rsidRPr="004F4CFC">
        <w:t xml:space="preserve">Pro neprodukční prostředí není Objednatelem požadován stejný výkon </w:t>
      </w:r>
      <w:r w:rsidR="00FB25AA" w:rsidRPr="004F4CFC">
        <w:t>a disková kapacita jako u produkčního prostředí, musí ale splňovat následující požadavky</w:t>
      </w:r>
      <w:r w:rsidR="00813F56" w:rsidRPr="004F4CFC">
        <w:t>:</w:t>
      </w:r>
    </w:p>
    <w:p w14:paraId="33F26949" w14:textId="284E085E" w:rsidR="00813F56" w:rsidRPr="004F4CFC" w:rsidRDefault="009322DC" w:rsidP="00C77F7C">
      <w:pPr>
        <w:pStyle w:val="Odstavecseseznamem"/>
        <w:numPr>
          <w:ilvl w:val="0"/>
          <w:numId w:val="116"/>
        </w:numPr>
      </w:pPr>
      <w:r w:rsidRPr="004F4CFC">
        <w:t xml:space="preserve">Návrh </w:t>
      </w:r>
      <w:proofErr w:type="spellStart"/>
      <w:r w:rsidRPr="004F4CFC">
        <w:t>Pre</w:t>
      </w:r>
      <w:proofErr w:type="spellEnd"/>
      <w:r w:rsidRPr="004F4CFC">
        <w:t>-Produkčního prostředí musí replikovat mechanismy redundance HW a SW produkčního prostředí</w:t>
      </w:r>
      <w:r w:rsidR="00813F56" w:rsidRPr="004F4CFC">
        <w:t>.</w:t>
      </w:r>
    </w:p>
    <w:p w14:paraId="26D72013" w14:textId="55358F11" w:rsidR="009322DC" w:rsidRPr="004F4CFC" w:rsidRDefault="00813F56" w:rsidP="00C77F7C">
      <w:pPr>
        <w:pStyle w:val="Odstavecseseznamem"/>
        <w:numPr>
          <w:ilvl w:val="0"/>
          <w:numId w:val="116"/>
        </w:numPr>
      </w:pPr>
      <w:r w:rsidRPr="004F4CFC">
        <w:t>V</w:t>
      </w:r>
      <w:r w:rsidR="009322DC" w:rsidRPr="004F4CFC">
        <w:t xml:space="preserve">ýkon a datové kapacity </w:t>
      </w:r>
      <w:proofErr w:type="spellStart"/>
      <w:r w:rsidRPr="004F4CFC">
        <w:t>Pre</w:t>
      </w:r>
      <w:proofErr w:type="spellEnd"/>
      <w:r w:rsidRPr="004F4CFC">
        <w:t xml:space="preserve">-Produkčního prostředí </w:t>
      </w:r>
      <w:r w:rsidR="009322DC" w:rsidRPr="004F4CFC">
        <w:t xml:space="preserve">musí odpovídat potřebám funkčního testování </w:t>
      </w:r>
      <w:r w:rsidR="00BF27BA" w:rsidRPr="004F4CFC">
        <w:t xml:space="preserve">oprav a změn </w:t>
      </w:r>
      <w:r w:rsidR="009322DC" w:rsidRPr="004F4CFC">
        <w:t xml:space="preserve">v rámci Servisních služeb a Služeb rozvoje. </w:t>
      </w:r>
    </w:p>
    <w:p w14:paraId="57B6F05B" w14:textId="7A3310B1" w:rsidR="00813F56" w:rsidRPr="004F4CFC" w:rsidRDefault="00223FC5" w:rsidP="00813F56">
      <w:pPr>
        <w:pStyle w:val="Odstavecseseznamem"/>
        <w:numPr>
          <w:ilvl w:val="0"/>
          <w:numId w:val="116"/>
        </w:numPr>
      </w:pPr>
      <w:r w:rsidRPr="004F4CFC">
        <w:t>Návrh T</w:t>
      </w:r>
      <w:r w:rsidR="00813F56" w:rsidRPr="004F4CFC">
        <w:t>estovacího</w:t>
      </w:r>
      <w:r w:rsidRPr="004F4CFC">
        <w:t>/vývojového</w:t>
      </w:r>
      <w:r w:rsidR="00813F56" w:rsidRPr="004F4CFC">
        <w:t xml:space="preserve"> prostředí musí odpovídat požadavkům na testování a školení popsaným v kapitolách 4.3 a 4.5 </w:t>
      </w:r>
      <w:r w:rsidR="002E14B5">
        <w:t>P</w:t>
      </w:r>
      <w:r w:rsidR="002E14B5" w:rsidRPr="004F4CFC">
        <w:t xml:space="preserve">řílohy </w:t>
      </w:r>
      <w:r w:rsidR="00813F56" w:rsidRPr="004F4CFC">
        <w:t>č. 4 Smlouvy.</w:t>
      </w:r>
    </w:p>
    <w:p w14:paraId="1795CEAB" w14:textId="1414560E" w:rsidR="002E242B" w:rsidRPr="004F4CFC" w:rsidRDefault="00223FC5" w:rsidP="00C77F7C">
      <w:pPr>
        <w:pStyle w:val="Odstavecseseznamem"/>
        <w:numPr>
          <w:ilvl w:val="0"/>
          <w:numId w:val="116"/>
        </w:numPr>
      </w:pPr>
      <w:r w:rsidRPr="004F4CFC">
        <w:t xml:space="preserve">Návrh Testovacího/vývojového prostředí </w:t>
      </w:r>
      <w:r w:rsidR="002E242B" w:rsidRPr="004F4CFC">
        <w:t xml:space="preserve">musí </w:t>
      </w:r>
      <w:r w:rsidRPr="004F4CFC">
        <w:t xml:space="preserve">obsahovat vývojové a dokumentační prostředí, popsané </w:t>
      </w:r>
      <w:r w:rsidR="002E242B" w:rsidRPr="004F4CFC">
        <w:t>v kapitol</w:t>
      </w:r>
      <w:r w:rsidRPr="004F4CFC">
        <w:t>e</w:t>
      </w:r>
      <w:r w:rsidR="002E242B" w:rsidRPr="004F4CFC">
        <w:t xml:space="preserve"> 4.</w:t>
      </w:r>
      <w:r w:rsidRPr="004F4CFC">
        <w:t>2</w:t>
      </w:r>
      <w:r w:rsidR="002E242B" w:rsidRPr="004F4CFC">
        <w:t xml:space="preserve"> </w:t>
      </w:r>
      <w:r w:rsidR="002E14B5">
        <w:t>P</w:t>
      </w:r>
      <w:r w:rsidR="002E14B5" w:rsidRPr="004F4CFC">
        <w:t xml:space="preserve">řílohy </w:t>
      </w:r>
      <w:r w:rsidR="002E242B" w:rsidRPr="004F4CFC">
        <w:t>č. 4 Smlouvy.</w:t>
      </w:r>
    </w:p>
    <w:p w14:paraId="6672BD5D" w14:textId="6E3E4926" w:rsidR="00223FC5" w:rsidRPr="004F4CFC" w:rsidRDefault="00223FC5" w:rsidP="00C77F7C">
      <w:pPr>
        <w:pStyle w:val="Odstavecseseznamem"/>
        <w:numPr>
          <w:ilvl w:val="0"/>
          <w:numId w:val="116"/>
        </w:numPr>
      </w:pPr>
      <w:r w:rsidRPr="004F4CFC">
        <w:t xml:space="preserve">Návrh </w:t>
      </w:r>
      <w:r w:rsidR="00B44C6A" w:rsidRPr="004F4CFC">
        <w:t xml:space="preserve">neprodukčních prostředí </w:t>
      </w:r>
      <w:r w:rsidRPr="004F4CFC">
        <w:t xml:space="preserve">musí umožnit po dobu Implementace </w:t>
      </w:r>
      <w:proofErr w:type="spellStart"/>
      <w:r w:rsidRPr="004F4CFC">
        <w:t>Release</w:t>
      </w:r>
      <w:proofErr w:type="spellEnd"/>
      <w:r w:rsidRPr="004F4CFC">
        <w:t xml:space="preserve"> 2 (Etapa 2) nezávislé testování oprav a změn </w:t>
      </w:r>
      <w:proofErr w:type="spellStart"/>
      <w:r w:rsidRPr="004F4CFC">
        <w:t>Release</w:t>
      </w:r>
      <w:proofErr w:type="spellEnd"/>
      <w:r w:rsidRPr="004F4CFC">
        <w:t xml:space="preserve"> 1</w:t>
      </w:r>
      <w:r w:rsidR="00B44C6A" w:rsidRPr="004F4CFC">
        <w:t xml:space="preserve"> paralelně k celému vývojovému a testovacímu cyklu </w:t>
      </w:r>
      <w:proofErr w:type="spellStart"/>
      <w:r w:rsidR="00B44C6A" w:rsidRPr="004F4CFC">
        <w:t>Release</w:t>
      </w:r>
      <w:proofErr w:type="spellEnd"/>
      <w:r w:rsidR="00B44C6A" w:rsidRPr="004F4CFC">
        <w:t xml:space="preserve"> 2. </w:t>
      </w:r>
    </w:p>
    <w:p w14:paraId="26F0BCCB" w14:textId="7439D630" w:rsidR="004270C5" w:rsidRPr="004F4CFC" w:rsidRDefault="004270C5" w:rsidP="00C77F7C">
      <w:r w:rsidRPr="004F4CFC">
        <w:t>Přepokládaný způsob využití neprodukčních prostředí v době provozu je následující:</w:t>
      </w:r>
    </w:p>
    <w:p w14:paraId="747C409B" w14:textId="50879651" w:rsidR="004270C5" w:rsidRPr="004F4CFC" w:rsidRDefault="004270C5" w:rsidP="004270C5">
      <w:pPr>
        <w:pStyle w:val="Odstavecseseznamem"/>
        <w:numPr>
          <w:ilvl w:val="0"/>
          <w:numId w:val="116"/>
        </w:numPr>
      </w:pPr>
      <w:proofErr w:type="spellStart"/>
      <w:r w:rsidRPr="004F4CFC">
        <w:t>Pre</w:t>
      </w:r>
      <w:proofErr w:type="spellEnd"/>
      <w:r w:rsidRPr="004F4CFC">
        <w:t>-produkční prostředí je funkční replikou Produkčního prostředí a je využíváno pro testy drobných oprav a změn a finální testy větších změn před nasazením do Produkčního prostředí.</w:t>
      </w:r>
    </w:p>
    <w:p w14:paraId="7C9E9496" w14:textId="7F2B6501" w:rsidR="004270C5" w:rsidRPr="004F4CFC" w:rsidRDefault="004270C5" w:rsidP="004270C5">
      <w:pPr>
        <w:pStyle w:val="Odstavecseseznamem"/>
        <w:numPr>
          <w:ilvl w:val="0"/>
          <w:numId w:val="116"/>
        </w:numPr>
      </w:pPr>
      <w:r w:rsidRPr="004F4CFC">
        <w:t xml:space="preserve">Testovací/vývojové prostředí je využíváno na vývoj a testování rozsáhlejších změn </w:t>
      </w:r>
    </w:p>
    <w:p w14:paraId="2F69A11B" w14:textId="736289C7" w:rsidR="004270C5" w:rsidRPr="004F4CFC" w:rsidRDefault="004270C5" w:rsidP="00D107E8">
      <w:pPr>
        <w:jc w:val="both"/>
      </w:pPr>
      <w:r w:rsidRPr="004F4CFC">
        <w:t xml:space="preserve">Způsob využití neprodukčních prostředí v době implementace i provozu bude upřesněn ve spolupráci Dodavatele s Objednatelem </w:t>
      </w:r>
      <w:r w:rsidR="00D9215F" w:rsidRPr="004F4CFC">
        <w:t>v Etapě 1A (Návrh architektury řešení, Testovací strategie).</w:t>
      </w:r>
    </w:p>
    <w:p w14:paraId="668937E7" w14:textId="199E2845" w:rsidR="00D15446" w:rsidRPr="004F4CFC" w:rsidRDefault="00D15446" w:rsidP="00D107E8">
      <w:pPr>
        <w:jc w:val="both"/>
      </w:pPr>
      <w:r w:rsidRPr="004F4CFC">
        <w:t xml:space="preserve">Zátěžové testy budou provedeny na </w:t>
      </w:r>
      <w:r w:rsidR="00921847" w:rsidRPr="004F4CFC">
        <w:t xml:space="preserve">budoucím </w:t>
      </w:r>
      <w:r w:rsidRPr="004F4CFC">
        <w:t>Produkčním prostředí před spuštění</w:t>
      </w:r>
      <w:r w:rsidR="00651ED2">
        <w:t>m</w:t>
      </w:r>
      <w:r w:rsidRPr="004F4CFC">
        <w:t xml:space="preserve"> ostrého provozu, nebo na </w:t>
      </w:r>
      <w:proofErr w:type="spellStart"/>
      <w:r w:rsidRPr="004F4CFC">
        <w:t>Pre</w:t>
      </w:r>
      <w:proofErr w:type="spellEnd"/>
      <w:r w:rsidRPr="004F4CFC">
        <w:t xml:space="preserve">-Produkčním prostředí s dočasně </w:t>
      </w:r>
      <w:r w:rsidR="00921847" w:rsidRPr="004F4CFC">
        <w:t xml:space="preserve">re-alokovanými </w:t>
      </w:r>
      <w:r w:rsidRPr="004F4CFC">
        <w:t>HW zdroji</w:t>
      </w:r>
      <w:r w:rsidR="00921847" w:rsidRPr="004F4CFC">
        <w:t xml:space="preserve"> z budoucího Produkčního prostředí</w:t>
      </w:r>
      <w:r w:rsidRPr="004F4CFC">
        <w:t>.</w:t>
      </w:r>
    </w:p>
    <w:p w14:paraId="3AB047AE" w14:textId="533CB542" w:rsidR="00457A80" w:rsidRPr="004F4CFC" w:rsidRDefault="00457A80" w:rsidP="00DD29C4">
      <w:pPr>
        <w:pStyle w:val="Nadpis2"/>
      </w:pPr>
      <w:bookmarkStart w:id="97" w:name="_Toc424667687"/>
      <w:bookmarkStart w:id="98" w:name="_Toc424667688"/>
      <w:bookmarkStart w:id="99" w:name="_Toc424667689"/>
      <w:bookmarkStart w:id="100" w:name="_Toc424667790"/>
      <w:bookmarkStart w:id="101" w:name="_Toc424667792"/>
      <w:bookmarkStart w:id="102" w:name="_Toc424667793"/>
      <w:bookmarkStart w:id="103" w:name="PROSTØEDÍ_3_DEV_TEST"/>
      <w:bookmarkStart w:id="104" w:name="BKM_8B205E5D_D050_403E_9377_FEAF4C216E0C"/>
      <w:bookmarkStart w:id="105" w:name="_Toc424667896"/>
      <w:bookmarkStart w:id="106" w:name="_Toc424667897"/>
      <w:bookmarkStart w:id="107" w:name="BKM_F77E69A4_8D9C_416D_A2D2_3CA6E055D28E"/>
      <w:bookmarkStart w:id="108" w:name="_Toc424667967"/>
      <w:bookmarkStart w:id="109" w:name="_Toc424667968"/>
      <w:bookmarkStart w:id="110" w:name="_Toc424667969"/>
      <w:bookmarkStart w:id="111" w:name="BKM_7B3FBCBB_981F_436B_91C3_2F24840286AF"/>
      <w:bookmarkStart w:id="112" w:name="BKM_72450BEE_9402_4416_A20D_A545365E6D10"/>
      <w:bookmarkStart w:id="113" w:name="_Toc446077222"/>
      <w:bookmarkStart w:id="114" w:name="_Toc510300904"/>
      <w:bookmarkStart w:id="115" w:name="_Toc44607723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4F4CFC">
        <w:t>Standardy a stavební bloky SPCSS</w:t>
      </w:r>
      <w:bookmarkEnd w:id="113"/>
      <w:bookmarkEnd w:id="114"/>
    </w:p>
    <w:p w14:paraId="67532555" w14:textId="3C421ABF" w:rsidR="00457A80" w:rsidRPr="004F4CFC" w:rsidRDefault="00865E60" w:rsidP="00457A80">
      <w:pPr>
        <w:spacing w:after="0"/>
        <w:jc w:val="both"/>
      </w:pPr>
      <w:r w:rsidRPr="004F4CFC">
        <w:t>S</w:t>
      </w:r>
      <w:r w:rsidR="00457A80" w:rsidRPr="004F4CFC">
        <w:t xml:space="preserve">tandardy služeb SPCSS </w:t>
      </w:r>
      <w:r w:rsidRPr="004F4CFC">
        <w:t xml:space="preserve">uvedené v této </w:t>
      </w:r>
      <w:r w:rsidR="00E76988" w:rsidRPr="004F4CFC">
        <w:t>kapitole</w:t>
      </w:r>
      <w:r w:rsidR="00E1210A" w:rsidRPr="004F4CFC">
        <w:t xml:space="preserve"> </w:t>
      </w:r>
      <w:r w:rsidR="00457A80" w:rsidRPr="004F4CFC">
        <w:t xml:space="preserve">jsou pro Dodavatele závazné. </w:t>
      </w:r>
    </w:p>
    <w:p w14:paraId="7BCC20E5" w14:textId="6A2F0DBC" w:rsidR="00457A80" w:rsidRPr="004F4CFC" w:rsidRDefault="00677CCC" w:rsidP="00457A80">
      <w:pPr>
        <w:pStyle w:val="Nadpis3"/>
      </w:pPr>
      <w:bookmarkStart w:id="116" w:name="_Toc446077223"/>
      <w:r>
        <w:t xml:space="preserve"> </w:t>
      </w:r>
      <w:bookmarkStart w:id="117" w:name="_Toc510300905"/>
      <w:r w:rsidR="00457A80" w:rsidRPr="004F4CFC">
        <w:t>Specifikace NDC</w:t>
      </w:r>
      <w:bookmarkEnd w:id="116"/>
      <w:bookmarkEnd w:id="117"/>
    </w:p>
    <w:p w14:paraId="4FCF4706" w14:textId="5A393417" w:rsidR="00BE1E1A" w:rsidRPr="004F4CFC" w:rsidRDefault="00457A80" w:rsidP="00457A80">
      <w:pPr>
        <w:spacing w:after="0"/>
        <w:jc w:val="both"/>
      </w:pPr>
      <w:r w:rsidRPr="004F4CFC">
        <w:t>N</w:t>
      </w:r>
      <w:r w:rsidR="00BE1E1A" w:rsidRPr="004F4CFC">
        <w:t>árodní datové centrum (NDC)</w:t>
      </w:r>
      <w:r w:rsidRPr="004F4CFC">
        <w:t xml:space="preserve"> SPCSS se nachází na adrese Na Vápence 915/14, Žižkov, 130 00 Praha 3. Hlavní parametry NDC jsou prostředí dle normy TIER III ANSI/TIA – 942/</w:t>
      </w:r>
      <w:proofErr w:type="spellStart"/>
      <w:r w:rsidRPr="004F4CFC">
        <w:t>the</w:t>
      </w:r>
      <w:proofErr w:type="spellEnd"/>
      <w:r w:rsidRPr="004F4CFC">
        <w:t xml:space="preserve"> </w:t>
      </w:r>
      <w:proofErr w:type="spellStart"/>
      <w:r w:rsidRPr="004F4CFC">
        <w:t>Uptime</w:t>
      </w:r>
      <w:proofErr w:type="spellEnd"/>
      <w:r w:rsidRPr="004F4CFC">
        <w:t xml:space="preserve"> Institute a možnost provádění servisních prací za plného provozu datového centra SPCSS bez dopadu na zákazníky a jejich zařízení</w:t>
      </w:r>
      <w:r w:rsidR="00BE1E1A" w:rsidRPr="004F4CFC">
        <w:t>.</w:t>
      </w:r>
      <w:r w:rsidRPr="004F4CFC">
        <w:t xml:space="preserve"> NDC </w:t>
      </w:r>
      <w:r w:rsidRPr="004F4CFC">
        <w:lastRenderedPageBreak/>
        <w:t>nabízí redundanci všech kritických systémů a fyzickou bezpečnost, která je zajišťována nepřetržitou fyzickou ostrahou a evidencí vstupu a monitoring oprávněných osob uvnitř datového centra.</w:t>
      </w:r>
      <w:r w:rsidR="00517E9C" w:rsidRPr="004F4CFC">
        <w:t xml:space="preserve"> </w:t>
      </w:r>
    </w:p>
    <w:p w14:paraId="225D2002" w14:textId="77777777" w:rsidR="00BE1E1A" w:rsidRPr="004F4CFC" w:rsidRDefault="00BE1E1A" w:rsidP="00457A80">
      <w:pPr>
        <w:spacing w:after="0"/>
        <w:jc w:val="both"/>
      </w:pPr>
    </w:p>
    <w:p w14:paraId="6116DB10" w14:textId="7AA1604F" w:rsidR="00457A80" w:rsidRPr="004F4CFC" w:rsidRDefault="00BE1E1A" w:rsidP="00457A80">
      <w:pPr>
        <w:spacing w:after="0"/>
        <w:jc w:val="both"/>
      </w:pPr>
      <w:r w:rsidRPr="004F4CFC">
        <w:t>Druhé datové centrum NDC Zeleneč je ve výstavbě a bude v provozu od roku 2019. NDC Zeleneč bude připojeno dostatečnou kapacitou pro zajištění LAN a SAN konektivity mezi lokalitami. Vzdálenost NDC Zeleneč bude dostatečně malá pro použití mechanismů synchronní replikace diskových polí.</w:t>
      </w:r>
    </w:p>
    <w:p w14:paraId="44DEE7FA" w14:textId="77777777" w:rsidR="00457A80" w:rsidRPr="004F4CFC" w:rsidRDefault="00457A80" w:rsidP="00457A80">
      <w:pPr>
        <w:spacing w:after="0"/>
        <w:jc w:val="both"/>
      </w:pPr>
    </w:p>
    <w:p w14:paraId="367642A1" w14:textId="65DE2F59" w:rsidR="00457A80" w:rsidRPr="004F4CFC" w:rsidRDefault="00457A80" w:rsidP="00457A80">
      <w:pPr>
        <w:pStyle w:val="Zkladntext"/>
      </w:pPr>
      <w:r w:rsidRPr="004F4CFC">
        <w:t xml:space="preserve">Pro podporu </w:t>
      </w:r>
      <w:r w:rsidR="00FB6EC3" w:rsidRPr="004F4CFC">
        <w:t>geogr</w:t>
      </w:r>
      <w:r w:rsidR="00BE1E1A" w:rsidRPr="004F4CFC">
        <w:t>afické redundance</w:t>
      </w:r>
      <w:r w:rsidRPr="004F4CFC">
        <w:t>, požadované pro Dozorov</w:t>
      </w:r>
      <w:r w:rsidR="007A2BF2">
        <w:t>ou</w:t>
      </w:r>
      <w:r w:rsidRPr="004F4CFC">
        <w:t xml:space="preserve"> část, </w:t>
      </w:r>
      <w:r w:rsidR="00BE1E1A" w:rsidRPr="004F4CFC">
        <w:t xml:space="preserve">zajistí </w:t>
      </w:r>
      <w:r w:rsidRPr="004F4CFC">
        <w:t xml:space="preserve">SPCSS </w:t>
      </w:r>
      <w:r w:rsidR="00BE1E1A" w:rsidRPr="004F4CFC">
        <w:t xml:space="preserve">dočasné </w:t>
      </w:r>
      <w:r w:rsidRPr="004F4CFC">
        <w:t xml:space="preserve">umístění </w:t>
      </w:r>
      <w:r w:rsidR="00BE1E1A" w:rsidRPr="004F4CFC">
        <w:t xml:space="preserve">systémů určených pro druhé DC </w:t>
      </w:r>
      <w:r w:rsidRPr="004F4CFC">
        <w:t xml:space="preserve">v oddělené místnosti s plně nezávislou podporou na všech úrovních (napájení, chlazení, síťové připojení) a </w:t>
      </w:r>
      <w:r w:rsidR="00BE1E1A" w:rsidRPr="004F4CFC">
        <w:t xml:space="preserve">výhledově </w:t>
      </w:r>
      <w:r w:rsidRPr="004F4CFC">
        <w:t xml:space="preserve">přesun do </w:t>
      </w:r>
      <w:r w:rsidR="00BE1E1A" w:rsidRPr="004F4CFC">
        <w:t>druhé lokality</w:t>
      </w:r>
      <w:r w:rsidRPr="004F4CFC">
        <w:t xml:space="preserve">. Využití </w:t>
      </w:r>
      <w:r w:rsidR="00BE1E1A" w:rsidRPr="004F4CFC">
        <w:t xml:space="preserve">druhé </w:t>
      </w:r>
      <w:r w:rsidRPr="004F4CFC">
        <w:t xml:space="preserve">lokality je možné pro všechny části řešení podle návrhu Dodavatele, nejen pro </w:t>
      </w:r>
      <w:r w:rsidR="007A2BF2">
        <w:t>Dozorovou</w:t>
      </w:r>
      <w:r w:rsidRPr="004F4CFC">
        <w:t xml:space="preserve"> část</w:t>
      </w:r>
      <w:r w:rsidR="00BE1E1A" w:rsidRPr="004F4CFC">
        <w:t>.</w:t>
      </w:r>
    </w:p>
    <w:p w14:paraId="71E6E809" w14:textId="2A2EE799" w:rsidR="00457A80" w:rsidRPr="004F4CFC" w:rsidRDefault="00677CCC" w:rsidP="00457A80">
      <w:pPr>
        <w:pStyle w:val="Nadpis3"/>
      </w:pPr>
      <w:bookmarkStart w:id="118" w:name="_Toc446077224"/>
      <w:r>
        <w:t xml:space="preserve"> </w:t>
      </w:r>
      <w:bookmarkStart w:id="119" w:name="_Toc510300906"/>
      <w:r w:rsidR="00457A80" w:rsidRPr="004F4CFC">
        <w:t>Bezpečné propojení a připojení do Internetu</w:t>
      </w:r>
      <w:bookmarkEnd w:id="118"/>
      <w:bookmarkEnd w:id="119"/>
      <w:r w:rsidR="00457A80" w:rsidRPr="004F4CFC">
        <w:t xml:space="preserve"> </w:t>
      </w:r>
    </w:p>
    <w:p w14:paraId="4260A166" w14:textId="40CCD383" w:rsidR="00457A80" w:rsidRPr="004F4CFC" w:rsidRDefault="00457A80" w:rsidP="00322133">
      <w:pPr>
        <w:jc w:val="both"/>
      </w:pPr>
      <w:r w:rsidRPr="004F4CFC">
        <w:t xml:space="preserve">SPCSS provozuje síťovou infrastrukturu včetně telekomunikačních linek a aktivních síťových bezpečnostních prvků, zahrnující redundantní připojení do internetu a </w:t>
      </w:r>
      <w:proofErr w:type="spellStart"/>
      <w:r w:rsidRPr="004F4CFC">
        <w:t>NIXu</w:t>
      </w:r>
      <w:proofErr w:type="spellEnd"/>
      <w:r w:rsidRPr="004F4CFC">
        <w:t xml:space="preserve"> s vlastním AS, propojení do CMS a KIVS, propojení do resortních sítí (GOVBONE), ochranu proti </w:t>
      </w:r>
      <w:proofErr w:type="spellStart"/>
      <w:r w:rsidRPr="004F4CFC">
        <w:t>DoS</w:t>
      </w:r>
      <w:proofErr w:type="spellEnd"/>
      <w:r w:rsidRPr="004F4CFC">
        <w:t xml:space="preserve"> a </w:t>
      </w:r>
      <w:proofErr w:type="spellStart"/>
      <w:r w:rsidRPr="004F4CFC">
        <w:t>DDoS</w:t>
      </w:r>
      <w:proofErr w:type="spellEnd"/>
      <w:r w:rsidRPr="004F4CFC">
        <w:t xml:space="preserve"> útokům, ochranu proti síťovým útokům (IPS, IDS), SSL terminátory (SSL akcelerátory, SSL </w:t>
      </w:r>
      <w:proofErr w:type="spellStart"/>
      <w:r w:rsidRPr="004F4CFC">
        <w:t>off-loadery</w:t>
      </w:r>
      <w:proofErr w:type="spellEnd"/>
      <w:r w:rsidRPr="004F4CFC">
        <w:t xml:space="preserve">), síťové firewally, webový aplikační firewall (WAF), </w:t>
      </w:r>
      <w:proofErr w:type="spellStart"/>
      <w:r w:rsidRPr="004F4CFC">
        <w:t>load</w:t>
      </w:r>
      <w:proofErr w:type="spellEnd"/>
      <w:r w:rsidRPr="004F4CFC">
        <w:t xml:space="preserve"> </w:t>
      </w:r>
      <w:proofErr w:type="spellStart"/>
      <w:r w:rsidRPr="004F4CFC">
        <w:t>balancery</w:t>
      </w:r>
      <w:proofErr w:type="spellEnd"/>
      <w:r w:rsidRPr="004F4CFC">
        <w:t>.</w:t>
      </w:r>
    </w:p>
    <w:p w14:paraId="73D0B9F5" w14:textId="3FA18A7C" w:rsidR="007F44F9" w:rsidRDefault="00457A80" w:rsidP="007F44F9">
      <w:pPr>
        <w:jc w:val="both"/>
      </w:pPr>
      <w:r w:rsidRPr="004F4CFC">
        <w:t xml:space="preserve">Součástí síťové infrastruktury SPCSS jsou rovněž standardní síťové služby NTP, DNS, e-mail a VPN (vzdálený přístup). Síťová infrastruktura SPCSS je plně integrována do </w:t>
      </w:r>
      <w:r w:rsidR="001C0319" w:rsidRPr="004F4CFC">
        <w:t xml:space="preserve">provozního a </w:t>
      </w:r>
      <w:r w:rsidRPr="004F4CFC">
        <w:t xml:space="preserve">bezpečnostního </w:t>
      </w:r>
      <w:r w:rsidR="001C0319" w:rsidRPr="004F4CFC">
        <w:t xml:space="preserve">monitoringu </w:t>
      </w:r>
      <w:r w:rsidRPr="004F4CFC">
        <w:t>SPCSS. Část návrhové, implementační a provozní dokumentace síťové infrastruktury SPCSS je chráněna v režimu utajovaných informací stupně Vyhrazené dle Zákona o ochraně utajovaných informací.</w:t>
      </w:r>
    </w:p>
    <w:p w14:paraId="32002700" w14:textId="39B7F5D5" w:rsidR="007F44F9" w:rsidRPr="00C00D18" w:rsidRDefault="007F44F9">
      <w:pPr>
        <w:jc w:val="both"/>
      </w:pPr>
      <w:r>
        <w:t xml:space="preserve">Síťová infrastruktura SPCSS při redundantním návrhu komponent výpočetního výkonu a diskového prostoru </w:t>
      </w:r>
      <w:r w:rsidR="00C00D18">
        <w:t>splňuje požadavky na celkovou dostupnost systému 99,982</w:t>
      </w:r>
      <w:r w:rsidR="00C00D18" w:rsidRPr="006F1763">
        <w:t>%.</w:t>
      </w:r>
    </w:p>
    <w:p w14:paraId="32EFFFBB" w14:textId="6B362562" w:rsidR="00457A80" w:rsidRPr="004F4CFC" w:rsidRDefault="00457A80" w:rsidP="00322133">
      <w:pPr>
        <w:jc w:val="both"/>
      </w:pPr>
      <w:r w:rsidRPr="004F4CFC">
        <w:t>Bezpečnostní standardy SPCSS obecně nevyžadují šifrování vnitřních komunikací, šifrovaná komunikace na vnitřních sítích se používá ve vybraných případech podle bezpečnostních požadavků příslušného IS (viz kapitol</w:t>
      </w:r>
      <w:r w:rsidR="00933150" w:rsidRPr="004F4CFC">
        <w:t>u</w:t>
      </w:r>
      <w:r w:rsidRPr="004F4CFC">
        <w:t xml:space="preserve"> </w:t>
      </w:r>
      <w:r w:rsidR="00933150" w:rsidRPr="004F4CFC">
        <w:t>5.</w:t>
      </w:r>
      <w:r w:rsidR="00D63711">
        <w:t>3</w:t>
      </w:r>
      <w:r w:rsidR="00D63711" w:rsidRPr="004F4CFC">
        <w:t xml:space="preserve"> </w:t>
      </w:r>
      <w:r w:rsidR="00933150" w:rsidRPr="004F4CFC">
        <w:t>této přílohy Smlouvy</w:t>
      </w:r>
      <w:r w:rsidRPr="004F4CFC">
        <w:t>)</w:t>
      </w:r>
    </w:p>
    <w:p w14:paraId="75C79A84" w14:textId="75BA9101" w:rsidR="00457A80" w:rsidRPr="004F4CFC" w:rsidRDefault="00457A80" w:rsidP="00457A80">
      <w:pPr>
        <w:spacing w:after="0"/>
        <w:jc w:val="both"/>
      </w:pPr>
      <w:r w:rsidRPr="004F4CFC">
        <w:t xml:space="preserve">Primární úroveň antivirové ochrany je předpokládána na </w:t>
      </w:r>
      <w:r w:rsidR="00945198" w:rsidRPr="004F4CFC">
        <w:t xml:space="preserve">aplikační </w:t>
      </w:r>
      <w:r w:rsidRPr="004F4CFC">
        <w:t>úrovni a je zajišťována Dodavatelem</w:t>
      </w:r>
      <w:r w:rsidR="00945198" w:rsidRPr="004F4CFC">
        <w:t xml:space="preserve"> jako součást </w:t>
      </w:r>
      <w:r w:rsidR="00CE1C3F" w:rsidRPr="004F4CFC">
        <w:t>Plnění</w:t>
      </w:r>
      <w:r w:rsidRPr="004F4CFC">
        <w:t>.</w:t>
      </w:r>
    </w:p>
    <w:p w14:paraId="6B0C4795" w14:textId="6477AD8C" w:rsidR="00FB6EC3" w:rsidRPr="004F4CFC" w:rsidRDefault="00677CCC" w:rsidP="00FB6EC3">
      <w:pPr>
        <w:pStyle w:val="Nadpis3"/>
      </w:pPr>
      <w:bookmarkStart w:id="120" w:name="_Toc480196267"/>
      <w:bookmarkStart w:id="121" w:name="_Toc480196268"/>
      <w:bookmarkStart w:id="122" w:name="_Toc446077225"/>
      <w:bookmarkStart w:id="123" w:name="_Toc446077227"/>
      <w:bookmarkEnd w:id="120"/>
      <w:bookmarkEnd w:id="121"/>
      <w:r>
        <w:t xml:space="preserve"> </w:t>
      </w:r>
      <w:bookmarkStart w:id="124" w:name="_Toc510300907"/>
      <w:r w:rsidR="00FB6EC3" w:rsidRPr="004F4CFC">
        <w:t>Poskytování výpočetního výkonu</w:t>
      </w:r>
      <w:bookmarkEnd w:id="122"/>
      <w:bookmarkEnd w:id="124"/>
      <w:r w:rsidR="00FB6EC3" w:rsidRPr="004F4CFC">
        <w:t xml:space="preserve"> </w:t>
      </w:r>
    </w:p>
    <w:p w14:paraId="51231D88" w14:textId="1CBB3995" w:rsidR="00FB6EC3" w:rsidRPr="004F4CFC" w:rsidRDefault="00FB6EC3" w:rsidP="00FB6EC3">
      <w:pPr>
        <w:jc w:val="both"/>
      </w:pPr>
      <w:r w:rsidRPr="004F4CFC">
        <w:t xml:space="preserve">SPCSS provozuje v rámci svých služeb privátní </w:t>
      </w:r>
      <w:proofErr w:type="spellStart"/>
      <w:r w:rsidRPr="004F4CFC">
        <w:t>cloud</w:t>
      </w:r>
      <w:proofErr w:type="spellEnd"/>
      <w:r w:rsidRPr="004F4CFC">
        <w:t xml:space="preserve"> formou </w:t>
      </w:r>
      <w:proofErr w:type="spellStart"/>
      <w:r w:rsidRPr="004F4CFC">
        <w:t>IaaS</w:t>
      </w:r>
      <w:proofErr w:type="spellEnd"/>
      <w:r w:rsidRPr="004F4CFC">
        <w:t xml:space="preserve">. Standardem je platforma x86, 64bit. Privátní </w:t>
      </w:r>
      <w:proofErr w:type="spellStart"/>
      <w:r w:rsidRPr="004F4CFC">
        <w:t>cloud</w:t>
      </w:r>
      <w:proofErr w:type="spellEnd"/>
      <w:r w:rsidRPr="004F4CFC">
        <w:t xml:space="preserve"> je rozdělen do dvou datových center (DC1, DC2), v každém datovém centru je dále rozdělen do dvou </w:t>
      </w:r>
      <w:proofErr w:type="spellStart"/>
      <w:r w:rsidRPr="004F4CFC">
        <w:t>virtualizačních</w:t>
      </w:r>
      <w:proofErr w:type="spellEnd"/>
      <w:r w:rsidRPr="004F4CFC">
        <w:t xml:space="preserve"> domén umístěných na oddělených HW </w:t>
      </w:r>
      <w:proofErr w:type="gramStart"/>
      <w:r w:rsidRPr="004F4CFC">
        <w:t>platformách</w:t>
      </w:r>
      <w:proofErr w:type="gramEnd"/>
      <w:r w:rsidRPr="004F4CFC">
        <w:t xml:space="preserve">. V oblasti </w:t>
      </w:r>
      <w:proofErr w:type="spellStart"/>
      <w:r w:rsidRPr="004F4CFC">
        <w:t>virtualizace</w:t>
      </w:r>
      <w:proofErr w:type="spellEnd"/>
      <w:r w:rsidRPr="004F4CFC">
        <w:t xml:space="preserve"> jsou podporovány technologie KVM, </w:t>
      </w:r>
      <w:proofErr w:type="spellStart"/>
      <w:r w:rsidRPr="004F4CFC">
        <w:t>VMware</w:t>
      </w:r>
      <w:proofErr w:type="spellEnd"/>
      <w:r w:rsidRPr="004F4CFC">
        <w:t xml:space="preserve"> a MS Hyper-V. </w:t>
      </w:r>
      <w:r w:rsidR="00161C78" w:rsidRPr="004F4CFC">
        <w:t>L</w:t>
      </w:r>
      <w:r w:rsidRPr="004F4CFC">
        <w:t xml:space="preserve">icence </w:t>
      </w:r>
      <w:proofErr w:type="spellStart"/>
      <w:r w:rsidRPr="004F4CFC">
        <w:t>virtualiza</w:t>
      </w:r>
      <w:r w:rsidR="00161C78" w:rsidRPr="004F4CFC">
        <w:t>čního</w:t>
      </w:r>
      <w:proofErr w:type="spellEnd"/>
      <w:r w:rsidR="00161C78" w:rsidRPr="004F4CFC">
        <w:t xml:space="preserve"> software</w:t>
      </w:r>
      <w:r w:rsidRPr="004F4CFC">
        <w:t xml:space="preserve"> jsou součástí služby SPCSS. Součástí služby jsou i aktualizace verzí </w:t>
      </w:r>
      <w:proofErr w:type="spellStart"/>
      <w:r w:rsidRPr="004F4CFC">
        <w:t>virtualizačního</w:t>
      </w:r>
      <w:proofErr w:type="spellEnd"/>
      <w:r w:rsidRPr="004F4CFC">
        <w:t xml:space="preserve"> </w:t>
      </w:r>
      <w:r w:rsidR="00161C78" w:rsidRPr="004F4CFC">
        <w:t>software</w:t>
      </w:r>
      <w:r w:rsidRPr="004F4CFC">
        <w:t xml:space="preserve">. </w:t>
      </w:r>
    </w:p>
    <w:p w14:paraId="4B30D4BB" w14:textId="559CCE70" w:rsidR="00FB6EC3" w:rsidRPr="004F4CFC" w:rsidRDefault="00FB6EC3" w:rsidP="00FB6EC3">
      <w:pPr>
        <w:spacing w:after="0"/>
        <w:jc w:val="both"/>
      </w:pPr>
      <w:r w:rsidRPr="004F4CFC">
        <w:t xml:space="preserve">K dispozici jsou tři plány alokace </w:t>
      </w:r>
      <w:proofErr w:type="spellStart"/>
      <w:r w:rsidRPr="004F4CFC">
        <w:t>vCPU</w:t>
      </w:r>
      <w:proofErr w:type="spellEnd"/>
      <w:r w:rsidRPr="004F4CFC">
        <w:t xml:space="preserve"> a </w:t>
      </w:r>
      <w:proofErr w:type="spellStart"/>
      <w:r w:rsidRPr="004F4CFC">
        <w:t>vRAM</w:t>
      </w:r>
      <w:proofErr w:type="spellEnd"/>
      <w:r w:rsidRPr="004F4CFC">
        <w:t xml:space="preserve"> do výpočetních bloků. Plán A pro standardní </w:t>
      </w:r>
      <w:r w:rsidR="00F000B7" w:rsidRPr="004F4CFC">
        <w:t xml:space="preserve">aplikace </w:t>
      </w:r>
      <w:r w:rsidRPr="004F4CFC">
        <w:t xml:space="preserve">optimálně zohledňující poměr </w:t>
      </w:r>
      <w:proofErr w:type="spellStart"/>
      <w:r w:rsidRPr="004F4CFC">
        <w:t>vCPU</w:t>
      </w:r>
      <w:proofErr w:type="spellEnd"/>
      <w:r w:rsidRPr="004F4CFC">
        <w:t xml:space="preserve"> a </w:t>
      </w:r>
      <w:proofErr w:type="spellStart"/>
      <w:r w:rsidRPr="004F4CFC">
        <w:t>vRAM</w:t>
      </w:r>
      <w:proofErr w:type="spellEnd"/>
      <w:r w:rsidRPr="004F4CFC">
        <w:t xml:space="preserve"> a dále plán B pro procesorově náročnější aplikace a plán C pro paměťově náročné aplikace. Níže uvedená tabulka blíže specifikuje konfiguraci základních výpočetních bloků pro jednotlivé plány: </w:t>
      </w:r>
    </w:p>
    <w:p w14:paraId="2B5DDA1C" w14:textId="77777777" w:rsidR="00FB6EC3" w:rsidRPr="004F4CFC" w:rsidRDefault="00FB6EC3" w:rsidP="00FB6EC3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843"/>
        <w:gridCol w:w="1843"/>
      </w:tblGrid>
      <w:tr w:rsidR="00FB6EC3" w:rsidRPr="004F4CFC" w14:paraId="119C6441" w14:textId="77777777" w:rsidTr="00C13D1F">
        <w:tc>
          <w:tcPr>
            <w:tcW w:w="1384" w:type="dxa"/>
            <w:shd w:val="clear" w:color="auto" w:fill="FFE0C5" w:themeFill="text2" w:themeFillTint="33"/>
            <w:vAlign w:val="center"/>
          </w:tcPr>
          <w:p w14:paraId="4A852549" w14:textId="77777777" w:rsidR="00FB6EC3" w:rsidRPr="004F4CFC" w:rsidRDefault="00FB6EC3" w:rsidP="00C13D1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E0C5" w:themeFill="text2" w:themeFillTint="33"/>
            <w:vAlign w:val="center"/>
          </w:tcPr>
          <w:p w14:paraId="70F43570" w14:textId="77777777" w:rsidR="00FB6EC3" w:rsidRPr="004F4CFC" w:rsidRDefault="00FB6EC3" w:rsidP="00C13D1F">
            <w:pPr>
              <w:jc w:val="both"/>
            </w:pPr>
            <w:r w:rsidRPr="004F4CFC">
              <w:rPr>
                <w:rFonts w:asciiTheme="majorHAnsi" w:hAnsiTheme="majorHAnsi"/>
              </w:rPr>
              <w:t>Procesor</w:t>
            </w:r>
          </w:p>
        </w:tc>
        <w:tc>
          <w:tcPr>
            <w:tcW w:w="1843" w:type="dxa"/>
            <w:shd w:val="clear" w:color="auto" w:fill="FFE0C5" w:themeFill="text2" w:themeFillTint="33"/>
            <w:vAlign w:val="center"/>
          </w:tcPr>
          <w:p w14:paraId="63B2F44F" w14:textId="77777777" w:rsidR="00FB6EC3" w:rsidRPr="004F4CFC" w:rsidRDefault="00FB6EC3" w:rsidP="00C13D1F">
            <w:pPr>
              <w:jc w:val="both"/>
            </w:pPr>
            <w:r w:rsidRPr="004F4CFC">
              <w:t xml:space="preserve">Počet </w:t>
            </w:r>
            <w:proofErr w:type="spellStart"/>
            <w:r w:rsidRPr="004F4CFC">
              <w:t>vCPU</w:t>
            </w:r>
            <w:proofErr w:type="spellEnd"/>
            <w:r w:rsidRPr="004F4CFC">
              <w:t xml:space="preserve"> (</w:t>
            </w:r>
            <w:proofErr w:type="spellStart"/>
            <w:r w:rsidRPr="004F4CFC">
              <w:t>core</w:t>
            </w:r>
            <w:proofErr w:type="spellEnd"/>
            <w:r w:rsidRPr="004F4CFC">
              <w:t>)</w:t>
            </w:r>
          </w:p>
        </w:tc>
        <w:tc>
          <w:tcPr>
            <w:tcW w:w="1843" w:type="dxa"/>
            <w:shd w:val="clear" w:color="auto" w:fill="FFE0C5" w:themeFill="text2" w:themeFillTint="33"/>
            <w:vAlign w:val="center"/>
          </w:tcPr>
          <w:p w14:paraId="635366D2" w14:textId="77777777" w:rsidR="00FB6EC3" w:rsidRPr="004F4CFC" w:rsidRDefault="00FB6EC3" w:rsidP="00C13D1F">
            <w:pPr>
              <w:jc w:val="both"/>
            </w:pPr>
            <w:proofErr w:type="spellStart"/>
            <w:r w:rsidRPr="004F4CFC">
              <w:t>vRAM</w:t>
            </w:r>
            <w:proofErr w:type="spellEnd"/>
            <w:r w:rsidRPr="004F4CFC">
              <w:t xml:space="preserve"> (GB)</w:t>
            </w:r>
          </w:p>
        </w:tc>
      </w:tr>
      <w:tr w:rsidR="00FB6EC3" w:rsidRPr="004F4CFC" w14:paraId="471F8F69" w14:textId="77777777" w:rsidTr="00C13D1F">
        <w:tc>
          <w:tcPr>
            <w:tcW w:w="1384" w:type="dxa"/>
          </w:tcPr>
          <w:p w14:paraId="37BEBC8C" w14:textId="77777777" w:rsidR="00FB6EC3" w:rsidRPr="004F4CFC" w:rsidRDefault="00FB6EC3" w:rsidP="00C13D1F">
            <w:pPr>
              <w:jc w:val="both"/>
            </w:pPr>
            <w:r w:rsidRPr="004F4CFC">
              <w:t>Plán A</w:t>
            </w:r>
          </w:p>
        </w:tc>
        <w:tc>
          <w:tcPr>
            <w:tcW w:w="4961" w:type="dxa"/>
          </w:tcPr>
          <w:p w14:paraId="2B5423C6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>E5-2630 v3 (</w:t>
            </w:r>
            <w:proofErr w:type="spellStart"/>
            <w:r w:rsidRPr="004F4CFC">
              <w:rPr>
                <w:color w:val="1F497D"/>
              </w:rPr>
              <w:t>Haswell</w:t>
            </w:r>
            <w:proofErr w:type="spellEnd"/>
            <w:r w:rsidRPr="004F4CFC">
              <w:rPr>
                <w:color w:val="1F497D"/>
              </w:rPr>
              <w:t xml:space="preserve">) 3.2GHz </w:t>
            </w:r>
          </w:p>
        </w:tc>
        <w:tc>
          <w:tcPr>
            <w:tcW w:w="1843" w:type="dxa"/>
          </w:tcPr>
          <w:p w14:paraId="55ED1F65" w14:textId="77777777" w:rsidR="00FB6EC3" w:rsidRPr="004F4CFC" w:rsidRDefault="00FB6EC3" w:rsidP="00C13D1F">
            <w:pPr>
              <w:jc w:val="both"/>
            </w:pPr>
            <w:r w:rsidRPr="004F4CFC">
              <w:t>1</w:t>
            </w:r>
          </w:p>
        </w:tc>
        <w:tc>
          <w:tcPr>
            <w:tcW w:w="1843" w:type="dxa"/>
          </w:tcPr>
          <w:p w14:paraId="04DA55F0" w14:textId="77777777" w:rsidR="00FB6EC3" w:rsidRPr="004F4CFC" w:rsidRDefault="00FB6EC3" w:rsidP="00C13D1F">
            <w:pPr>
              <w:jc w:val="both"/>
            </w:pPr>
            <w:r w:rsidRPr="004F4CFC">
              <w:t>4</w:t>
            </w:r>
          </w:p>
        </w:tc>
      </w:tr>
      <w:tr w:rsidR="00FB6EC3" w:rsidRPr="004F4CFC" w14:paraId="1BA62AB6" w14:textId="77777777" w:rsidTr="00C13D1F">
        <w:tc>
          <w:tcPr>
            <w:tcW w:w="1384" w:type="dxa"/>
          </w:tcPr>
          <w:p w14:paraId="20CD83F7" w14:textId="77777777" w:rsidR="00FB6EC3" w:rsidRPr="004F4CFC" w:rsidRDefault="00FB6EC3" w:rsidP="00C13D1F">
            <w:pPr>
              <w:jc w:val="both"/>
            </w:pPr>
            <w:r w:rsidRPr="004F4CFC">
              <w:t>Plán B</w:t>
            </w:r>
          </w:p>
        </w:tc>
        <w:tc>
          <w:tcPr>
            <w:tcW w:w="4961" w:type="dxa"/>
          </w:tcPr>
          <w:p w14:paraId="074C65E3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>E5-2698 v3 (</w:t>
            </w:r>
            <w:proofErr w:type="spellStart"/>
            <w:r w:rsidRPr="004F4CFC">
              <w:rPr>
                <w:color w:val="1F497D"/>
              </w:rPr>
              <w:t>Haswell</w:t>
            </w:r>
            <w:proofErr w:type="spellEnd"/>
            <w:r w:rsidRPr="004F4CFC">
              <w:rPr>
                <w:color w:val="1F497D"/>
              </w:rPr>
              <w:t xml:space="preserve">) 3.6GHz </w:t>
            </w:r>
          </w:p>
        </w:tc>
        <w:tc>
          <w:tcPr>
            <w:tcW w:w="1843" w:type="dxa"/>
          </w:tcPr>
          <w:p w14:paraId="18ED7010" w14:textId="77777777" w:rsidR="00FB6EC3" w:rsidRPr="004F4CFC" w:rsidRDefault="00FB6EC3" w:rsidP="00C13D1F">
            <w:pPr>
              <w:jc w:val="both"/>
            </w:pPr>
            <w:r w:rsidRPr="004F4CFC">
              <w:t>1</w:t>
            </w:r>
          </w:p>
        </w:tc>
        <w:tc>
          <w:tcPr>
            <w:tcW w:w="1843" w:type="dxa"/>
          </w:tcPr>
          <w:p w14:paraId="67F0CAEF" w14:textId="77777777" w:rsidR="00FB6EC3" w:rsidRPr="004F4CFC" w:rsidRDefault="00FB6EC3" w:rsidP="00C13D1F">
            <w:pPr>
              <w:jc w:val="both"/>
            </w:pPr>
            <w:r w:rsidRPr="004F4CFC">
              <w:t>2</w:t>
            </w:r>
          </w:p>
        </w:tc>
      </w:tr>
      <w:tr w:rsidR="00FB6EC3" w:rsidRPr="004F4CFC" w14:paraId="151D53E0" w14:textId="77777777" w:rsidTr="00C13D1F">
        <w:tc>
          <w:tcPr>
            <w:tcW w:w="1384" w:type="dxa"/>
          </w:tcPr>
          <w:p w14:paraId="50C15392" w14:textId="77777777" w:rsidR="00FB6EC3" w:rsidRPr="004F4CFC" w:rsidRDefault="00FB6EC3" w:rsidP="00C13D1F">
            <w:pPr>
              <w:jc w:val="both"/>
            </w:pPr>
            <w:r w:rsidRPr="004F4CFC">
              <w:t>Plán C</w:t>
            </w:r>
          </w:p>
        </w:tc>
        <w:tc>
          <w:tcPr>
            <w:tcW w:w="4961" w:type="dxa"/>
          </w:tcPr>
          <w:p w14:paraId="23AFDE82" w14:textId="77777777" w:rsidR="00FB6EC3" w:rsidRPr="004F4CFC" w:rsidRDefault="00FB6EC3" w:rsidP="00C13D1F">
            <w:pPr>
              <w:jc w:val="both"/>
              <w:rPr>
                <w:color w:val="1F497D"/>
              </w:rPr>
            </w:pPr>
            <w:r w:rsidRPr="004F4CFC">
              <w:rPr>
                <w:color w:val="1F497D"/>
              </w:rPr>
              <w:t>E5-2698 v3 (</w:t>
            </w:r>
            <w:proofErr w:type="spellStart"/>
            <w:r w:rsidRPr="004F4CFC">
              <w:rPr>
                <w:color w:val="1F497D"/>
              </w:rPr>
              <w:t>Haswell</w:t>
            </w:r>
            <w:proofErr w:type="spellEnd"/>
            <w:r w:rsidRPr="004F4CFC">
              <w:rPr>
                <w:color w:val="1F497D"/>
              </w:rPr>
              <w:t xml:space="preserve">) 3.6GHz </w:t>
            </w:r>
          </w:p>
        </w:tc>
        <w:tc>
          <w:tcPr>
            <w:tcW w:w="1843" w:type="dxa"/>
          </w:tcPr>
          <w:p w14:paraId="2CF7EC3B" w14:textId="77777777" w:rsidR="00FB6EC3" w:rsidRPr="004F4CFC" w:rsidRDefault="00FB6EC3" w:rsidP="00C13D1F">
            <w:pPr>
              <w:jc w:val="both"/>
            </w:pPr>
            <w:r w:rsidRPr="004F4CFC">
              <w:t>1</w:t>
            </w:r>
          </w:p>
        </w:tc>
        <w:tc>
          <w:tcPr>
            <w:tcW w:w="1843" w:type="dxa"/>
          </w:tcPr>
          <w:p w14:paraId="3E2E6674" w14:textId="77777777" w:rsidR="00FB6EC3" w:rsidRPr="004F4CFC" w:rsidRDefault="00FB6EC3" w:rsidP="00C13D1F">
            <w:pPr>
              <w:jc w:val="both"/>
            </w:pPr>
            <w:r w:rsidRPr="004F4CFC">
              <w:t>8</w:t>
            </w:r>
          </w:p>
        </w:tc>
      </w:tr>
    </w:tbl>
    <w:p w14:paraId="212762C9" w14:textId="77777777" w:rsidR="00FB6EC3" w:rsidRPr="004F4CFC" w:rsidRDefault="00FB6EC3" w:rsidP="00FB6EC3">
      <w:pPr>
        <w:spacing w:after="0"/>
        <w:jc w:val="both"/>
      </w:pPr>
    </w:p>
    <w:p w14:paraId="7F058B83" w14:textId="3C561728" w:rsidR="00FB6EC3" w:rsidRPr="004F4CFC" w:rsidRDefault="00FB6EC3" w:rsidP="00FB6EC3">
      <w:pPr>
        <w:jc w:val="both"/>
      </w:pPr>
      <w:r w:rsidRPr="004F4CFC">
        <w:t xml:space="preserve">Každý plán je daná kombinace </w:t>
      </w:r>
      <w:proofErr w:type="spellStart"/>
      <w:r w:rsidRPr="004F4CFC">
        <w:t>vCPU</w:t>
      </w:r>
      <w:proofErr w:type="spellEnd"/>
      <w:r w:rsidRPr="004F4CFC">
        <w:t xml:space="preserve"> a </w:t>
      </w:r>
      <w:proofErr w:type="spellStart"/>
      <w:r w:rsidRPr="004F4CFC">
        <w:t>vRAM</w:t>
      </w:r>
      <w:proofErr w:type="spellEnd"/>
      <w:r w:rsidRPr="004F4CFC">
        <w:t xml:space="preserve">. Zdroje požadované pro virtuální instanci jsou pak násobkem základního výpočetního bloku. V případě, že požadovaný poměr počtu </w:t>
      </w:r>
      <w:proofErr w:type="spellStart"/>
      <w:r w:rsidRPr="004F4CFC">
        <w:t>vCPU</w:t>
      </w:r>
      <w:proofErr w:type="spellEnd"/>
      <w:r w:rsidRPr="004F4CFC">
        <w:t xml:space="preserve"> a GB </w:t>
      </w:r>
      <w:proofErr w:type="spellStart"/>
      <w:r w:rsidRPr="004F4CFC">
        <w:t>vRAM</w:t>
      </w:r>
      <w:proofErr w:type="spellEnd"/>
      <w:r w:rsidRPr="004F4CFC">
        <w:t xml:space="preserve"> nevyhovuje jednomu </w:t>
      </w:r>
      <w:r w:rsidRPr="004F4CFC">
        <w:lastRenderedPageBreak/>
        <w:t xml:space="preserve">z uvedených plánů (např. poměr 1:3), je nutno použít nejbližší vhodný plán a jeho násobek pokrývající jak potřeby </w:t>
      </w:r>
      <w:proofErr w:type="spellStart"/>
      <w:r w:rsidRPr="004F4CFC">
        <w:t>vCPU</w:t>
      </w:r>
      <w:proofErr w:type="spellEnd"/>
      <w:r w:rsidRPr="004F4CFC">
        <w:t xml:space="preserve">, tak </w:t>
      </w:r>
      <w:proofErr w:type="spellStart"/>
      <w:r w:rsidRPr="004F4CFC">
        <w:t>vRAM</w:t>
      </w:r>
      <w:proofErr w:type="spellEnd"/>
      <w:r w:rsidRPr="004F4CFC">
        <w:t xml:space="preserve"> (v uvedeném příkladu to mohou </w:t>
      </w:r>
      <w:proofErr w:type="gramStart"/>
      <w:r w:rsidRPr="004F4CFC">
        <w:t>být  2 bloky</w:t>
      </w:r>
      <w:proofErr w:type="gramEnd"/>
      <w:r w:rsidRPr="004F4CFC">
        <w:t xml:space="preserve"> v plánu B nebo 1 blok v plánu A). </w:t>
      </w:r>
    </w:p>
    <w:p w14:paraId="3D1776BA" w14:textId="779B33C7" w:rsidR="0012257C" w:rsidRPr="004F4CFC" w:rsidRDefault="0012257C" w:rsidP="0012257C">
      <w:pPr>
        <w:jc w:val="both"/>
      </w:pPr>
      <w:r w:rsidRPr="004F4CFC">
        <w:t xml:space="preserve">Pro účely </w:t>
      </w:r>
      <w:proofErr w:type="spellStart"/>
      <w:r w:rsidRPr="004F4CFC">
        <w:t>nacenění</w:t>
      </w:r>
      <w:proofErr w:type="spellEnd"/>
      <w:r w:rsidRPr="004F4CFC">
        <w:t xml:space="preserve"> licencí SW produktů s licenční politikou vázanou na počet </w:t>
      </w:r>
      <w:proofErr w:type="gramStart"/>
      <w:r w:rsidRPr="004F4CFC">
        <w:t>CPU</w:t>
      </w:r>
      <w:proofErr w:type="gramEnd"/>
      <w:r w:rsidRPr="004F4CFC">
        <w:t xml:space="preserve"> patic </w:t>
      </w:r>
      <w:proofErr w:type="gramStart"/>
      <w:r w:rsidRPr="004F4CFC">
        <w:t>může</w:t>
      </w:r>
      <w:proofErr w:type="gramEnd"/>
      <w:r w:rsidRPr="004F4CFC">
        <w:t xml:space="preserve"> </w:t>
      </w:r>
      <w:r w:rsidR="0008634D" w:rsidRPr="004F4CFC">
        <w:t xml:space="preserve">Dodavatel </w:t>
      </w:r>
      <w:r w:rsidRPr="004F4CFC">
        <w:t xml:space="preserve">předpokládat 8 </w:t>
      </w:r>
      <w:proofErr w:type="spellStart"/>
      <w:r w:rsidRPr="004F4CFC">
        <w:t>core</w:t>
      </w:r>
      <w:proofErr w:type="spellEnd"/>
      <w:r w:rsidRPr="004F4CFC">
        <w:t xml:space="preserve"> na CPU a 2CPU na fyzický server.  </w:t>
      </w:r>
    </w:p>
    <w:p w14:paraId="12C62045" w14:textId="77777777" w:rsidR="00FB6EC3" w:rsidRPr="004F4CFC" w:rsidRDefault="00FB6EC3" w:rsidP="00FB6EC3">
      <w:pPr>
        <w:jc w:val="both"/>
      </w:pPr>
      <w:r w:rsidRPr="004F4CFC">
        <w:t xml:space="preserve">Všechny plány využívají stejnou síťovou infrastrukturu a mají shodný síťový profil. </w:t>
      </w:r>
      <w:proofErr w:type="spellStart"/>
      <w:r w:rsidRPr="004F4CFC">
        <w:t>Virtualizované</w:t>
      </w:r>
      <w:proofErr w:type="spellEnd"/>
      <w:r w:rsidRPr="004F4CFC">
        <w:t xml:space="preserve"> bloky výpočetního výkonu je možno použít ve všech bezpečnostních zónách včetně DMZ.</w:t>
      </w:r>
    </w:p>
    <w:p w14:paraId="55D0BE52" w14:textId="77777777" w:rsidR="00FB6EC3" w:rsidRPr="004F4CFC" w:rsidRDefault="00FB6EC3" w:rsidP="00FB6EC3">
      <w:pPr>
        <w:jc w:val="both"/>
      </w:pPr>
      <w:r w:rsidRPr="004F4CFC">
        <w:t>Pro potřeby návrhu a zajištění požadované dostupnosti a geografické redundance lze pro každou virtuální instanci možné specifikovat následující parametry: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858"/>
        <w:gridCol w:w="6853"/>
      </w:tblGrid>
      <w:tr w:rsidR="00FB6EC3" w:rsidRPr="004F4CFC" w14:paraId="190B9099" w14:textId="77777777" w:rsidTr="00C13D1F">
        <w:trPr>
          <w:trHeight w:val="258"/>
        </w:trPr>
        <w:tc>
          <w:tcPr>
            <w:tcW w:w="1369" w:type="dxa"/>
            <w:shd w:val="clear" w:color="auto" w:fill="FFE0C5" w:themeFill="text2" w:themeFillTint="33"/>
            <w:vAlign w:val="center"/>
          </w:tcPr>
          <w:p w14:paraId="44224607" w14:textId="77777777" w:rsidR="00FB6EC3" w:rsidRPr="004F4CFC" w:rsidRDefault="00FB6EC3" w:rsidP="00C13D1F">
            <w:pPr>
              <w:jc w:val="both"/>
            </w:pPr>
            <w:r w:rsidRPr="004F4CFC">
              <w:t>Parametr</w:t>
            </w:r>
          </w:p>
        </w:tc>
        <w:tc>
          <w:tcPr>
            <w:tcW w:w="1858" w:type="dxa"/>
            <w:shd w:val="clear" w:color="auto" w:fill="FFE0C5" w:themeFill="text2" w:themeFillTint="33"/>
            <w:vAlign w:val="center"/>
          </w:tcPr>
          <w:p w14:paraId="71E54625" w14:textId="77777777" w:rsidR="00FB6EC3" w:rsidRPr="004F4CFC" w:rsidRDefault="00FB6EC3" w:rsidP="00C13D1F">
            <w:pPr>
              <w:jc w:val="both"/>
            </w:pPr>
            <w:r w:rsidRPr="004F4CFC">
              <w:rPr>
                <w:rFonts w:asciiTheme="majorHAnsi" w:hAnsiTheme="majorHAnsi"/>
              </w:rPr>
              <w:t>Hodnoty</w:t>
            </w:r>
          </w:p>
        </w:tc>
        <w:tc>
          <w:tcPr>
            <w:tcW w:w="6853" w:type="dxa"/>
            <w:shd w:val="clear" w:color="auto" w:fill="FFE0C5" w:themeFill="text2" w:themeFillTint="33"/>
            <w:vAlign w:val="center"/>
          </w:tcPr>
          <w:p w14:paraId="03C0DDD9" w14:textId="77777777" w:rsidR="00FB6EC3" w:rsidRPr="004F4CFC" w:rsidRDefault="00FB6EC3" w:rsidP="00C13D1F">
            <w:pPr>
              <w:jc w:val="both"/>
            </w:pPr>
            <w:r w:rsidRPr="004F4CFC">
              <w:t>Vysvětlení</w:t>
            </w:r>
          </w:p>
        </w:tc>
      </w:tr>
      <w:tr w:rsidR="00FB6EC3" w:rsidRPr="004F4CFC" w14:paraId="354E2857" w14:textId="77777777" w:rsidTr="00C13D1F">
        <w:trPr>
          <w:trHeight w:val="258"/>
        </w:trPr>
        <w:tc>
          <w:tcPr>
            <w:tcW w:w="1369" w:type="dxa"/>
          </w:tcPr>
          <w:p w14:paraId="6BB6EAFC" w14:textId="77777777" w:rsidR="00FB6EC3" w:rsidRPr="004F4CFC" w:rsidRDefault="00FB6EC3" w:rsidP="00C13D1F">
            <w:pPr>
              <w:jc w:val="both"/>
            </w:pPr>
            <w:r w:rsidRPr="004F4CFC">
              <w:t>Lokalita</w:t>
            </w:r>
          </w:p>
        </w:tc>
        <w:tc>
          <w:tcPr>
            <w:tcW w:w="1858" w:type="dxa"/>
          </w:tcPr>
          <w:p w14:paraId="6361C898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DC1/DC2 </w:t>
            </w:r>
          </w:p>
        </w:tc>
        <w:tc>
          <w:tcPr>
            <w:tcW w:w="6853" w:type="dxa"/>
          </w:tcPr>
          <w:p w14:paraId="39596395" w14:textId="77777777" w:rsidR="00FB6EC3" w:rsidRPr="004F4CFC" w:rsidRDefault="00FB6EC3" w:rsidP="00C13D1F">
            <w:pPr>
              <w:jc w:val="both"/>
            </w:pPr>
            <w:r w:rsidRPr="004F4CFC">
              <w:t xml:space="preserve">Umístění na </w:t>
            </w:r>
            <w:proofErr w:type="spellStart"/>
            <w:r w:rsidRPr="004F4CFC">
              <w:t>virtualizační</w:t>
            </w:r>
            <w:proofErr w:type="spellEnd"/>
            <w:r w:rsidRPr="004F4CFC">
              <w:t xml:space="preserve"> platformě v datovém centru DC1 nebo DC2</w:t>
            </w:r>
          </w:p>
        </w:tc>
      </w:tr>
      <w:tr w:rsidR="00FB6EC3" w:rsidRPr="004F4CFC" w14:paraId="3C832371" w14:textId="77777777" w:rsidTr="00C13D1F">
        <w:trPr>
          <w:trHeight w:val="240"/>
        </w:trPr>
        <w:tc>
          <w:tcPr>
            <w:tcW w:w="1369" w:type="dxa"/>
          </w:tcPr>
          <w:p w14:paraId="126E69F3" w14:textId="77777777" w:rsidR="00FB6EC3" w:rsidRPr="004F4CFC" w:rsidRDefault="00FB6EC3" w:rsidP="00C13D1F">
            <w:pPr>
              <w:jc w:val="both"/>
            </w:pPr>
            <w:r w:rsidRPr="004F4CFC">
              <w:t>Redundance</w:t>
            </w:r>
          </w:p>
        </w:tc>
        <w:tc>
          <w:tcPr>
            <w:tcW w:w="1858" w:type="dxa"/>
          </w:tcPr>
          <w:p w14:paraId="30E348AC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Ne/Doména/DC </w:t>
            </w:r>
          </w:p>
        </w:tc>
        <w:tc>
          <w:tcPr>
            <w:tcW w:w="6853" w:type="dxa"/>
          </w:tcPr>
          <w:p w14:paraId="1A67CD92" w14:textId="77777777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Ne – dostupnost 99,5%</w:t>
            </w:r>
            <w:r w:rsidRPr="004F4CFC">
              <w:t xml:space="preserve"> ročně - nemá alokovanou pasivní zálohu, nebo má pasivní zálohu v rámci jedné </w:t>
            </w:r>
            <w:proofErr w:type="spellStart"/>
            <w:r w:rsidRPr="004F4CFC">
              <w:t>virtualizační</w:t>
            </w:r>
            <w:proofErr w:type="spellEnd"/>
            <w:r w:rsidRPr="004F4CFC">
              <w:t xml:space="preserve"> domény (není garantováno umístění na jiném HW) </w:t>
            </w:r>
          </w:p>
          <w:p w14:paraId="1B4620C6" w14:textId="77777777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Doména – dostupnost 99,982%</w:t>
            </w:r>
            <w:r w:rsidRPr="004F4CFC">
              <w:t xml:space="preserve"> ročně - má alokovanou pasivní zálohu v jiné </w:t>
            </w:r>
            <w:proofErr w:type="spellStart"/>
            <w:r w:rsidRPr="004F4CFC">
              <w:t>virtualizační</w:t>
            </w:r>
            <w:proofErr w:type="spellEnd"/>
            <w:r w:rsidRPr="004F4CFC">
              <w:t xml:space="preserve"> doméně (garantováno umístění na jiný HW) ve stejném datovém centru</w:t>
            </w:r>
          </w:p>
          <w:p w14:paraId="6C641163" w14:textId="77777777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DC – dostupnost 99,99%</w:t>
            </w:r>
            <w:r w:rsidRPr="004F4CFC">
              <w:t xml:space="preserve"> ročně - má alokovanou pasivní zálohu v jiném datovém centru (geografická redundance)</w:t>
            </w:r>
          </w:p>
          <w:p w14:paraId="55FBEB6A" w14:textId="77777777" w:rsidR="00FB6EC3" w:rsidRPr="004F4CFC" w:rsidRDefault="00FB6EC3" w:rsidP="00C13D1F">
            <w:pPr>
              <w:jc w:val="both"/>
            </w:pPr>
            <w:r w:rsidRPr="004F4CFC">
              <w:t xml:space="preserve">Poznámka: alokovaný prostor pro pasivní zálohu umožňuje migraci virtuální instance v případě výpadku HW na jiný server </w:t>
            </w:r>
            <w:proofErr w:type="spellStart"/>
            <w:r w:rsidRPr="004F4CFC">
              <w:t>virtualizační</w:t>
            </w:r>
            <w:proofErr w:type="spellEnd"/>
            <w:r w:rsidRPr="004F4CFC">
              <w:t xml:space="preserve"> farmy ve stejné nebo jiné lokalitě prostředky </w:t>
            </w:r>
            <w:proofErr w:type="spellStart"/>
            <w:r w:rsidRPr="004F4CFC">
              <w:t>virtualizační</w:t>
            </w:r>
            <w:proofErr w:type="spellEnd"/>
            <w:r w:rsidRPr="004F4CFC">
              <w:t xml:space="preserve"> platformy </w:t>
            </w:r>
          </w:p>
        </w:tc>
      </w:tr>
    </w:tbl>
    <w:p w14:paraId="0DF3690A" w14:textId="77777777" w:rsidR="00FB6EC3" w:rsidRPr="004F4CFC" w:rsidRDefault="00FB6EC3" w:rsidP="00FB6EC3">
      <w:pPr>
        <w:jc w:val="both"/>
      </w:pPr>
    </w:p>
    <w:p w14:paraId="4E1166F2" w14:textId="7BA87933" w:rsidR="00FB6EC3" w:rsidRPr="004F4CFC" w:rsidRDefault="00FB6EC3" w:rsidP="00FB6EC3">
      <w:pPr>
        <w:jc w:val="both"/>
      </w:pPr>
      <w:r w:rsidRPr="004F4CFC">
        <w:t xml:space="preserve">V oblasti operačních systémů jsou podporovány operační systémy MS Windows </w:t>
      </w:r>
      <w:proofErr w:type="spellStart"/>
      <w:r w:rsidRPr="004F4CFC">
        <w:t>Datacenter</w:t>
      </w:r>
      <w:proofErr w:type="spellEnd"/>
      <w:r w:rsidRPr="004F4CFC">
        <w:t xml:space="preserve"> 2012 a novější a </w:t>
      </w:r>
      <w:proofErr w:type="spellStart"/>
      <w:r w:rsidRPr="004F4CFC">
        <w:t>Red</w:t>
      </w:r>
      <w:proofErr w:type="spellEnd"/>
      <w:r w:rsidRPr="004F4CFC">
        <w:t xml:space="preserve"> </w:t>
      </w:r>
      <w:proofErr w:type="spellStart"/>
      <w:r w:rsidRPr="004F4CFC">
        <w:t>Hat</w:t>
      </w:r>
      <w:proofErr w:type="spellEnd"/>
      <w:r w:rsidRPr="004F4CFC">
        <w:t xml:space="preserve"> </w:t>
      </w:r>
      <w:proofErr w:type="spellStart"/>
      <w:r w:rsidRPr="004F4CFC">
        <w:t>Enterpise</w:t>
      </w:r>
      <w:proofErr w:type="spellEnd"/>
      <w:r w:rsidRPr="004F4CFC">
        <w:t xml:space="preserve"> Linux verze 7.0 a novější, SUSE Linux </w:t>
      </w:r>
      <w:proofErr w:type="spellStart"/>
      <w:r w:rsidRPr="004F4CFC">
        <w:t>Enterprise</w:t>
      </w:r>
      <w:proofErr w:type="spellEnd"/>
      <w:r w:rsidRPr="004F4CFC">
        <w:t xml:space="preserve"> Server 12 SP2 a novější. </w:t>
      </w:r>
      <w:r w:rsidR="00161C78" w:rsidRPr="004F4CFC">
        <w:t>L</w:t>
      </w:r>
      <w:r w:rsidRPr="004F4CFC">
        <w:t xml:space="preserve">icence OS jsou součástí služby SPCSS (nebo pořízeny Objednatelem). </w:t>
      </w:r>
      <w:bookmarkStart w:id="125" w:name="_Hlk484204149"/>
      <w:r w:rsidR="00FB6B57" w:rsidRPr="004F4CFC">
        <w:t xml:space="preserve">Části řešení vyvíjené na zakázku (tj. mimo SW produkty) musí být </w:t>
      </w:r>
      <w:r w:rsidRPr="004F4CFC">
        <w:t>nezávislé na konkrétní verzi operačního systému, resp. podporující nejnovější verze OS.</w:t>
      </w:r>
    </w:p>
    <w:p w14:paraId="58F0ECF1" w14:textId="174519B0" w:rsidR="002233FE" w:rsidRPr="004F4CFC" w:rsidRDefault="00613E61" w:rsidP="00C77F7C">
      <w:pPr>
        <w:jc w:val="both"/>
      </w:pPr>
      <w:r w:rsidRPr="004F4CFC">
        <w:t>Dodavatel v </w:t>
      </w:r>
      <w:r w:rsidR="002E14B5">
        <w:t>P</w:t>
      </w:r>
      <w:r w:rsidR="002E14B5" w:rsidRPr="004F4CFC">
        <w:t xml:space="preserve">říloze </w:t>
      </w:r>
      <w:r w:rsidRPr="004F4CFC">
        <w:t xml:space="preserve">č. </w:t>
      </w:r>
      <w:r w:rsidR="00855E37" w:rsidRPr="004F4CFC">
        <w:t xml:space="preserve">8 </w:t>
      </w:r>
      <w:r w:rsidRPr="004F4CFC">
        <w:t xml:space="preserve">Smlouvy </w:t>
      </w:r>
      <w:r w:rsidR="000911A6" w:rsidRPr="004F4CFC">
        <w:t xml:space="preserve">závazně </w:t>
      </w:r>
      <w:r w:rsidRPr="004F4CFC">
        <w:t xml:space="preserve">uvede pouze zjednodušené údaje o použitých stavebních blocích výpočetního výkonu – počet </w:t>
      </w:r>
      <w:proofErr w:type="spellStart"/>
      <w:r w:rsidRPr="004F4CFC">
        <w:t>core</w:t>
      </w:r>
      <w:proofErr w:type="spellEnd"/>
      <w:r w:rsidRPr="004F4CFC">
        <w:t xml:space="preserve">, spolu s určením operačního systému a parametrů redundance. Detailní návrh technické infrastruktury s přesným určením použitých plánů výpočetního výkonu provede Dodavatel ve spolupráci se SPCSS v rámci Návrhu architektury řešení v Etapě 1A. Pro tento detailní návrh budou Dodavateli k dispozici všechny výše uvedené plány </w:t>
      </w:r>
      <w:r w:rsidR="000911A6" w:rsidRPr="004F4CFC">
        <w:t xml:space="preserve">a případně </w:t>
      </w:r>
      <w:r w:rsidRPr="004F4CFC">
        <w:t xml:space="preserve">i možnost </w:t>
      </w:r>
      <w:r w:rsidR="000911A6" w:rsidRPr="004F4CFC">
        <w:t>odvození dalších optimalizovaných plánů</w:t>
      </w:r>
      <w:r w:rsidRPr="004F4CFC">
        <w:t xml:space="preserve"> (pokud to technické podmínky SPCSS dovolí).</w:t>
      </w:r>
      <w:bookmarkStart w:id="126" w:name="_Toc481259702"/>
      <w:bookmarkStart w:id="127" w:name="_Toc481261187"/>
      <w:bookmarkStart w:id="128" w:name="_Toc481315648"/>
      <w:bookmarkStart w:id="129" w:name="_Toc446077226"/>
      <w:bookmarkEnd w:id="125"/>
      <w:bookmarkEnd w:id="126"/>
      <w:bookmarkEnd w:id="127"/>
      <w:bookmarkEnd w:id="128"/>
    </w:p>
    <w:p w14:paraId="0CA7223E" w14:textId="5E49D350" w:rsidR="00FB6EC3" w:rsidRPr="004F4CFC" w:rsidRDefault="00677CCC" w:rsidP="00C510A8">
      <w:pPr>
        <w:pStyle w:val="Nadpis3"/>
      </w:pPr>
      <w:r>
        <w:t xml:space="preserve"> </w:t>
      </w:r>
      <w:bookmarkStart w:id="130" w:name="_Toc510300908"/>
      <w:r w:rsidR="00FB6EC3" w:rsidRPr="004F4CFC">
        <w:t>Poskytování diskového prostoru</w:t>
      </w:r>
      <w:bookmarkEnd w:id="129"/>
      <w:bookmarkEnd w:id="130"/>
    </w:p>
    <w:p w14:paraId="02D94D37" w14:textId="77777777" w:rsidR="00FB6EC3" w:rsidRPr="004F4CFC" w:rsidRDefault="00FB6EC3" w:rsidP="00FB6EC3">
      <w:pPr>
        <w:jc w:val="both"/>
      </w:pPr>
      <w:r w:rsidRPr="004F4CFC">
        <w:t>SPCSS poskytuje následující služby diskových polí:</w:t>
      </w:r>
    </w:p>
    <w:tbl>
      <w:tblPr>
        <w:tblW w:w="992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7088"/>
      </w:tblGrid>
      <w:tr w:rsidR="00FB6EC3" w:rsidRPr="004F4CFC" w14:paraId="2F2679DC" w14:textId="77777777" w:rsidTr="00C13D1F">
        <w:trPr>
          <w:trHeight w:val="1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0C5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3DC4B" w14:textId="77777777" w:rsidR="00FB6EC3" w:rsidRPr="004F4CFC" w:rsidRDefault="00FB6EC3" w:rsidP="00C13D1F">
            <w:pPr>
              <w:jc w:val="center"/>
              <w:rPr>
                <w:bCs/>
                <w:color w:val="000000"/>
              </w:rPr>
            </w:pPr>
            <w:r w:rsidRPr="004F4CFC">
              <w:rPr>
                <w:bCs/>
                <w:color w:val="000000"/>
              </w:rPr>
              <w:t>Kód jednotky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0C5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7149F" w14:textId="77777777" w:rsidR="00FB6EC3" w:rsidRPr="004F4CFC" w:rsidRDefault="00FB6EC3" w:rsidP="00C13D1F">
            <w:pPr>
              <w:jc w:val="center"/>
              <w:rPr>
                <w:bCs/>
                <w:color w:val="000000"/>
              </w:rPr>
            </w:pPr>
            <w:r w:rsidRPr="004F4CFC">
              <w:rPr>
                <w:bCs/>
                <w:color w:val="000000"/>
              </w:rPr>
              <w:t>Název jednotky (nemusí se shodovat se skutečným účelem)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0C5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EED67" w14:textId="77777777" w:rsidR="00FB6EC3" w:rsidRPr="004F4CFC" w:rsidRDefault="00FB6EC3" w:rsidP="00C13D1F">
            <w:pPr>
              <w:jc w:val="center"/>
              <w:rPr>
                <w:bCs/>
                <w:color w:val="000000"/>
              </w:rPr>
            </w:pPr>
            <w:r w:rsidRPr="004F4CFC">
              <w:rPr>
                <w:bCs/>
                <w:color w:val="000000"/>
              </w:rPr>
              <w:t>Popis</w:t>
            </w:r>
          </w:p>
        </w:tc>
      </w:tr>
      <w:tr w:rsidR="00FB6EC3" w:rsidRPr="004F4CFC" w14:paraId="515C15E3" w14:textId="77777777" w:rsidTr="00C13D1F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C6E8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STOR</w:t>
            </w:r>
            <w:r w:rsidRPr="004F4CF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4B840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Produktivní pole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D66C2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 xml:space="preserve">Rychlá </w:t>
            </w:r>
            <w:proofErr w:type="spellStart"/>
            <w:r w:rsidRPr="004F4CFC">
              <w:rPr>
                <w:color w:val="000000"/>
              </w:rPr>
              <w:t>high</w:t>
            </w:r>
            <w:proofErr w:type="spellEnd"/>
            <w:r w:rsidRPr="004F4CFC">
              <w:rPr>
                <w:color w:val="000000"/>
              </w:rPr>
              <w:t xml:space="preserve">-end </w:t>
            </w:r>
            <w:proofErr w:type="spellStart"/>
            <w:r w:rsidRPr="004F4CFC">
              <w:rPr>
                <w:color w:val="000000"/>
              </w:rPr>
              <w:t>storage</w:t>
            </w:r>
            <w:proofErr w:type="spellEnd"/>
            <w:r w:rsidRPr="004F4CFC">
              <w:rPr>
                <w:color w:val="000000"/>
              </w:rPr>
              <w:t xml:space="preserve">. Pro soubory o velikosti 500 GB pole dosahuje min. </w:t>
            </w:r>
            <w:r w:rsidRPr="004F4CFC">
              <w:rPr>
                <w:b/>
                <w:color w:val="000000"/>
              </w:rPr>
              <w:t>15 000 IOPS pro zápis a 35 000 IOPS</w:t>
            </w:r>
            <w:r w:rsidRPr="004F4CFC">
              <w:rPr>
                <w:color w:val="000000"/>
              </w:rPr>
              <w:t xml:space="preserve"> pro čtení a </w:t>
            </w:r>
            <w:proofErr w:type="spellStart"/>
            <w:r w:rsidRPr="004F4CFC">
              <w:rPr>
                <w:color w:val="000000"/>
              </w:rPr>
              <w:t>a</w:t>
            </w:r>
            <w:proofErr w:type="spellEnd"/>
            <w:r w:rsidRPr="004F4CFC">
              <w:rPr>
                <w:color w:val="000000"/>
              </w:rPr>
              <w:t xml:space="preserve"> propustnost </w:t>
            </w:r>
            <w:r w:rsidRPr="004F4CFC">
              <w:rPr>
                <w:b/>
                <w:color w:val="000000"/>
              </w:rPr>
              <w:t>2000 MB/s.</w:t>
            </w:r>
            <w:r w:rsidRPr="004F4CFC">
              <w:rPr>
                <w:color w:val="000000"/>
              </w:rPr>
              <w:t xml:space="preserve"> Doba doručení změn je do 10% 5 dní, nad tento limit 40 pracovních dní.STOR1 podporuje využití </w:t>
            </w:r>
            <w:proofErr w:type="spellStart"/>
            <w:r w:rsidRPr="004F4CFC">
              <w:rPr>
                <w:color w:val="000000"/>
              </w:rPr>
              <w:t>flash</w:t>
            </w:r>
            <w:proofErr w:type="spellEnd"/>
            <w:r w:rsidRPr="004F4CFC">
              <w:rPr>
                <w:color w:val="000000"/>
              </w:rPr>
              <w:t xml:space="preserve"> disků, včetně dedikování určité </w:t>
            </w:r>
            <w:proofErr w:type="spellStart"/>
            <w:r w:rsidRPr="004F4CFC">
              <w:rPr>
                <w:color w:val="000000"/>
              </w:rPr>
              <w:t>flash-only</w:t>
            </w:r>
            <w:proofErr w:type="spellEnd"/>
            <w:r w:rsidRPr="004F4CFC">
              <w:rPr>
                <w:color w:val="000000"/>
              </w:rPr>
              <w:t xml:space="preserve"> diskové kapacity.</w:t>
            </w:r>
          </w:p>
        </w:tc>
      </w:tr>
      <w:tr w:rsidR="00FB6EC3" w:rsidRPr="004F4CFC" w14:paraId="1FF7D99F" w14:textId="77777777" w:rsidTr="00C13D1F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09781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lastRenderedPageBreak/>
              <w:t>STOR2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11B3B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Sekundární pole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EB1CD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 xml:space="preserve">Non </w:t>
            </w:r>
            <w:proofErr w:type="spellStart"/>
            <w:r w:rsidRPr="004F4CFC">
              <w:rPr>
                <w:color w:val="000000"/>
              </w:rPr>
              <w:t>high</w:t>
            </w:r>
            <w:proofErr w:type="spellEnd"/>
            <w:r w:rsidRPr="004F4CFC">
              <w:rPr>
                <w:color w:val="000000"/>
              </w:rPr>
              <w:t xml:space="preserve">-end </w:t>
            </w:r>
            <w:proofErr w:type="spellStart"/>
            <w:r w:rsidRPr="004F4CFC">
              <w:rPr>
                <w:color w:val="000000"/>
              </w:rPr>
              <w:t>storage</w:t>
            </w:r>
            <w:proofErr w:type="spellEnd"/>
            <w:r w:rsidRPr="004F4CFC">
              <w:rPr>
                <w:color w:val="000000"/>
              </w:rPr>
              <w:t xml:space="preserve">. </w:t>
            </w:r>
            <w:r w:rsidRPr="004F4CFC">
              <w:rPr>
                <w:b/>
                <w:color w:val="000000"/>
              </w:rPr>
              <w:t>Nejsou poskytovány garance propustnosti nebo IOPS</w:t>
            </w:r>
            <w:r w:rsidRPr="004F4CFC">
              <w:rPr>
                <w:color w:val="000000"/>
              </w:rPr>
              <w:t>. Průměrné hodnoty jsou až 10 000 IOPS na 250GB pro zápis a propustnost 650 MB/s. Doba doručení změn je do 10% 5 dní, nad tento limit 40 pracovních dní.</w:t>
            </w:r>
          </w:p>
        </w:tc>
      </w:tr>
      <w:tr w:rsidR="00FB6EC3" w:rsidRPr="004F4CFC" w14:paraId="0ECAF5F9" w14:textId="77777777" w:rsidTr="00C13D1F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45B91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BACK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982FF" w14:textId="77777777" w:rsidR="00FB6EC3" w:rsidRPr="004F4CFC" w:rsidRDefault="00FB6EC3" w:rsidP="00C13D1F">
            <w:pPr>
              <w:rPr>
                <w:color w:val="000000"/>
              </w:rPr>
            </w:pPr>
            <w:proofErr w:type="spellStart"/>
            <w:r w:rsidRPr="004F4CFC">
              <w:rPr>
                <w:color w:val="000000"/>
              </w:rPr>
              <w:t>Backup</w:t>
            </w:r>
            <w:proofErr w:type="spellEnd"/>
            <w:r w:rsidRPr="004F4CFC">
              <w:rPr>
                <w:color w:val="000000"/>
              </w:rPr>
              <w:t xml:space="preserve"> pole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348C1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 xml:space="preserve">Uložená data s přenosem po </w:t>
            </w:r>
            <w:proofErr w:type="spellStart"/>
            <w:r w:rsidRPr="004F4CFC">
              <w:rPr>
                <w:color w:val="000000"/>
              </w:rPr>
              <w:t>Ethernetu</w:t>
            </w:r>
            <w:proofErr w:type="spellEnd"/>
            <w:r w:rsidRPr="004F4CFC">
              <w:rPr>
                <w:color w:val="000000"/>
              </w:rPr>
              <w:t>, rychlost obnovy 100GB/h a vyšší. Pro soubory o velikosti 250 GB pole dosahuje 10 000 IOPS pro zápis</w:t>
            </w:r>
          </w:p>
        </w:tc>
      </w:tr>
      <w:tr w:rsidR="00FB6EC3" w:rsidRPr="004F4CFC" w14:paraId="3E1063CA" w14:textId="77777777" w:rsidTr="00C13D1F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B0DA1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BACK2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6877F" w14:textId="77777777" w:rsidR="00FB6EC3" w:rsidRPr="004F4CFC" w:rsidRDefault="00FB6EC3" w:rsidP="00C13D1F">
            <w:pPr>
              <w:rPr>
                <w:color w:val="000000"/>
              </w:rPr>
            </w:pPr>
            <w:proofErr w:type="spellStart"/>
            <w:r w:rsidRPr="004F4CFC">
              <w:rPr>
                <w:color w:val="000000"/>
              </w:rPr>
              <w:t>Backup</w:t>
            </w:r>
            <w:proofErr w:type="spellEnd"/>
            <w:r w:rsidRPr="004F4CFC">
              <w:rPr>
                <w:color w:val="000000"/>
              </w:rPr>
              <w:t>/</w:t>
            </w:r>
            <w:proofErr w:type="spellStart"/>
            <w:r w:rsidRPr="004F4CFC">
              <w:rPr>
                <w:color w:val="000000"/>
              </w:rPr>
              <w:t>Restore</w:t>
            </w:r>
            <w:proofErr w:type="spellEnd"/>
            <w:r w:rsidRPr="004F4CFC">
              <w:rPr>
                <w:color w:val="000000"/>
              </w:rPr>
              <w:t xml:space="preserve"> </w:t>
            </w:r>
            <w:proofErr w:type="spellStart"/>
            <w:r w:rsidRPr="004F4CFC">
              <w:rPr>
                <w:color w:val="000000"/>
              </w:rPr>
              <w:t>normal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8DAD7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 xml:space="preserve">Uložená data s přenosem výhradně po </w:t>
            </w:r>
            <w:proofErr w:type="spellStart"/>
            <w:r w:rsidRPr="004F4CFC">
              <w:rPr>
                <w:color w:val="000000"/>
              </w:rPr>
              <w:t>ethernetu</w:t>
            </w:r>
            <w:proofErr w:type="spellEnd"/>
            <w:r w:rsidRPr="004F4CFC">
              <w:rPr>
                <w:color w:val="000000"/>
              </w:rPr>
              <w:t>, rychlost 11GB/h</w:t>
            </w:r>
          </w:p>
        </w:tc>
      </w:tr>
      <w:tr w:rsidR="00FB6EC3" w:rsidRPr="004F4CFC" w14:paraId="7F37B116" w14:textId="77777777" w:rsidTr="00C13D1F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115A0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BACK3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5B6B" w14:textId="77777777" w:rsidR="00FB6EC3" w:rsidRPr="004F4CFC" w:rsidRDefault="00FB6EC3" w:rsidP="00C13D1F">
            <w:pPr>
              <w:rPr>
                <w:color w:val="000000"/>
              </w:rPr>
            </w:pPr>
            <w:proofErr w:type="spellStart"/>
            <w:r w:rsidRPr="004F4CFC">
              <w:rPr>
                <w:color w:val="000000"/>
              </w:rPr>
              <w:t>Longterm</w:t>
            </w:r>
            <w:proofErr w:type="spellEnd"/>
            <w:r w:rsidRPr="004F4CFC">
              <w:rPr>
                <w:color w:val="000000"/>
              </w:rPr>
              <w:t xml:space="preserve"> </w:t>
            </w:r>
            <w:proofErr w:type="spellStart"/>
            <w:r w:rsidRPr="004F4CFC">
              <w:rPr>
                <w:color w:val="000000"/>
              </w:rPr>
              <w:t>Backup</w:t>
            </w:r>
            <w:proofErr w:type="spellEnd"/>
            <w:r w:rsidRPr="004F4CFC">
              <w:rPr>
                <w:color w:val="000000"/>
              </w:rPr>
              <w:t>/</w:t>
            </w:r>
            <w:proofErr w:type="spellStart"/>
            <w:r w:rsidRPr="004F4CFC">
              <w:rPr>
                <w:color w:val="000000"/>
              </w:rPr>
              <w:t>Restore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AC581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>Uložená data s retencí 1 rok a delší pro dlouhodobé archivace.</w:t>
            </w:r>
          </w:p>
        </w:tc>
      </w:tr>
    </w:tbl>
    <w:p w14:paraId="1691A749" w14:textId="77777777" w:rsidR="00FB6EC3" w:rsidRPr="004F4CFC" w:rsidRDefault="00FB6EC3" w:rsidP="00FB6EC3">
      <w:pPr>
        <w:jc w:val="both"/>
      </w:pPr>
    </w:p>
    <w:p w14:paraId="6CCB4C98" w14:textId="77777777" w:rsidR="00FB6EC3" w:rsidRPr="004F4CFC" w:rsidRDefault="00FB6EC3" w:rsidP="00FB6EC3">
      <w:pPr>
        <w:jc w:val="both"/>
      </w:pPr>
      <w:r w:rsidRPr="004F4CFC">
        <w:t>Pro potřeby návrhu a zajištění požadované dostupnosti a geografické redundance lze pro každý diskový prostor na STOR1 nebo STOR2 specifikovat následující parametry: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716"/>
        <w:gridCol w:w="6995"/>
      </w:tblGrid>
      <w:tr w:rsidR="00FB6EC3" w:rsidRPr="004F4CFC" w14:paraId="0EEA4E02" w14:textId="77777777" w:rsidTr="006E59D1">
        <w:trPr>
          <w:trHeight w:val="258"/>
        </w:trPr>
        <w:tc>
          <w:tcPr>
            <w:tcW w:w="1369" w:type="dxa"/>
            <w:shd w:val="clear" w:color="auto" w:fill="FFE0C5" w:themeFill="text2" w:themeFillTint="33"/>
            <w:vAlign w:val="center"/>
          </w:tcPr>
          <w:p w14:paraId="4E466272" w14:textId="77777777" w:rsidR="00FB6EC3" w:rsidRPr="004F4CFC" w:rsidRDefault="00FB6EC3" w:rsidP="00C13D1F">
            <w:pPr>
              <w:jc w:val="both"/>
            </w:pPr>
            <w:r w:rsidRPr="004F4CFC">
              <w:t>Parametr</w:t>
            </w:r>
          </w:p>
        </w:tc>
        <w:tc>
          <w:tcPr>
            <w:tcW w:w="1716" w:type="dxa"/>
            <w:shd w:val="clear" w:color="auto" w:fill="FFE0C5" w:themeFill="text2" w:themeFillTint="33"/>
            <w:vAlign w:val="center"/>
          </w:tcPr>
          <w:p w14:paraId="7D3B99BC" w14:textId="77777777" w:rsidR="00FB6EC3" w:rsidRPr="004F4CFC" w:rsidRDefault="00FB6EC3" w:rsidP="00C13D1F">
            <w:pPr>
              <w:jc w:val="both"/>
            </w:pPr>
            <w:r w:rsidRPr="004F4CFC">
              <w:rPr>
                <w:rFonts w:asciiTheme="majorHAnsi" w:hAnsiTheme="majorHAnsi"/>
              </w:rPr>
              <w:t>Hodnoty</w:t>
            </w:r>
          </w:p>
        </w:tc>
        <w:tc>
          <w:tcPr>
            <w:tcW w:w="6995" w:type="dxa"/>
            <w:shd w:val="clear" w:color="auto" w:fill="FFE0C5" w:themeFill="text2" w:themeFillTint="33"/>
            <w:vAlign w:val="center"/>
          </w:tcPr>
          <w:p w14:paraId="7285B7D5" w14:textId="77777777" w:rsidR="00FB6EC3" w:rsidRPr="004F4CFC" w:rsidRDefault="00FB6EC3" w:rsidP="00C13D1F">
            <w:pPr>
              <w:jc w:val="both"/>
            </w:pPr>
            <w:r w:rsidRPr="004F4CFC">
              <w:t>Vysvětlení</w:t>
            </w:r>
          </w:p>
        </w:tc>
      </w:tr>
      <w:tr w:rsidR="00FB6EC3" w:rsidRPr="004F4CFC" w14:paraId="37506084" w14:textId="77777777" w:rsidTr="006E59D1">
        <w:trPr>
          <w:trHeight w:val="258"/>
        </w:trPr>
        <w:tc>
          <w:tcPr>
            <w:tcW w:w="1369" w:type="dxa"/>
          </w:tcPr>
          <w:p w14:paraId="4DBF5E4B" w14:textId="77777777" w:rsidR="00FB6EC3" w:rsidRPr="004F4CFC" w:rsidRDefault="00FB6EC3" w:rsidP="00C13D1F">
            <w:pPr>
              <w:jc w:val="both"/>
            </w:pPr>
            <w:r w:rsidRPr="004F4CFC">
              <w:t>Lokalita</w:t>
            </w:r>
          </w:p>
        </w:tc>
        <w:tc>
          <w:tcPr>
            <w:tcW w:w="1716" w:type="dxa"/>
          </w:tcPr>
          <w:p w14:paraId="41914C98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DC1/DC2 </w:t>
            </w:r>
          </w:p>
        </w:tc>
        <w:tc>
          <w:tcPr>
            <w:tcW w:w="6995" w:type="dxa"/>
          </w:tcPr>
          <w:p w14:paraId="7E344BE4" w14:textId="77777777" w:rsidR="00FB6EC3" w:rsidRPr="004F4CFC" w:rsidRDefault="00FB6EC3" w:rsidP="00C13D1F">
            <w:pPr>
              <w:jc w:val="both"/>
            </w:pPr>
            <w:r w:rsidRPr="004F4CFC">
              <w:t>Umístění v datovém centru DC1 nebo DC2</w:t>
            </w:r>
          </w:p>
        </w:tc>
      </w:tr>
      <w:tr w:rsidR="00FB6EC3" w:rsidRPr="004F4CFC" w14:paraId="4F60CD4B" w14:textId="77777777" w:rsidTr="006E59D1">
        <w:trPr>
          <w:trHeight w:val="240"/>
        </w:trPr>
        <w:tc>
          <w:tcPr>
            <w:tcW w:w="1369" w:type="dxa"/>
          </w:tcPr>
          <w:p w14:paraId="21937701" w14:textId="77777777" w:rsidR="00FB6EC3" w:rsidRPr="004F4CFC" w:rsidRDefault="00FB6EC3" w:rsidP="00C13D1F">
            <w:pPr>
              <w:jc w:val="both"/>
            </w:pPr>
            <w:r w:rsidRPr="004F4CFC">
              <w:t>Redundance</w:t>
            </w:r>
          </w:p>
        </w:tc>
        <w:tc>
          <w:tcPr>
            <w:tcW w:w="1716" w:type="dxa"/>
          </w:tcPr>
          <w:p w14:paraId="31492D0B" w14:textId="44C12101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Lokální/DC </w:t>
            </w:r>
          </w:p>
        </w:tc>
        <w:tc>
          <w:tcPr>
            <w:tcW w:w="6995" w:type="dxa"/>
          </w:tcPr>
          <w:p w14:paraId="5F51C401" w14:textId="77777777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 xml:space="preserve">Lokální – dostupnost 99,982% </w:t>
            </w:r>
            <w:r w:rsidRPr="004F4CFC">
              <w:t>ročně - asynchronní záložní kopie dat na jiném diskovém poli ve stejném DC</w:t>
            </w:r>
          </w:p>
          <w:p w14:paraId="5ED93F5D" w14:textId="53B9D9B0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DC – dostupnost 99,99%</w:t>
            </w:r>
            <w:r w:rsidRPr="004F4CFC">
              <w:t xml:space="preserve"> ročně</w:t>
            </w:r>
            <w:r w:rsidR="0040195E" w:rsidRPr="004F4CFC">
              <w:t xml:space="preserve"> </w:t>
            </w:r>
            <w:r w:rsidRPr="004F4CFC">
              <w:t xml:space="preserve">- asynchronní záložní kopie dat na diskovém poli v jiném datovém centru (geografická redundance) </w:t>
            </w:r>
          </w:p>
        </w:tc>
      </w:tr>
    </w:tbl>
    <w:p w14:paraId="4FB08F69" w14:textId="77777777" w:rsidR="00FB6EC3" w:rsidRPr="004F4CFC" w:rsidRDefault="00FB6EC3" w:rsidP="00FB6EC3">
      <w:pPr>
        <w:jc w:val="both"/>
      </w:pPr>
    </w:p>
    <w:p w14:paraId="437A8ED4" w14:textId="4E599425" w:rsidR="00FB6EC3" w:rsidRPr="004F4CFC" w:rsidRDefault="00FB6EC3" w:rsidP="00FB6EC3">
      <w:pPr>
        <w:jc w:val="both"/>
      </w:pPr>
      <w:r w:rsidRPr="004F4CFC">
        <w:t xml:space="preserve">Replikace dat na úrovni diskových úložišť je k dispozici, v současnosti je využívána synchronní replikace mezi poli. Propustnost replikační linky </w:t>
      </w:r>
      <w:r w:rsidR="00834DBA" w:rsidRPr="004F4CFC">
        <w:t>je</w:t>
      </w:r>
      <w:r w:rsidRPr="004F4CFC">
        <w:t xml:space="preserve"> 8 Gbit.</w:t>
      </w:r>
    </w:p>
    <w:p w14:paraId="5D953711" w14:textId="15F2F2C4" w:rsidR="00C510A8" w:rsidRPr="004F4CFC" w:rsidRDefault="00C510A8" w:rsidP="00FB6EC3">
      <w:pPr>
        <w:jc w:val="both"/>
      </w:pPr>
      <w:r w:rsidRPr="004F4CFC">
        <w:t xml:space="preserve">Dodavatel v příloze č. </w:t>
      </w:r>
      <w:r w:rsidR="00855E37" w:rsidRPr="004F4CFC">
        <w:t xml:space="preserve">8 </w:t>
      </w:r>
      <w:r w:rsidRPr="004F4CFC">
        <w:t>Smlouvy závazně uvede pouze zjednodušené údaje o použitých stavebních blocích diskového prostoru – počet GB, spolu s určením parametrů redundance. Detailní návrh technické infrastruktury s přesným určením použitých jednotek diskového prostoru provede Dodavatel ve spolupráci se SPCSS v rámci Návrhu architektury řešení v Etapě 1A. Pro tento detailní návrh budou Dodavateli k dispozici všechny výše uvedené jednotky a případně i možnost odvození dalších optimalizovaných jednotek (pokud to technické podmínky SPCSS dovolí).</w:t>
      </w:r>
    </w:p>
    <w:p w14:paraId="79F9EFBD" w14:textId="513C7CC7" w:rsidR="00457A80" w:rsidRPr="004F4CFC" w:rsidRDefault="00677CCC" w:rsidP="00457A80">
      <w:pPr>
        <w:pStyle w:val="Nadpis3"/>
      </w:pPr>
      <w:r>
        <w:t xml:space="preserve"> </w:t>
      </w:r>
      <w:bookmarkStart w:id="131" w:name="_Toc510300909"/>
      <w:r w:rsidR="00457A80" w:rsidRPr="004F4CFC">
        <w:t>Správa operačních systémů</w:t>
      </w:r>
      <w:bookmarkEnd w:id="123"/>
      <w:bookmarkEnd w:id="131"/>
    </w:p>
    <w:p w14:paraId="046F17EE" w14:textId="4A6710B2" w:rsidR="00457A80" w:rsidRPr="004F4CFC" w:rsidRDefault="00457A80" w:rsidP="00457A80">
      <w:pPr>
        <w:jc w:val="both"/>
      </w:pPr>
      <w:r w:rsidRPr="004F4CFC">
        <w:t xml:space="preserve">Instalaci, konfiguraci a správu operačních systémů na úrovni fyzických i virtuálních serverů provádí SPCSS. Administrátorské účty OS jsou v rukách SPCSS. Dodavatel používá pro implementaci a podporu provozu </w:t>
      </w:r>
      <w:r w:rsidR="00F000B7" w:rsidRPr="004F4CFC">
        <w:t>A</w:t>
      </w:r>
      <w:r w:rsidRPr="004F4CFC">
        <w:t>plikac</w:t>
      </w:r>
      <w:r w:rsidR="00F000B7" w:rsidRPr="004F4CFC">
        <w:t>e</w:t>
      </w:r>
      <w:r w:rsidR="008053E3" w:rsidRPr="004F4CFC">
        <w:t xml:space="preserve"> (včetně databází)</w:t>
      </w:r>
      <w:r w:rsidRPr="004F4CFC">
        <w:t xml:space="preserve"> uživatelské účty, využití administrátorských účtů je možné pouze se součinností SPCSS nebo bezpečným mechanismem schváleným SPCSS (např. </w:t>
      </w:r>
      <w:proofErr w:type="spellStart"/>
      <w:r w:rsidRPr="004F4CFC">
        <w:t>sudo</w:t>
      </w:r>
      <w:proofErr w:type="spellEnd"/>
      <w:r w:rsidRPr="004F4CFC">
        <w:t xml:space="preserve"> s nastavením specifických povolených příkazů). Dodavatel musí navrhnout implementaci </w:t>
      </w:r>
      <w:r w:rsidR="00F000B7" w:rsidRPr="004F4CFC">
        <w:t>A</w:t>
      </w:r>
      <w:r w:rsidRPr="004F4CFC">
        <w:t>plikac</w:t>
      </w:r>
      <w:r w:rsidR="00F000B7" w:rsidRPr="004F4CFC">
        <w:t>e a SW produktů</w:t>
      </w:r>
      <w:r w:rsidRPr="004F4CFC">
        <w:t xml:space="preserve"> tak, aby eliminoval, respektive snížil na minimální nutnou úroveň, nutnost použití administrátorských účtů při provozní podpoře </w:t>
      </w:r>
      <w:r w:rsidR="00F000B7" w:rsidRPr="004F4CFC">
        <w:t>A</w:t>
      </w:r>
      <w:r w:rsidRPr="004F4CFC">
        <w:t>plikací</w:t>
      </w:r>
      <w:r w:rsidR="00F000B7" w:rsidRPr="004F4CFC">
        <w:t xml:space="preserve"> a SW produktů</w:t>
      </w:r>
      <w:r w:rsidRPr="004F4CFC">
        <w:t xml:space="preserve">.  </w:t>
      </w:r>
    </w:p>
    <w:p w14:paraId="34F5B916" w14:textId="0977E610" w:rsidR="00457A80" w:rsidRPr="004F4CFC" w:rsidRDefault="003155E2" w:rsidP="00457A80">
      <w:pPr>
        <w:jc w:val="both"/>
      </w:pPr>
      <w:r w:rsidRPr="004F4CFC">
        <w:t>L</w:t>
      </w:r>
      <w:r w:rsidR="00457A80" w:rsidRPr="004F4CFC">
        <w:t xml:space="preserve">icence OS a </w:t>
      </w:r>
      <w:proofErr w:type="spellStart"/>
      <w:r w:rsidR="00457A80" w:rsidRPr="004F4CFC">
        <w:t>virtualiza</w:t>
      </w:r>
      <w:r w:rsidRPr="004F4CFC">
        <w:t>čního</w:t>
      </w:r>
      <w:proofErr w:type="spellEnd"/>
      <w:r w:rsidRPr="004F4CFC">
        <w:t xml:space="preserve"> software</w:t>
      </w:r>
      <w:r w:rsidR="00457A80" w:rsidRPr="004F4CFC">
        <w:t xml:space="preserve"> jsou součástí služby SPCSS (nebo pořízeny Objednatelem). Součástí správy operačních systémů je provedení aktualizací verzí OS. Aktualizace </w:t>
      </w:r>
      <w:r w:rsidRPr="004F4CFC">
        <w:t xml:space="preserve">OS a </w:t>
      </w:r>
      <w:proofErr w:type="spellStart"/>
      <w:r w:rsidRPr="004F4CFC">
        <w:t>virtualizačního</w:t>
      </w:r>
      <w:proofErr w:type="spellEnd"/>
      <w:r w:rsidRPr="004F4CFC">
        <w:t xml:space="preserve"> software</w:t>
      </w:r>
      <w:r w:rsidR="00457A80" w:rsidRPr="004F4CFC">
        <w:t xml:space="preserve"> bude plánována ve spolupráci s Dodavatelem a Objednatelem.</w:t>
      </w:r>
    </w:p>
    <w:p w14:paraId="0B86A276" w14:textId="27D93BAC" w:rsidR="00C00D18" w:rsidRPr="004F4CFC" w:rsidRDefault="000576C2" w:rsidP="000576C2">
      <w:pPr>
        <w:jc w:val="both"/>
      </w:pPr>
      <w:r w:rsidRPr="004F4CFC">
        <w:t xml:space="preserve">Součástí služby SPCSS není </w:t>
      </w:r>
      <w:r w:rsidR="00AE41CF" w:rsidRPr="004F4CFC">
        <w:t xml:space="preserve">dodávka, </w:t>
      </w:r>
      <w:r w:rsidRPr="004F4CFC">
        <w:t xml:space="preserve">implementace a správa aplikačních komponent operačních systémů, respektive </w:t>
      </w:r>
      <w:r w:rsidR="003155E2" w:rsidRPr="004F4CFC">
        <w:t xml:space="preserve">nadstavbových </w:t>
      </w:r>
      <w:r w:rsidRPr="004F4CFC">
        <w:t xml:space="preserve">SW </w:t>
      </w:r>
      <w:r w:rsidR="003155E2" w:rsidRPr="004F4CFC">
        <w:t xml:space="preserve">produktů a licencí </w:t>
      </w:r>
      <w:proofErr w:type="gramStart"/>
      <w:r w:rsidRPr="004F4CFC">
        <w:t>přibalen</w:t>
      </w:r>
      <w:r w:rsidR="003155E2" w:rsidRPr="004F4CFC">
        <w:t>ých</w:t>
      </w:r>
      <w:r w:rsidRPr="004F4CFC">
        <w:t xml:space="preserve"> k základnímu OS, jako</w:t>
      </w:r>
      <w:proofErr w:type="gramEnd"/>
      <w:r w:rsidRPr="004F4CFC">
        <w:t xml:space="preserve"> jsou například web servery, aplikační servery, </w:t>
      </w:r>
      <w:proofErr w:type="spellStart"/>
      <w:r w:rsidRPr="004F4CFC">
        <w:t>middleware</w:t>
      </w:r>
      <w:proofErr w:type="spellEnd"/>
      <w:r w:rsidR="000A31F1" w:rsidRPr="004F4CFC">
        <w:t xml:space="preserve"> </w:t>
      </w:r>
      <w:r w:rsidRPr="004F4CFC">
        <w:t>nebo adresářové služby pro účely správy aplikačních uživatelů</w:t>
      </w:r>
      <w:r w:rsidR="00115486" w:rsidRPr="004F4CFC">
        <w:t xml:space="preserve">, ani případné SW licence, </w:t>
      </w:r>
      <w:proofErr w:type="spellStart"/>
      <w:r w:rsidR="00115486" w:rsidRPr="004F4CFC">
        <w:t>maintenance</w:t>
      </w:r>
      <w:proofErr w:type="spellEnd"/>
      <w:r w:rsidR="00115486" w:rsidRPr="004F4CFC">
        <w:t xml:space="preserve"> a subskripce s nimi spojené.</w:t>
      </w:r>
      <w:r w:rsidRPr="004F4CFC">
        <w:t xml:space="preserve"> </w:t>
      </w:r>
    </w:p>
    <w:p w14:paraId="5BE8C517" w14:textId="188BBA88" w:rsidR="00457A80" w:rsidRPr="004F4CFC" w:rsidRDefault="00677CCC" w:rsidP="00457A80">
      <w:pPr>
        <w:pStyle w:val="Nadpis3"/>
      </w:pPr>
      <w:bookmarkStart w:id="132" w:name="_Toc481259705"/>
      <w:bookmarkStart w:id="133" w:name="_Toc481261190"/>
      <w:bookmarkStart w:id="134" w:name="_Toc481315651"/>
      <w:bookmarkStart w:id="135" w:name="_Toc446077228"/>
      <w:bookmarkEnd w:id="132"/>
      <w:bookmarkEnd w:id="133"/>
      <w:bookmarkEnd w:id="134"/>
      <w:r>
        <w:lastRenderedPageBreak/>
        <w:t xml:space="preserve"> </w:t>
      </w:r>
      <w:bookmarkStart w:id="136" w:name="_Toc510300910"/>
      <w:r w:rsidR="00457A80" w:rsidRPr="004F4CFC">
        <w:t>Správa databází</w:t>
      </w:r>
      <w:bookmarkEnd w:id="135"/>
      <w:bookmarkEnd w:id="136"/>
      <w:r w:rsidR="00457A80" w:rsidRPr="004F4CFC">
        <w:t xml:space="preserve"> </w:t>
      </w:r>
    </w:p>
    <w:p w14:paraId="0BDDF8B2" w14:textId="2FF3DB8F" w:rsidR="00457A80" w:rsidRPr="004F4CFC" w:rsidRDefault="00457A80" w:rsidP="00457A80">
      <w:pPr>
        <w:jc w:val="both"/>
      </w:pPr>
      <w:r w:rsidRPr="004F4CFC">
        <w:t xml:space="preserve">Instalaci a prvotní konfiguraci </w:t>
      </w:r>
      <w:r w:rsidR="008053E3" w:rsidRPr="004F4CFC">
        <w:t>d</w:t>
      </w:r>
      <w:r w:rsidRPr="004F4CFC">
        <w:t xml:space="preserve">atabází </w:t>
      </w:r>
      <w:r w:rsidR="008053E3" w:rsidRPr="004F4CFC">
        <w:t>(rozuměno</w:t>
      </w:r>
      <w:r w:rsidR="00F000B7" w:rsidRPr="004F4CFC">
        <w:t xml:space="preserve"> databázové SW produkty a jejich konfigurace) </w:t>
      </w:r>
      <w:r w:rsidRPr="004F4CFC">
        <w:t xml:space="preserve">provede Dodavatel. Správu </w:t>
      </w:r>
      <w:r w:rsidR="008053E3" w:rsidRPr="004F4CFC">
        <w:t>d</w:t>
      </w:r>
      <w:r w:rsidRPr="004F4CFC">
        <w:t xml:space="preserve">atabází bude provádět SPCSS. </w:t>
      </w:r>
      <w:r w:rsidR="007A47DB" w:rsidRPr="004F4CFC">
        <w:t>K a</w:t>
      </w:r>
      <w:r w:rsidRPr="004F4CFC">
        <w:t>dministrátorsk</w:t>
      </w:r>
      <w:r w:rsidR="007A47DB" w:rsidRPr="004F4CFC">
        <w:t>ým</w:t>
      </w:r>
      <w:r w:rsidRPr="004F4CFC">
        <w:t xml:space="preserve"> účt</w:t>
      </w:r>
      <w:r w:rsidR="007A47DB" w:rsidRPr="004F4CFC">
        <w:t>ům</w:t>
      </w:r>
      <w:r w:rsidRPr="004F4CFC">
        <w:t xml:space="preserve"> </w:t>
      </w:r>
      <w:r w:rsidR="008053E3" w:rsidRPr="004F4CFC">
        <w:t>d</w:t>
      </w:r>
      <w:r w:rsidRPr="004F4CFC">
        <w:t>atabází a účt</w:t>
      </w:r>
      <w:r w:rsidR="007A47DB" w:rsidRPr="004F4CFC">
        <w:t>ům</w:t>
      </w:r>
      <w:r w:rsidRPr="004F4CFC">
        <w:t xml:space="preserve"> vlastníků schémat </w:t>
      </w:r>
      <w:r w:rsidR="007A47DB" w:rsidRPr="004F4CFC">
        <w:t xml:space="preserve">bude mít v době provozu přístup pouze </w:t>
      </w:r>
      <w:r w:rsidRPr="004F4CFC">
        <w:t xml:space="preserve">SPCSS. Dodavatel může použít pro implementaci a podporu </w:t>
      </w:r>
      <w:r w:rsidR="008053E3" w:rsidRPr="004F4CFC">
        <w:t>Aplikace (včetně d</w:t>
      </w:r>
      <w:r w:rsidR="00F000B7" w:rsidRPr="004F4CFC">
        <w:t>atabází</w:t>
      </w:r>
      <w:r w:rsidR="008053E3" w:rsidRPr="004F4CFC">
        <w:t>)</w:t>
      </w:r>
      <w:r w:rsidRPr="004F4CFC">
        <w:t xml:space="preserve"> uživatelské účty, využití administrátorských účtů a účtů vlastníků schémat je možné pouze se součinností SPCSS. Dodavatel musí navrhnout implementaci </w:t>
      </w:r>
      <w:r w:rsidR="008053E3" w:rsidRPr="004F4CFC">
        <w:t>d</w:t>
      </w:r>
      <w:r w:rsidRPr="004F4CFC">
        <w:t xml:space="preserve">atabází a </w:t>
      </w:r>
      <w:r w:rsidR="00F000B7" w:rsidRPr="004F4CFC">
        <w:t>A</w:t>
      </w:r>
      <w:r w:rsidRPr="004F4CFC">
        <w:t>plikac</w:t>
      </w:r>
      <w:r w:rsidR="00F000B7" w:rsidRPr="004F4CFC">
        <w:t>e</w:t>
      </w:r>
      <w:r w:rsidRPr="004F4CFC">
        <w:t xml:space="preserve"> </w:t>
      </w:r>
      <w:r w:rsidR="008053E3" w:rsidRPr="004F4CFC">
        <w:t xml:space="preserve">obecně </w:t>
      </w:r>
      <w:r w:rsidRPr="004F4CFC">
        <w:t xml:space="preserve">tak, aby eliminoval, resp. snížil na minimální nutnou úroveň nutnost použití administrátorských účtů a účtů vlastníků schémat při provozní podpoře aplikací.  </w:t>
      </w:r>
    </w:p>
    <w:p w14:paraId="5D9A895F" w14:textId="1FC226E7" w:rsidR="00457A80" w:rsidRPr="004F4CFC" w:rsidRDefault="00457A80" w:rsidP="00457A80">
      <w:pPr>
        <w:jc w:val="both"/>
      </w:pPr>
      <w:r w:rsidRPr="004F4CFC">
        <w:t xml:space="preserve">Součástí správy </w:t>
      </w:r>
      <w:r w:rsidR="008053E3" w:rsidRPr="004F4CFC">
        <w:t>d</w:t>
      </w:r>
      <w:r w:rsidRPr="004F4CFC">
        <w:t xml:space="preserve">atabází je provedení aktualizací verzí </w:t>
      </w:r>
      <w:r w:rsidR="008C5D97" w:rsidRPr="004F4CFC">
        <w:t>databázo</w:t>
      </w:r>
      <w:r w:rsidR="00855E37" w:rsidRPr="004F4CFC">
        <w:t>v</w:t>
      </w:r>
      <w:r w:rsidR="003155E2" w:rsidRPr="004F4CFC">
        <w:t>ých</w:t>
      </w:r>
      <w:r w:rsidR="008C5D97" w:rsidRPr="004F4CFC">
        <w:t xml:space="preserve"> SW</w:t>
      </w:r>
      <w:r w:rsidR="003155E2" w:rsidRPr="004F4CFC">
        <w:t xml:space="preserve"> produktů</w:t>
      </w:r>
      <w:r w:rsidRPr="004F4CFC">
        <w:t xml:space="preserve">. Aktualizace </w:t>
      </w:r>
      <w:r w:rsidR="003155E2" w:rsidRPr="004F4CFC">
        <w:t xml:space="preserve">databázových </w:t>
      </w:r>
      <w:r w:rsidRPr="004F4CFC">
        <w:t xml:space="preserve">SW </w:t>
      </w:r>
      <w:r w:rsidR="003155E2" w:rsidRPr="004F4CFC">
        <w:t xml:space="preserve">produktů </w:t>
      </w:r>
      <w:r w:rsidRPr="004F4CFC">
        <w:t xml:space="preserve">bude plánována ve spolupráci s Dodavatelem a Objednatelem. </w:t>
      </w:r>
    </w:p>
    <w:p w14:paraId="0C94F102" w14:textId="23656071" w:rsidR="00457A80" w:rsidRPr="004F4CFC" w:rsidRDefault="003155E2" w:rsidP="00457A80">
      <w:pPr>
        <w:jc w:val="both"/>
      </w:pPr>
      <w:r w:rsidRPr="004F4CFC">
        <w:t>L</w:t>
      </w:r>
      <w:r w:rsidR="00457A80" w:rsidRPr="004F4CFC">
        <w:t>icence databáz</w:t>
      </w:r>
      <w:r w:rsidRPr="004F4CFC">
        <w:t>ových SW produktů</w:t>
      </w:r>
      <w:r w:rsidR="00457A80" w:rsidRPr="004F4CFC">
        <w:t xml:space="preserve"> ne</w:t>
      </w:r>
      <w:r w:rsidRPr="004F4CFC">
        <w:t>jsou</w:t>
      </w:r>
      <w:r w:rsidR="00457A80" w:rsidRPr="004F4CFC">
        <w:t xml:space="preserve"> součástí služby SPCSS, licence, </w:t>
      </w:r>
      <w:proofErr w:type="spellStart"/>
      <w:r w:rsidR="00457A80" w:rsidRPr="004F4CFC">
        <w:t>maintenance</w:t>
      </w:r>
      <w:proofErr w:type="spellEnd"/>
      <w:r w:rsidR="00457A80" w:rsidRPr="004F4CFC">
        <w:t xml:space="preserve"> a/nebo subskripce databáz</w:t>
      </w:r>
      <w:r w:rsidRPr="004F4CFC">
        <w:t>ových SW produktů</w:t>
      </w:r>
      <w:r w:rsidR="00457A80" w:rsidRPr="004F4CFC">
        <w:t xml:space="preserve"> potřebných pro implementaci a provoz AISG jsou součástí </w:t>
      </w:r>
      <w:r w:rsidR="00CE1C3F" w:rsidRPr="004F4CFC">
        <w:t xml:space="preserve">Plnění </w:t>
      </w:r>
      <w:r w:rsidR="00457A80" w:rsidRPr="004F4CFC">
        <w:t xml:space="preserve">Dodavatele a musí být uvedeny v seznamu SW </w:t>
      </w:r>
      <w:r w:rsidRPr="004F4CFC">
        <w:t xml:space="preserve">produktů a </w:t>
      </w:r>
      <w:r w:rsidR="00457A80" w:rsidRPr="004F4CFC">
        <w:t>licencí.</w:t>
      </w:r>
    </w:p>
    <w:p w14:paraId="0449C2F2" w14:textId="437FBDE3" w:rsidR="00457A80" w:rsidRPr="004F4CFC" w:rsidRDefault="00677CCC" w:rsidP="00457A80">
      <w:pPr>
        <w:pStyle w:val="Nadpis3"/>
      </w:pPr>
      <w:bookmarkStart w:id="137" w:name="_Toc440986941"/>
      <w:bookmarkStart w:id="138" w:name="_Toc446077229"/>
      <w:bookmarkEnd w:id="137"/>
      <w:r>
        <w:t xml:space="preserve"> </w:t>
      </w:r>
      <w:bookmarkStart w:id="139" w:name="_Toc510300911"/>
      <w:r w:rsidR="00457A80" w:rsidRPr="004F4CFC">
        <w:t>Zálohování a archivace dat</w:t>
      </w:r>
      <w:bookmarkEnd w:id="138"/>
      <w:bookmarkEnd w:id="139"/>
    </w:p>
    <w:p w14:paraId="1CC85EF6" w14:textId="03318AFF" w:rsidR="00457A80" w:rsidRPr="004F4CFC" w:rsidRDefault="00457A80" w:rsidP="00457A80">
      <w:pPr>
        <w:jc w:val="both"/>
      </w:pPr>
      <w:r w:rsidRPr="004F4CFC">
        <w:t xml:space="preserve">Služba je poskytována </w:t>
      </w:r>
      <w:r w:rsidR="00E86356" w:rsidRPr="004F4CFC">
        <w:t xml:space="preserve">SPCSS </w:t>
      </w:r>
      <w:r w:rsidRPr="004F4CFC">
        <w:t xml:space="preserve">v rozsahu uvedeném v </w:t>
      </w:r>
      <w:proofErr w:type="spellStart"/>
      <w:r w:rsidRPr="004F4CFC">
        <w:t>backup</w:t>
      </w:r>
      <w:proofErr w:type="spellEnd"/>
      <w:r w:rsidRPr="004F4CFC">
        <w:t xml:space="preserve"> plánech, jejichž návrh je </w:t>
      </w:r>
      <w:r w:rsidR="00CE1C3F" w:rsidRPr="004F4CFC">
        <w:t xml:space="preserve">odpovědností </w:t>
      </w:r>
      <w:r w:rsidRPr="004F4CFC">
        <w:t xml:space="preserve">Dodavatele. </w:t>
      </w:r>
      <w:proofErr w:type="spellStart"/>
      <w:r w:rsidRPr="004F4CFC">
        <w:t>Backup</w:t>
      </w:r>
      <w:proofErr w:type="spellEnd"/>
      <w:r w:rsidRPr="004F4CFC">
        <w:t xml:space="preserve"> plán musí obsahovat minimálně následující údaje:</w:t>
      </w:r>
    </w:p>
    <w:p w14:paraId="4DEFBAD0" w14:textId="426E0005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co se zálohuje (</w:t>
      </w:r>
      <w:r w:rsidR="00E86356" w:rsidRPr="004F4CFC">
        <w:t>diskové prostory, vybrané adresáře, databázové prostory</w:t>
      </w:r>
      <w:r w:rsidRPr="004F4CFC">
        <w:t>)</w:t>
      </w:r>
    </w:p>
    <w:p w14:paraId="00DEA74A" w14:textId="34F54234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co se nemá zálohovat (</w:t>
      </w:r>
      <w:r w:rsidR="00E86356" w:rsidRPr="004F4CFC">
        <w:t>výjimky</w:t>
      </w:r>
      <w:r w:rsidRPr="004F4CFC">
        <w:t>)</w:t>
      </w:r>
    </w:p>
    <w:p w14:paraId="78C480AB" w14:textId="77777777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kdy se zálohuje (čas spuštění zálohy a frekvence opakování)</w:t>
      </w:r>
    </w:p>
    <w:p w14:paraId="25892892" w14:textId="77777777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 xml:space="preserve">typ zálohy (plná, přírůstková, </w:t>
      </w:r>
      <w:proofErr w:type="spellStart"/>
      <w:r w:rsidRPr="004F4CFC">
        <w:t>differential</w:t>
      </w:r>
      <w:proofErr w:type="spellEnd"/>
      <w:r w:rsidRPr="004F4CFC">
        <w:t xml:space="preserve"> a podobně)</w:t>
      </w:r>
    </w:p>
    <w:p w14:paraId="19E61F37" w14:textId="62CA65F4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retence dat (jak dlouho budou data uložena</w:t>
      </w:r>
      <w:r w:rsidR="00E86356" w:rsidRPr="004F4CFC">
        <w:t>)</w:t>
      </w:r>
    </w:p>
    <w:p w14:paraId="2C4840F9" w14:textId="4651BECD" w:rsidR="00457A80" w:rsidRPr="004F4CFC" w:rsidRDefault="00457A80" w:rsidP="00457A80">
      <w:pPr>
        <w:jc w:val="both"/>
      </w:pPr>
      <w:r w:rsidRPr="004F4CFC">
        <w:t xml:space="preserve">Mezi další požadavky, z nichž některé jsou součástí </w:t>
      </w:r>
      <w:r w:rsidR="00007888" w:rsidRPr="004F4CFC">
        <w:t>n</w:t>
      </w:r>
      <w:r w:rsidRPr="004F4CFC">
        <w:t>efunkčníc</w:t>
      </w:r>
      <w:r w:rsidR="00E1210A" w:rsidRPr="004F4CFC">
        <w:t>h požadavků uvedených v</w:t>
      </w:r>
      <w:r w:rsidR="00007888" w:rsidRPr="004F4CFC">
        <w:t xml:space="preserve"> kapitole 5 této </w:t>
      </w:r>
      <w:r w:rsidR="00E1210A" w:rsidRPr="004F4CFC">
        <w:t>přílo</w:t>
      </w:r>
      <w:r w:rsidR="00007888" w:rsidRPr="004F4CFC">
        <w:t>hy</w:t>
      </w:r>
      <w:r w:rsidR="00E1210A" w:rsidRPr="004F4CFC">
        <w:t xml:space="preserve"> Smlouvy</w:t>
      </w:r>
      <w:r w:rsidRPr="004F4CFC">
        <w:t xml:space="preserve">, patří například držení dat ve více kopiích, specifikace RTO (jak rychle musí být data obnovena), specifikace RPO (maximální povolená doba ztráty dat), časové omezení </w:t>
      </w:r>
      <w:proofErr w:type="spellStart"/>
      <w:r w:rsidRPr="004F4CFC">
        <w:t>backup</w:t>
      </w:r>
      <w:proofErr w:type="spellEnd"/>
      <w:r w:rsidRPr="004F4CFC">
        <w:t xml:space="preserve"> okna (záloha musí doběhnout do tří hodin po startu) a podobně.</w:t>
      </w:r>
    </w:p>
    <w:p w14:paraId="6AF14893" w14:textId="20A9A235" w:rsidR="00457A80" w:rsidRPr="004F4CFC" w:rsidRDefault="00457A80" w:rsidP="00457A80">
      <w:pPr>
        <w:jc w:val="both"/>
      </w:pPr>
      <w:r w:rsidRPr="004F4CFC">
        <w:t xml:space="preserve">Služba je poskytována pomocí software </w:t>
      </w:r>
      <w:proofErr w:type="spellStart"/>
      <w:r w:rsidRPr="004F4CFC">
        <w:t>Tivoli</w:t>
      </w:r>
      <w:proofErr w:type="spellEnd"/>
      <w:r w:rsidRPr="004F4CFC">
        <w:t xml:space="preserve"> </w:t>
      </w:r>
      <w:proofErr w:type="spellStart"/>
      <w:r w:rsidRPr="004F4CFC">
        <w:t>Storage</w:t>
      </w:r>
      <w:proofErr w:type="spellEnd"/>
      <w:r w:rsidRPr="004F4CFC">
        <w:t xml:space="preserve"> </w:t>
      </w:r>
      <w:proofErr w:type="spellStart"/>
      <w:r w:rsidRPr="004F4CFC">
        <w:t>Manager</w:t>
      </w:r>
      <w:proofErr w:type="spellEnd"/>
      <w:r w:rsidRPr="004F4CFC">
        <w:t xml:space="preserve"> (dále jen TSM). </w:t>
      </w:r>
      <w:r w:rsidR="00CE7FA7" w:rsidRPr="004F4CFC">
        <w:t>L</w:t>
      </w:r>
      <w:r w:rsidRPr="004F4CFC">
        <w:t xml:space="preserve">icence zálohovacího systému jsou součástí služby. Součástí služby jsou i aktualizace verzí zálohovacího </w:t>
      </w:r>
      <w:r w:rsidR="00CE7FA7" w:rsidRPr="004F4CFC">
        <w:t>software</w:t>
      </w:r>
      <w:r w:rsidRPr="004F4CFC">
        <w:t xml:space="preserve">. Aktualizace </w:t>
      </w:r>
      <w:r w:rsidR="00CE7FA7" w:rsidRPr="004F4CFC">
        <w:t>zálohovacího software</w:t>
      </w:r>
      <w:r w:rsidRPr="004F4CFC">
        <w:t xml:space="preserve"> bude plánována ve spolupráci s Dodavatelem a Objednatelem. </w:t>
      </w:r>
    </w:p>
    <w:p w14:paraId="457A317A" w14:textId="77777777" w:rsidR="00457A80" w:rsidRPr="004F4CFC" w:rsidRDefault="00457A80" w:rsidP="00457A80">
      <w:pPr>
        <w:spacing w:after="0"/>
        <w:jc w:val="both"/>
      </w:pPr>
      <w:r w:rsidRPr="004F4CFC">
        <w:t>Pásky mohou být na vyžádání vyjmuty a uloženy do trezorů, umístněných v samostatných trezorových místnostech v oddělené režimové zóně. TSM servery a jejich disková pole jsou umístněné v oddělených režimových zónách od páskových knihoven. Každá z uvedených zón je současně samostatným požárním úsekem vybaveným SHZ a EPS s odpovídajícím zajištěním fyzické bezpečnosti.</w:t>
      </w:r>
    </w:p>
    <w:p w14:paraId="686EB3D6" w14:textId="16A47613" w:rsidR="00457A80" w:rsidRPr="004F4CFC" w:rsidRDefault="00677CCC" w:rsidP="00457A80">
      <w:pPr>
        <w:pStyle w:val="Nadpis3"/>
      </w:pPr>
      <w:bookmarkStart w:id="140" w:name="_Toc446077230"/>
      <w:r>
        <w:t xml:space="preserve"> </w:t>
      </w:r>
      <w:bookmarkStart w:id="141" w:name="_Toc510300912"/>
      <w:r w:rsidR="00457A80" w:rsidRPr="004F4CFC">
        <w:t>CKB, SOC</w:t>
      </w:r>
      <w:bookmarkEnd w:id="140"/>
      <w:r w:rsidR="00457A80" w:rsidRPr="004F4CFC">
        <w:t xml:space="preserve"> a bezpečnostní </w:t>
      </w:r>
      <w:r w:rsidR="001C0319" w:rsidRPr="004F4CFC">
        <w:t>monitoring</w:t>
      </w:r>
      <w:bookmarkEnd w:id="141"/>
    </w:p>
    <w:p w14:paraId="79F616D8" w14:textId="189695FB" w:rsidR="00457A80" w:rsidRPr="004F4CFC" w:rsidRDefault="00457A80" w:rsidP="00457A80">
      <w:pPr>
        <w:spacing w:after="0"/>
        <w:jc w:val="both"/>
      </w:pPr>
      <w:r w:rsidRPr="004F4CFC">
        <w:t xml:space="preserve">Služby centra kybernetické bezpečnosti (CKB) a </w:t>
      </w:r>
      <w:proofErr w:type="spellStart"/>
      <w:r w:rsidRPr="004F4CFC">
        <w:t>Security</w:t>
      </w:r>
      <w:proofErr w:type="spellEnd"/>
      <w:r w:rsidRPr="004F4CFC">
        <w:t xml:space="preserve"> </w:t>
      </w:r>
      <w:proofErr w:type="spellStart"/>
      <w:r w:rsidRPr="004F4CFC">
        <w:t>operation</w:t>
      </w:r>
      <w:proofErr w:type="spellEnd"/>
      <w:r w:rsidRPr="004F4CFC">
        <w:t xml:space="preserve"> centra (SOC) zajišťují provozní služby kybernetické bezpečnosti systémů a sítí v souladu se standardy ČSN ISO/IEC 27000 a Zákonem o kybernetické bezpečnosti (ZKB), včetně detekce, řešení a hlášení bezpečnostních incidentů. Součástí standardních služeb SPCSS v oblasti bezpečnostního </w:t>
      </w:r>
      <w:r w:rsidR="00EB07B6" w:rsidRPr="004F4CFC">
        <w:t xml:space="preserve">monitoringu </w:t>
      </w:r>
      <w:r w:rsidRPr="004F4CFC">
        <w:t>je i dohledový systém typu SIEM, který odpovídá požadavkům zákona 181/2014 Sb. na úrovni kritické informační infrastruktury (SPCSS jako podnik je prvkem KII).</w:t>
      </w:r>
    </w:p>
    <w:p w14:paraId="70D75134" w14:textId="77777777" w:rsidR="00457A80" w:rsidRPr="004F4CFC" w:rsidRDefault="00457A80" w:rsidP="00457A80">
      <w:pPr>
        <w:spacing w:after="0"/>
        <w:jc w:val="both"/>
      </w:pPr>
    </w:p>
    <w:p w14:paraId="0F533819" w14:textId="2FB899C3" w:rsidR="00457A80" w:rsidRPr="004F4CFC" w:rsidRDefault="00880C6A">
      <w:pPr>
        <w:spacing w:after="0"/>
        <w:jc w:val="both"/>
      </w:pPr>
      <w:r w:rsidRPr="004F4CFC">
        <w:t xml:space="preserve">Dodavatel navrhne a implementuje metriky bezpečnostního monitoringu na </w:t>
      </w:r>
      <w:r w:rsidR="00BC27FF" w:rsidRPr="004F4CFC">
        <w:t xml:space="preserve">aplikační </w:t>
      </w:r>
      <w:r w:rsidRPr="004F4CFC">
        <w:t xml:space="preserve">úrovni a společně s SPCSS zajistí jejich integraci do </w:t>
      </w:r>
      <w:proofErr w:type="gramStart"/>
      <w:r w:rsidRPr="004F4CFC">
        <w:t>monitoring</w:t>
      </w:r>
      <w:proofErr w:type="gramEnd"/>
      <w:r w:rsidRPr="004F4CFC">
        <w:t xml:space="preserve"> nástrojů SPCSS. Integrace bezpečnostního monitoringu na </w:t>
      </w:r>
      <w:r w:rsidR="00BC27FF" w:rsidRPr="004F4CFC">
        <w:t xml:space="preserve">aplikační </w:t>
      </w:r>
      <w:r w:rsidRPr="004F4CFC">
        <w:t>úrovni bude provedena formou logování.</w:t>
      </w:r>
      <w:r w:rsidR="00457A80" w:rsidRPr="004F4CFC">
        <w:t xml:space="preserve"> </w:t>
      </w:r>
      <w:r w:rsidR="00CE7FA7" w:rsidRPr="004F4CFC">
        <w:t>L</w:t>
      </w:r>
      <w:r w:rsidR="00457A80" w:rsidRPr="004F4CFC">
        <w:t xml:space="preserve">icence systému </w:t>
      </w:r>
      <w:r w:rsidRPr="004F4CFC">
        <w:t xml:space="preserve">bezpečnostního monitoringu </w:t>
      </w:r>
      <w:r w:rsidR="00457A80" w:rsidRPr="004F4CFC">
        <w:t xml:space="preserve">jsou součástí služby SPCSS. Část návrhové, implementační a provozní dokumentace CKB a bezpečnostního </w:t>
      </w:r>
      <w:r w:rsidRPr="004F4CFC">
        <w:t>monitoringu</w:t>
      </w:r>
      <w:r w:rsidR="00457A80" w:rsidRPr="004F4CFC">
        <w:t xml:space="preserve"> je chráněna v režimu utajovaných informací stupně Vyhrazené dle Zákona o ochraně utajovaných informací.</w:t>
      </w:r>
    </w:p>
    <w:p w14:paraId="20802F97" w14:textId="3E526AC1" w:rsidR="00457A80" w:rsidRPr="004F4CFC" w:rsidRDefault="00677CCC" w:rsidP="00457A80">
      <w:pPr>
        <w:pStyle w:val="Nadpis3"/>
      </w:pPr>
      <w:bookmarkStart w:id="142" w:name="_Toc446077231"/>
      <w:r>
        <w:lastRenderedPageBreak/>
        <w:t xml:space="preserve"> </w:t>
      </w:r>
      <w:bookmarkStart w:id="143" w:name="_Toc510300913"/>
      <w:r w:rsidR="00EB07B6" w:rsidRPr="004F4CFC">
        <w:t>Provozní m</w:t>
      </w:r>
      <w:r w:rsidR="00457A80" w:rsidRPr="004F4CFC">
        <w:t>onitoring infrastruktury a služeb</w:t>
      </w:r>
      <w:bookmarkEnd w:id="142"/>
      <w:bookmarkEnd w:id="143"/>
    </w:p>
    <w:p w14:paraId="70AE7DF5" w14:textId="6B4E534B" w:rsidR="00457A80" w:rsidRPr="004F4CFC" w:rsidRDefault="00457A80" w:rsidP="00457A80">
      <w:pPr>
        <w:spacing w:after="0"/>
        <w:jc w:val="both"/>
      </w:pPr>
      <w:r w:rsidRPr="004F4CFC">
        <w:t xml:space="preserve">SPCSS poskytuje dohled infrastruktury v režimu 7x24 v podobě proaktivního monitoringu stavu serverů a datových sítí na různých úrovních, včetně měření Service </w:t>
      </w:r>
      <w:proofErr w:type="spellStart"/>
      <w:r w:rsidRPr="004F4CFC">
        <w:t>Level</w:t>
      </w:r>
      <w:proofErr w:type="spellEnd"/>
      <w:r w:rsidRPr="004F4CFC">
        <w:t xml:space="preserve"> </w:t>
      </w:r>
      <w:proofErr w:type="spellStart"/>
      <w:r w:rsidRPr="004F4CFC">
        <w:t>Agreement</w:t>
      </w:r>
      <w:proofErr w:type="spellEnd"/>
      <w:r w:rsidRPr="004F4CFC">
        <w:t xml:space="preserve"> (dále jen „SLA“). </w:t>
      </w:r>
      <w:r w:rsidR="00880C6A" w:rsidRPr="004F4CFC">
        <w:t>S</w:t>
      </w:r>
      <w:r w:rsidRPr="004F4CFC">
        <w:t xml:space="preserve">ystém </w:t>
      </w:r>
      <w:r w:rsidR="00880C6A" w:rsidRPr="004F4CFC">
        <w:t xml:space="preserve">provozního monitoringu </w:t>
      </w:r>
      <w:r w:rsidRPr="004F4CFC">
        <w:t xml:space="preserve">je integrován do </w:t>
      </w:r>
      <w:proofErr w:type="spellStart"/>
      <w:r w:rsidRPr="004F4CFC">
        <w:t>ServiceDesku</w:t>
      </w:r>
      <w:proofErr w:type="spellEnd"/>
      <w:r w:rsidRPr="004F4CFC">
        <w:t xml:space="preserve"> SPCSS (dále jen „SD SPCSS“), který zajistí řešení procesů </w:t>
      </w:r>
      <w:r w:rsidR="00880C6A" w:rsidRPr="004F4CFC">
        <w:t>I</w:t>
      </w:r>
      <w:r w:rsidRPr="004F4CFC">
        <w:t>ncident managementu.</w:t>
      </w:r>
    </w:p>
    <w:p w14:paraId="19A01FFB" w14:textId="77777777" w:rsidR="00880C6A" w:rsidRPr="004F4CFC" w:rsidRDefault="00880C6A" w:rsidP="00457A80">
      <w:pPr>
        <w:spacing w:after="0"/>
        <w:jc w:val="both"/>
      </w:pPr>
    </w:p>
    <w:p w14:paraId="7123127E" w14:textId="05B30E5B" w:rsidR="00457A80" w:rsidRPr="004F4CFC" w:rsidRDefault="00457A80" w:rsidP="00457A80">
      <w:pPr>
        <w:spacing w:after="0"/>
        <w:jc w:val="both"/>
      </w:pPr>
      <w:r w:rsidRPr="004F4CFC">
        <w:t xml:space="preserve">Požadavky na logování a monitoring na </w:t>
      </w:r>
      <w:r w:rsidR="00BC27FF" w:rsidRPr="004F4CFC">
        <w:t xml:space="preserve">aplikační </w:t>
      </w:r>
      <w:r w:rsidRPr="004F4CFC">
        <w:t xml:space="preserve">úrovni budou definovány ve fázi Analýzy. Dodavatel navrhne a implementuje systém logování </w:t>
      </w:r>
      <w:r w:rsidR="00BC27FF" w:rsidRPr="004F4CFC">
        <w:t>A</w:t>
      </w:r>
      <w:r w:rsidRPr="004F4CFC">
        <w:t>plikace</w:t>
      </w:r>
      <w:r w:rsidR="00BC27FF" w:rsidRPr="004F4CFC">
        <w:t xml:space="preserve"> a SW produktů</w:t>
      </w:r>
      <w:r w:rsidRPr="004F4CFC">
        <w:t xml:space="preserve"> v souladu s bezpečnostními a provozními požadavky SPCSS. Dodavatel navrhne a implementuje nástroje </w:t>
      </w:r>
      <w:r w:rsidR="00880C6A" w:rsidRPr="004F4CFC">
        <w:t xml:space="preserve">provozního </w:t>
      </w:r>
      <w:r w:rsidRPr="004F4CFC">
        <w:t xml:space="preserve">a bezpečnostního </w:t>
      </w:r>
      <w:r w:rsidR="00880C6A" w:rsidRPr="004F4CFC">
        <w:t>monitoringu</w:t>
      </w:r>
      <w:r w:rsidRPr="004F4CFC">
        <w:t xml:space="preserve"> na </w:t>
      </w:r>
      <w:r w:rsidR="00BC27FF" w:rsidRPr="004F4CFC">
        <w:t xml:space="preserve">aplikační </w:t>
      </w:r>
      <w:r w:rsidRPr="004F4CFC">
        <w:t>úrovni a společně s SPCSS zajistí jejich integraci do</w:t>
      </w:r>
      <w:r w:rsidR="00880C6A" w:rsidRPr="004F4CFC">
        <w:t xml:space="preserve"> </w:t>
      </w:r>
      <w:r w:rsidRPr="004F4CFC">
        <w:t xml:space="preserve">nástrojů </w:t>
      </w:r>
      <w:r w:rsidR="009720A6" w:rsidRPr="004F4CFC">
        <w:t xml:space="preserve">provozního monitoringu </w:t>
      </w:r>
      <w:r w:rsidRPr="004F4CFC">
        <w:t xml:space="preserve">SPCSS. </w:t>
      </w:r>
    </w:p>
    <w:p w14:paraId="4543B9C9" w14:textId="77777777" w:rsidR="00880C6A" w:rsidRPr="004F4CFC" w:rsidRDefault="00880C6A" w:rsidP="00457A80">
      <w:pPr>
        <w:spacing w:after="0"/>
        <w:jc w:val="both"/>
      </w:pPr>
    </w:p>
    <w:p w14:paraId="69895A97" w14:textId="786B608F" w:rsidR="00457A80" w:rsidRPr="004F4CFC" w:rsidRDefault="00457A80" w:rsidP="00457A80">
      <w:pPr>
        <w:spacing w:after="0"/>
        <w:jc w:val="both"/>
      </w:pPr>
      <w:r w:rsidRPr="004F4CFC">
        <w:t xml:space="preserve">SPCSS používá nástroje </w:t>
      </w:r>
      <w:r w:rsidR="00880C6A" w:rsidRPr="004F4CFC">
        <w:t xml:space="preserve">provozního monitoringu </w:t>
      </w:r>
      <w:r w:rsidRPr="004F4CFC">
        <w:t xml:space="preserve">od firmy CA. </w:t>
      </w:r>
      <w:r w:rsidR="00CE7FA7" w:rsidRPr="004F4CFC">
        <w:t>L</w:t>
      </w:r>
      <w:r w:rsidRPr="004F4CFC">
        <w:t xml:space="preserve">icence monitoring systému jsou součástí služby SPCSS. </w:t>
      </w:r>
    </w:p>
    <w:p w14:paraId="55654592" w14:textId="77777777" w:rsidR="00457A80" w:rsidRPr="004F4CFC" w:rsidRDefault="00457A80" w:rsidP="00457A80">
      <w:pPr>
        <w:spacing w:after="0"/>
        <w:jc w:val="both"/>
      </w:pPr>
    </w:p>
    <w:p w14:paraId="292ACF67" w14:textId="18C55404" w:rsidR="00457A80" w:rsidRPr="004F4CFC" w:rsidRDefault="00457A80" w:rsidP="00457A80">
      <w:pPr>
        <w:spacing w:after="0"/>
        <w:jc w:val="both"/>
      </w:pPr>
      <w:r w:rsidRPr="004F4CFC">
        <w:t xml:space="preserve">Přímý přístup Dodavatele do nástrojů </w:t>
      </w:r>
      <w:r w:rsidR="00EB07B6" w:rsidRPr="004F4CFC">
        <w:t xml:space="preserve">provozního </w:t>
      </w:r>
      <w:r w:rsidRPr="004F4CFC">
        <w:t>monitoringu není standardně poskytován, primární nástroj pro komunikaci s Dodavatelem je ServiceDesk SPCSS. V rámci přípravy provozní dokumentace budou ve spolupráci Dodavatele a SPCSS navrženy způsoby předávání informací z monitoringu potřebné pro řešení problémů</w:t>
      </w:r>
      <w:r w:rsidR="00FD3FB0" w:rsidRPr="004F4CFC">
        <w:t xml:space="preserve"> a</w:t>
      </w:r>
      <w:r w:rsidRPr="004F4CFC">
        <w:t xml:space="preserve"> analýzy stavu AISG.</w:t>
      </w:r>
    </w:p>
    <w:p w14:paraId="7973AB31" w14:textId="77777777" w:rsidR="009A545D" w:rsidRPr="004F4CFC" w:rsidRDefault="009A545D">
      <w:pPr>
        <w:rPr>
          <w:rFonts w:asciiTheme="majorHAnsi" w:eastAsiaTheme="majorEastAsia" w:hAnsiTheme="majorHAnsi" w:cstheme="majorBidi"/>
          <w:b/>
          <w:bCs/>
          <w:i/>
          <w:sz w:val="56"/>
          <w:szCs w:val="28"/>
        </w:rPr>
      </w:pPr>
      <w:bookmarkStart w:id="144" w:name="_Toc481259710"/>
      <w:bookmarkStart w:id="145" w:name="_Toc481261195"/>
      <w:bookmarkStart w:id="146" w:name="_Toc481315656"/>
      <w:bookmarkEnd w:id="144"/>
      <w:bookmarkEnd w:id="145"/>
      <w:bookmarkEnd w:id="146"/>
      <w:r w:rsidRPr="004F4CFC">
        <w:br w:type="page"/>
      </w:r>
    </w:p>
    <w:p w14:paraId="10B0F12D" w14:textId="4A6456D8" w:rsidR="00251418" w:rsidRPr="004F4CFC" w:rsidRDefault="00CE7FA7" w:rsidP="009A545D">
      <w:pPr>
        <w:pStyle w:val="Nadpis1"/>
      </w:pPr>
      <w:bookmarkStart w:id="147" w:name="_Toc510300914"/>
      <w:r w:rsidRPr="004F4CFC">
        <w:lastRenderedPageBreak/>
        <w:t>L</w:t>
      </w:r>
      <w:r w:rsidR="00251418" w:rsidRPr="004F4CFC">
        <w:t>icence a subskripce</w:t>
      </w:r>
      <w:r w:rsidRPr="004F4CFC">
        <w:t xml:space="preserve"> SW produktů</w:t>
      </w:r>
      <w:bookmarkEnd w:id="147"/>
    </w:p>
    <w:p w14:paraId="6CAD9A04" w14:textId="066470EB" w:rsidR="00C426C2" w:rsidRPr="004F4CFC" w:rsidRDefault="00251418" w:rsidP="00E27C58">
      <w:pPr>
        <w:jc w:val="both"/>
      </w:pPr>
      <w:r w:rsidRPr="004F4CFC">
        <w:t xml:space="preserve">Licence </w:t>
      </w:r>
      <w:r w:rsidR="00CE7FA7" w:rsidRPr="004F4CFC">
        <w:t>software</w:t>
      </w:r>
      <w:r w:rsidRPr="004F4CFC">
        <w:t xml:space="preserve"> na úrovni operačních systémů, </w:t>
      </w:r>
      <w:proofErr w:type="spellStart"/>
      <w:r w:rsidRPr="004F4CFC">
        <w:t>virtualizace</w:t>
      </w:r>
      <w:proofErr w:type="spellEnd"/>
      <w:r w:rsidRPr="004F4CFC">
        <w:t xml:space="preserve">, zálohování a monitoringu jsou </w:t>
      </w:r>
      <w:r w:rsidR="00CE7FA7" w:rsidRPr="004F4CFC">
        <w:t xml:space="preserve">součástí Technické infrastruktury a jsou </w:t>
      </w:r>
      <w:r w:rsidRPr="004F4CFC">
        <w:t xml:space="preserve">dodávány jako součást provozních služeb SPCSS. </w:t>
      </w:r>
    </w:p>
    <w:p w14:paraId="5A76B44E" w14:textId="724A2B70" w:rsidR="00E27C58" w:rsidRPr="004F4CFC" w:rsidRDefault="00251418" w:rsidP="00E27C58">
      <w:pPr>
        <w:jc w:val="both"/>
      </w:pPr>
      <w:r w:rsidRPr="004F4CFC">
        <w:t>Vš</w:t>
      </w:r>
      <w:r w:rsidR="00E2005E" w:rsidRPr="004F4CFC">
        <w:t xml:space="preserve">echny </w:t>
      </w:r>
      <w:r w:rsidRPr="004F4CFC">
        <w:t xml:space="preserve">SW </w:t>
      </w:r>
      <w:r w:rsidR="00E2005E" w:rsidRPr="004F4CFC">
        <w:t>produkt</w:t>
      </w:r>
      <w:r w:rsidR="00575536" w:rsidRPr="004F4CFC">
        <w:t>y</w:t>
      </w:r>
      <w:r w:rsidR="00E2005E" w:rsidRPr="004F4CFC">
        <w:t xml:space="preserve"> </w:t>
      </w:r>
      <w:r w:rsidR="00CE7FA7" w:rsidRPr="004F4CFC">
        <w:t xml:space="preserve">nad úrovní Technické infrastruktury, </w:t>
      </w:r>
      <w:r w:rsidR="00E2005E" w:rsidRPr="004F4CFC">
        <w:t>potřebné</w:t>
      </w:r>
      <w:r w:rsidRPr="004F4CFC">
        <w:t xml:space="preserve"> pro vybudování a provoz AISG, včetně aplikační</w:t>
      </w:r>
      <w:r w:rsidR="00575536" w:rsidRPr="004F4CFC">
        <w:t>ch</w:t>
      </w:r>
      <w:r w:rsidRPr="004F4CFC">
        <w:t xml:space="preserve"> serverů, </w:t>
      </w:r>
      <w:proofErr w:type="spellStart"/>
      <w:r w:rsidRPr="004F4CFC">
        <w:t>middleware</w:t>
      </w:r>
      <w:proofErr w:type="spellEnd"/>
      <w:r w:rsidRPr="004F4CFC">
        <w:t xml:space="preserve"> a databází,</w:t>
      </w:r>
      <w:r w:rsidR="00E2005E" w:rsidRPr="004F4CFC">
        <w:t xml:space="preserve"> jsou</w:t>
      </w:r>
      <w:r w:rsidRPr="004F4CFC">
        <w:t xml:space="preserve"> považován</w:t>
      </w:r>
      <w:r w:rsidR="00E2005E" w:rsidRPr="004F4CFC">
        <w:t>y</w:t>
      </w:r>
      <w:r w:rsidR="004002A5" w:rsidRPr="004F4CFC">
        <w:t xml:space="preserve"> za SW </w:t>
      </w:r>
      <w:r w:rsidR="00BC27FF" w:rsidRPr="004F4CFC">
        <w:t xml:space="preserve">produkty na aplikační úrovni </w:t>
      </w:r>
      <w:r w:rsidR="004002A5" w:rsidRPr="004F4CFC">
        <w:t>a jsou</w:t>
      </w:r>
      <w:r w:rsidRPr="004F4CFC">
        <w:t xml:space="preserve"> součástí Díla.</w:t>
      </w:r>
      <w:bookmarkEnd w:id="14"/>
      <w:bookmarkEnd w:id="115"/>
      <w:r w:rsidR="00740519" w:rsidRPr="004F4CFC">
        <w:t xml:space="preserve"> Pokud budou součástí Díla </w:t>
      </w:r>
      <w:r w:rsidR="00CE7FA7" w:rsidRPr="004F4CFC">
        <w:t>l</w:t>
      </w:r>
      <w:r w:rsidR="00740519" w:rsidRPr="004F4CFC">
        <w:t xml:space="preserve">icence </w:t>
      </w:r>
      <w:r w:rsidR="00CE7FA7" w:rsidRPr="004F4CFC">
        <w:t xml:space="preserve">SW produktů </w:t>
      </w:r>
      <w:r w:rsidR="00740519" w:rsidRPr="004F4CFC">
        <w:t xml:space="preserve">Microsoft, musí </w:t>
      </w:r>
      <w:r w:rsidR="00516992" w:rsidRPr="004F4CFC">
        <w:t xml:space="preserve">být </w:t>
      </w:r>
      <w:r w:rsidR="00740519" w:rsidRPr="004F4CFC">
        <w:t>kompatibil</w:t>
      </w:r>
      <w:r w:rsidR="00516992" w:rsidRPr="004F4CFC">
        <w:t>ní</w:t>
      </w:r>
      <w:r w:rsidR="00740519" w:rsidRPr="004F4CFC">
        <w:t xml:space="preserve"> s podporovanou verzí OS (</w:t>
      </w:r>
      <w:proofErr w:type="spellStart"/>
      <w:r w:rsidR="00740519" w:rsidRPr="004F4CFC">
        <w:t>Datacenter</w:t>
      </w:r>
      <w:proofErr w:type="spellEnd"/>
      <w:r w:rsidR="00740519" w:rsidRPr="004F4CFC">
        <w:t xml:space="preserve"> </w:t>
      </w:r>
      <w:proofErr w:type="spellStart"/>
      <w:r w:rsidR="00740519" w:rsidRPr="004F4CFC">
        <w:t>edition</w:t>
      </w:r>
      <w:proofErr w:type="spellEnd"/>
      <w:r w:rsidR="00740519" w:rsidRPr="004F4CFC">
        <w:t>).</w:t>
      </w:r>
    </w:p>
    <w:p w14:paraId="12201184" w14:textId="77777777" w:rsidR="00E27C58" w:rsidRPr="004F4CFC" w:rsidRDefault="00E27C58">
      <w:pPr>
        <w:rPr>
          <w:rFonts w:asciiTheme="majorHAnsi" w:eastAsiaTheme="majorEastAsia" w:hAnsiTheme="majorHAnsi" w:cstheme="majorBidi"/>
          <w:b/>
          <w:bCs/>
          <w:i/>
          <w:sz w:val="56"/>
          <w:szCs w:val="28"/>
        </w:rPr>
      </w:pPr>
      <w:r w:rsidRPr="004F4CFC">
        <w:br w:type="page"/>
      </w:r>
    </w:p>
    <w:p w14:paraId="5D85E39C" w14:textId="16F00C99" w:rsidR="00E27C58" w:rsidRPr="004F4CFC" w:rsidRDefault="00E27C58" w:rsidP="00E27C58">
      <w:pPr>
        <w:pStyle w:val="Heading1NoSpacing"/>
        <w:spacing w:after="240"/>
        <w:ind w:left="431" w:hanging="431"/>
      </w:pPr>
      <w:bookmarkStart w:id="148" w:name="_Toc510300915"/>
      <w:r w:rsidRPr="004F4CFC">
        <w:lastRenderedPageBreak/>
        <w:t>Nefunkční technické požadavky</w:t>
      </w:r>
      <w:bookmarkEnd w:id="148"/>
    </w:p>
    <w:p w14:paraId="2F6BFF27" w14:textId="7484C037" w:rsidR="00E27C58" w:rsidRPr="004F4CFC" w:rsidRDefault="00E27C58" w:rsidP="00E27C58">
      <w:pPr>
        <w:pStyle w:val="Nadpis2"/>
      </w:pPr>
      <w:bookmarkStart w:id="149" w:name="_Toc510300916"/>
      <w:bookmarkStart w:id="150" w:name="_Toc510301009"/>
      <w:bookmarkStart w:id="151" w:name="_Toc510301010"/>
      <w:bookmarkStart w:id="152" w:name="_Toc510301011"/>
      <w:bookmarkStart w:id="153" w:name="_Toc510301012"/>
      <w:bookmarkStart w:id="154" w:name="_Toc510301013"/>
      <w:bookmarkStart w:id="155" w:name="_Toc510301014"/>
      <w:bookmarkStart w:id="156" w:name="_Toc510301015"/>
      <w:bookmarkStart w:id="157" w:name="_Toc466034064"/>
      <w:bookmarkStart w:id="158" w:name="_Toc510301016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4F4CFC">
        <w:t>Dozorová část</w:t>
      </w:r>
      <w:bookmarkEnd w:id="157"/>
      <w:bookmarkEnd w:id="158"/>
    </w:p>
    <w:tbl>
      <w:tblPr>
        <w:tblW w:w="10080" w:type="dxa"/>
        <w:tblInd w:w="55" w:type="dxa"/>
        <w:tblBorders>
          <w:top w:val="single" w:sz="4" w:space="0" w:color="DC6900"/>
          <w:left w:val="single" w:sz="4" w:space="0" w:color="DC6900"/>
          <w:bottom w:val="single" w:sz="4" w:space="0" w:color="DC6900"/>
          <w:right w:val="single" w:sz="4" w:space="0" w:color="DC6900"/>
          <w:insideH w:val="single" w:sz="4" w:space="0" w:color="DC6900"/>
          <w:insideV w:val="single" w:sz="4" w:space="0" w:color="DC69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404"/>
        <w:gridCol w:w="3685"/>
        <w:gridCol w:w="4253"/>
      </w:tblGrid>
      <w:tr w:rsidR="00E27C58" w:rsidRPr="004F4CFC" w14:paraId="4B26802D" w14:textId="77777777" w:rsidTr="00377017">
        <w:trPr>
          <w:cantSplit/>
          <w:trHeight w:val="453"/>
          <w:tblHeader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6DF62F0B" w14:textId="5FF317F3" w:rsidR="00E27C58" w:rsidRPr="004F4CFC" w:rsidRDefault="00E27C58" w:rsidP="006E28C6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ID 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1877B8AD" w14:textId="77777777" w:rsidR="00E27C58" w:rsidRPr="004F4CFC" w:rsidRDefault="00E27C58" w:rsidP="00377017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Kategorie požadavků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43F48C1B" w14:textId="77777777" w:rsidR="00E27C58" w:rsidRPr="004F4CFC" w:rsidRDefault="00E27C58" w:rsidP="00377017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Požadavek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17AFB7AF" w14:textId="77777777" w:rsidR="00E27C58" w:rsidRPr="004F4CFC" w:rsidRDefault="00E27C58" w:rsidP="00377017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Hodnota/popis</w:t>
            </w:r>
          </w:p>
        </w:tc>
      </w:tr>
      <w:tr w:rsidR="00E27C58" w:rsidRPr="004F4CFC" w14:paraId="3AC9FCEA" w14:textId="77777777" w:rsidTr="00377017">
        <w:trPr>
          <w:trHeight w:val="860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F1022C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RT6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91208E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3EB4D2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Response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- doba od přijetí dotazu na úrovni vnitřní sítě po dobu, kdy odpověď systému opouští vnitřní síť (doba zpracování v AISG, tj. doba odpovědi externích systémů se nezapočítává).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04FB612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1 s </w:t>
            </w:r>
            <w:r w:rsidRPr="004F4CFC">
              <w:rPr>
                <w:color w:val="000000"/>
                <w:sz w:val="18"/>
                <w:szCs w:val="18"/>
              </w:rPr>
              <w:br/>
              <w:t xml:space="preserve">Povinnost dodržení hodnoty odezvy do 1s pro 90% požadavků a zároveň nepřekročení průměrné hodnoty odezvy do 1s pro 100% </w:t>
            </w:r>
            <w:proofErr w:type="gramStart"/>
            <w:r w:rsidRPr="004F4CFC">
              <w:rPr>
                <w:color w:val="000000"/>
                <w:sz w:val="18"/>
                <w:szCs w:val="18"/>
              </w:rPr>
              <w:t>požadavků</w:t>
            </w:r>
            <w:proofErr w:type="gramEnd"/>
            <w:r w:rsidRPr="004F4CFC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E27C58" w:rsidRPr="004F4CFC" w14:paraId="62031713" w14:textId="77777777" w:rsidTr="00377017">
        <w:trPr>
          <w:trHeight w:val="51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1F8733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36A3AB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D5B37A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konkurentních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připojení - omezení na úrovni webových serverů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maxConnections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limit). Nepředpokládá se existence trvalého otevření spojení mezi provozovateli a AISG.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2F72CB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E27C58" w:rsidRPr="004F4CFC" w14:paraId="57C9BD79" w14:textId="77777777" w:rsidTr="00377017">
        <w:trPr>
          <w:trHeight w:val="778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B992C8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RT9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E4E6E8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Kapacita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1F39E1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Propustnost - kolik hráčů musí systém zvládnout ověřit a/nebo registrovat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A05B3A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200 000 hráčů za 1 hodinu</w:t>
            </w:r>
          </w:p>
        </w:tc>
      </w:tr>
      <w:tr w:rsidR="00E27C58" w:rsidRPr="004F4CFC" w14:paraId="1D9101CA" w14:textId="77777777" w:rsidTr="00377017">
        <w:trPr>
          <w:trHeight w:val="770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176A07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RT10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EF63F4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Kapacita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7E68F62" w14:textId="50F73CCB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Úložiště </w:t>
            </w:r>
            <w:r w:rsidR="00845350">
              <w:rPr>
                <w:color w:val="000000"/>
                <w:sz w:val="18"/>
                <w:szCs w:val="18"/>
              </w:rPr>
              <w:t>–</w:t>
            </w:r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r w:rsidR="00845350">
              <w:rPr>
                <w:color w:val="000000"/>
                <w:sz w:val="18"/>
                <w:szCs w:val="18"/>
              </w:rPr>
              <w:t xml:space="preserve">maximální </w:t>
            </w:r>
            <w:r w:rsidRPr="004F4CFC">
              <w:rPr>
                <w:color w:val="000000"/>
                <w:sz w:val="18"/>
                <w:szCs w:val="18"/>
              </w:rPr>
              <w:t xml:space="preserve">čistá datová kapacita úložného prostoru bez záloh, redundancí dat 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overheadu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uložení na úložištích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C6472FA" w14:textId="4B070CD3" w:rsidR="00E27C58" w:rsidRDefault="00845350" w:rsidP="0088714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F4CFC">
              <w:rPr>
                <w:color w:val="000000"/>
                <w:sz w:val="18"/>
                <w:szCs w:val="18"/>
              </w:rPr>
              <w:t xml:space="preserve">rvní </w:t>
            </w:r>
            <w:r w:rsidR="00E27C58" w:rsidRPr="004F4CFC">
              <w:rPr>
                <w:color w:val="000000"/>
                <w:sz w:val="18"/>
                <w:szCs w:val="18"/>
              </w:rPr>
              <w:t xml:space="preserve">rok: 1 TB </w:t>
            </w:r>
            <w:r w:rsidR="002F4C6D">
              <w:rPr>
                <w:color w:val="000000"/>
                <w:sz w:val="18"/>
                <w:szCs w:val="18"/>
              </w:rPr>
              <w:t>(včetně záznamů o transakcích a změnách)</w:t>
            </w:r>
            <w:r w:rsidR="007A18DC">
              <w:rPr>
                <w:color w:val="000000"/>
                <w:sz w:val="18"/>
                <w:szCs w:val="18"/>
              </w:rPr>
              <w:t xml:space="preserve">, rozdělení mezi DB hráčů a DB vyloučení je </w:t>
            </w:r>
            <w:r w:rsidR="007118A6">
              <w:rPr>
                <w:color w:val="000000"/>
                <w:sz w:val="18"/>
                <w:szCs w:val="18"/>
              </w:rPr>
              <w:t xml:space="preserve">předpokládáno v poměru </w:t>
            </w:r>
            <w:r w:rsidR="007A18DC">
              <w:rPr>
                <w:color w:val="000000"/>
                <w:sz w:val="18"/>
                <w:szCs w:val="18"/>
              </w:rPr>
              <w:t>1:3</w:t>
            </w:r>
          </w:p>
          <w:p w14:paraId="6317A7E6" w14:textId="1F10358B" w:rsidR="00887148" w:rsidRPr="00D107E8" w:rsidRDefault="00887148" w:rsidP="00887148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cs-CZ"/>
              </w:rPr>
            </w:pPr>
            <w:r w:rsidRPr="00D107E8">
              <w:rPr>
                <w:i/>
                <w:color w:val="000000"/>
                <w:sz w:val="18"/>
                <w:szCs w:val="18"/>
              </w:rPr>
              <w:t>Pozn.</w:t>
            </w:r>
            <w:r>
              <w:rPr>
                <w:i/>
                <w:color w:val="000000"/>
                <w:sz w:val="18"/>
                <w:szCs w:val="18"/>
              </w:rPr>
              <w:t>:</w:t>
            </w:r>
            <w:r w:rsidRPr="00D107E8">
              <w:rPr>
                <w:i/>
                <w:color w:val="000000"/>
                <w:sz w:val="18"/>
                <w:szCs w:val="18"/>
              </w:rPr>
              <w:t xml:space="preserve"> v 1 roce provozu se předpokládá rozsáhlá registrace hráčů, zatímco náběh ověřování </w:t>
            </w:r>
            <w:r>
              <w:rPr>
                <w:i/>
                <w:color w:val="000000"/>
                <w:sz w:val="18"/>
                <w:szCs w:val="18"/>
              </w:rPr>
              <w:t xml:space="preserve">hráčů </w:t>
            </w:r>
            <w:r w:rsidRPr="00D107E8">
              <w:rPr>
                <w:i/>
                <w:color w:val="000000"/>
                <w:sz w:val="18"/>
                <w:szCs w:val="18"/>
              </w:rPr>
              <w:t>oproti DB vyloučení bude pozvolný</w:t>
            </w:r>
          </w:p>
        </w:tc>
      </w:tr>
      <w:tr w:rsidR="00E27C58" w:rsidRPr="004F4CFC" w14:paraId="44589BC6" w14:textId="77777777" w:rsidTr="00377017">
        <w:trPr>
          <w:trHeight w:val="43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EFE770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RT11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32A114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Kapacita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FE6A02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Požadavky na meziroční nárůsty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314F42F" w14:textId="228D4DB1" w:rsidR="00E27C58" w:rsidRPr="004F4CFC" w:rsidRDefault="002F4C6D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Každý další rok 1TB (včetně záznamů o transakcích a změnách)</w:t>
            </w:r>
            <w:r w:rsidR="007A18DC">
              <w:rPr>
                <w:color w:val="000000"/>
                <w:sz w:val="18"/>
                <w:szCs w:val="18"/>
              </w:rPr>
              <w:t xml:space="preserve">, rozdělení mezi DB hráčů a DB vyloučení je </w:t>
            </w:r>
            <w:r w:rsidR="007118A6">
              <w:rPr>
                <w:color w:val="000000"/>
                <w:sz w:val="18"/>
                <w:szCs w:val="18"/>
              </w:rPr>
              <w:t xml:space="preserve">předpokládáno v poměru </w:t>
            </w:r>
            <w:r w:rsidR="007A18DC">
              <w:rPr>
                <w:color w:val="000000"/>
                <w:sz w:val="18"/>
                <w:szCs w:val="18"/>
              </w:rPr>
              <w:t>1:</w:t>
            </w:r>
            <w:r w:rsidR="00887148">
              <w:rPr>
                <w:color w:val="000000"/>
                <w:sz w:val="18"/>
                <w:szCs w:val="18"/>
              </w:rPr>
              <w:t>8</w:t>
            </w:r>
          </w:p>
          <w:p w14:paraId="0E4A3BDA" w14:textId="27A15271" w:rsidR="00887148" w:rsidRDefault="00585039" w:rsidP="00887148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4F4CFC">
              <w:rPr>
                <w:i/>
                <w:color w:val="000000"/>
                <w:sz w:val="18"/>
                <w:szCs w:val="18"/>
              </w:rPr>
              <w:t>Pozn</w:t>
            </w:r>
            <w:r w:rsidR="00845350">
              <w:rPr>
                <w:i/>
                <w:color w:val="000000"/>
                <w:sz w:val="18"/>
                <w:szCs w:val="18"/>
              </w:rPr>
              <w:t>.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: výpočet celkové čisté datové kapacity úložiště </w:t>
            </w:r>
            <w:r w:rsidR="00887148">
              <w:rPr>
                <w:i/>
                <w:color w:val="000000"/>
                <w:sz w:val="18"/>
                <w:szCs w:val="18"/>
              </w:rPr>
              <w:t xml:space="preserve">Dozorové části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za </w:t>
            </w:r>
            <w:r>
              <w:rPr>
                <w:i/>
                <w:color w:val="000000"/>
                <w:sz w:val="18"/>
                <w:szCs w:val="18"/>
              </w:rPr>
              <w:t>5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let provozu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je tedy: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+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+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+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 xml:space="preserve"> +</w:t>
            </w:r>
            <w:r w:rsidR="00246E6A">
              <w:rPr>
                <w:i/>
                <w:color w:val="000000"/>
                <w:sz w:val="18"/>
                <w:szCs w:val="18"/>
              </w:rPr>
              <w:t xml:space="preserve"> 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= </w:t>
            </w:r>
            <w:r w:rsidR="002F4C6D">
              <w:rPr>
                <w:i/>
                <w:color w:val="000000"/>
                <w:sz w:val="18"/>
                <w:szCs w:val="18"/>
              </w:rPr>
              <w:t>5</w:t>
            </w:r>
            <w:r w:rsidR="00246E6A">
              <w:rPr>
                <w:i/>
                <w:color w:val="000000"/>
                <w:sz w:val="18"/>
                <w:szCs w:val="18"/>
              </w:rPr>
              <w:t>TB</w:t>
            </w:r>
            <w:r w:rsidR="00887148">
              <w:rPr>
                <w:i/>
                <w:color w:val="000000"/>
                <w:sz w:val="18"/>
                <w:szCs w:val="18"/>
              </w:rPr>
              <w:t>, z toho:</w:t>
            </w:r>
          </w:p>
          <w:p w14:paraId="4310BE46" w14:textId="00A47F72" w:rsidR="00DD1FB7" w:rsidRDefault="00887148" w:rsidP="00887148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D107E8">
              <w:rPr>
                <w:i/>
                <w:color w:val="000000"/>
                <w:sz w:val="18"/>
                <w:szCs w:val="18"/>
              </w:rPr>
              <w:t>DB hráčů: 0,25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= 0,6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107E8">
              <w:rPr>
                <w:i/>
                <w:color w:val="000000"/>
                <w:sz w:val="18"/>
                <w:szCs w:val="18"/>
              </w:rPr>
              <w:t xml:space="preserve"> TB</w:t>
            </w:r>
          </w:p>
          <w:p w14:paraId="2D9B92B9" w14:textId="57142F39" w:rsidR="00887148" w:rsidRPr="00D107E8" w:rsidRDefault="00887148" w:rsidP="00D63711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DB vyloučení: 0,75 + 0.89 + 0,89 + 0,89 + 0,89 = 4,31 TB</w:t>
            </w:r>
          </w:p>
        </w:tc>
      </w:tr>
      <w:tr w:rsidR="00E27C58" w:rsidRPr="004F4CFC" w14:paraId="3217C335" w14:textId="77777777" w:rsidTr="00377017">
        <w:trPr>
          <w:trHeight w:val="48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65CC93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RT13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0A0AF2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Dostupnost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Availability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F6C596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V jakých lokalitách musí být systém dostupný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AAE0C3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EU/EHP</w:t>
            </w:r>
          </w:p>
        </w:tc>
      </w:tr>
      <w:tr w:rsidR="00E27C58" w:rsidRPr="004F4CFC" w14:paraId="2766B97B" w14:textId="77777777" w:rsidTr="00377017">
        <w:trPr>
          <w:trHeight w:val="302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54A897F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RT16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62DB35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0EADB27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 - postup při výpadku nebo chybě části systému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8A4DAB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systém musí být vysoce dostupný </w:t>
            </w:r>
          </w:p>
        </w:tc>
      </w:tr>
      <w:tr w:rsidR="00E27C58" w:rsidRPr="004F4CFC" w14:paraId="1CD2E637" w14:textId="77777777" w:rsidTr="00377017">
        <w:trPr>
          <w:trHeight w:val="48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AE65CD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RT17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28507B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486B0C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chybných dat - postup při detekci chyb v datech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5E37C6C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eliminace vhodným návrhem systému a nastavením integritních omezení, po zachycení chybných dat následuje provedení analytického rozboru na straně dodavatele</w:t>
            </w:r>
          </w:p>
        </w:tc>
      </w:tr>
      <w:tr w:rsidR="00E27C58" w:rsidRPr="004F4CFC" w14:paraId="481AFB4A" w14:textId="77777777" w:rsidTr="00377017">
        <w:trPr>
          <w:trHeight w:val="48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1D69E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198E6F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1E250E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Integrita dat - způsob zajištění integrity dat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24765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zajištěna bude kontrolou </w:t>
            </w:r>
          </w:p>
        </w:tc>
      </w:tr>
      <w:tr w:rsidR="00E27C58" w:rsidRPr="004F4CFC" w14:paraId="642CB0AF" w14:textId="77777777" w:rsidTr="00377017">
        <w:trPr>
          <w:trHeight w:val="51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E272E5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RT19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02954A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CA1B2C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RTO - jak rychle musí být data obnovena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25579C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1,5 h</w:t>
            </w:r>
          </w:p>
        </w:tc>
      </w:tr>
      <w:tr w:rsidR="00E27C58" w:rsidRPr="004F4CFC" w14:paraId="3B2E6AB7" w14:textId="77777777" w:rsidTr="00377017">
        <w:trPr>
          <w:trHeight w:val="51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183260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lastRenderedPageBreak/>
              <w:t>RT20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3F56CF6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060969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RPO - maximální povolená doba ztráty dat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47DDA5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0,5 h</w:t>
            </w:r>
          </w:p>
        </w:tc>
      </w:tr>
      <w:tr w:rsidR="00E27C58" w:rsidRPr="004F4CFC" w14:paraId="32A35821" w14:textId="77777777" w:rsidTr="00377017">
        <w:trPr>
          <w:trHeight w:val="770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EC0C34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410742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645C61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 architekturními standardy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DCCBE0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SOA (Service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Oriented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</w:tr>
      <w:tr w:rsidR="00E27C58" w:rsidRPr="004F4CFC" w14:paraId="25716EB7" w14:textId="77777777" w:rsidTr="00377017">
        <w:trPr>
          <w:trHeight w:val="146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3F78C36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RT30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6EC2E7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DBF56F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se standardy kódování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078CD8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 UNICODE</w:t>
            </w:r>
          </w:p>
        </w:tc>
      </w:tr>
      <w:tr w:rsidR="00E27C58" w:rsidRPr="004F4CFC" w14:paraId="171D8E3B" w14:textId="77777777" w:rsidTr="00377017">
        <w:trPr>
          <w:trHeight w:val="395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BB11E9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RT33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4EEBAC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Archivace a skartace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5813CA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 jaké době dojde k přesunu do archivu nebo mazání dat ze systému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A0118B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Data o hráčích budou udržována po dobu 5 let ode dne, kdy byl hráč z databáze vymazán, resp. pominul důvod k udržování těchto údajů v databázi. Data týkající se sebeomezujících opatření, platebních údajů a ostatní navázaná na jednotlivé provozovatele budou udržována po dobu 5 let ode dne jejich jednotlivé změny. </w:t>
            </w:r>
            <w:r w:rsidRPr="004F4CFC">
              <w:rPr>
                <w:color w:val="000000"/>
                <w:sz w:val="18"/>
                <w:szCs w:val="18"/>
              </w:rPr>
              <w:br/>
              <w:t xml:space="preserve">Po uplynutí výše uvedených lhůt budou data vymazána bez požadavku archivace. </w:t>
            </w:r>
          </w:p>
        </w:tc>
      </w:tr>
      <w:tr w:rsidR="00E27C58" w:rsidRPr="004F4CFC" w14:paraId="69AA7A40" w14:textId="77777777" w:rsidTr="00377017">
        <w:trPr>
          <w:trHeight w:val="146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3E6230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ED9D8B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Konfigurace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65AFDC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Míra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konfigurovatelnosti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systému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BC5ADD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parametry nesmí být napevno v kódu, ale musí být administrátorsky spravované s možností přenastavit parametry</w:t>
            </w:r>
          </w:p>
        </w:tc>
      </w:tr>
    </w:tbl>
    <w:p w14:paraId="235E7332" w14:textId="77777777" w:rsidR="00E27C58" w:rsidRPr="004F4CFC" w:rsidRDefault="00E27C58" w:rsidP="00E27C58">
      <w:pPr>
        <w:pStyle w:val="Nadpis2"/>
      </w:pPr>
      <w:bookmarkStart w:id="159" w:name="_Toc466034065"/>
      <w:bookmarkStart w:id="160" w:name="_Toc510301017"/>
      <w:r w:rsidRPr="004F4CFC">
        <w:t>Správní část</w:t>
      </w:r>
      <w:bookmarkEnd w:id="159"/>
      <w:bookmarkEnd w:id="160"/>
    </w:p>
    <w:tbl>
      <w:tblPr>
        <w:tblW w:w="5000" w:type="pct"/>
        <w:tblBorders>
          <w:top w:val="single" w:sz="4" w:space="0" w:color="DC6900"/>
          <w:left w:val="single" w:sz="4" w:space="0" w:color="DC6900"/>
          <w:bottom w:val="single" w:sz="4" w:space="0" w:color="DC6900"/>
          <w:right w:val="single" w:sz="4" w:space="0" w:color="DC6900"/>
          <w:insideH w:val="single" w:sz="4" w:space="0" w:color="DC6900"/>
          <w:insideV w:val="single" w:sz="4" w:space="0" w:color="DC69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419"/>
        <w:gridCol w:w="3685"/>
        <w:gridCol w:w="4122"/>
      </w:tblGrid>
      <w:tr w:rsidR="00E27C58" w:rsidRPr="004F4CFC" w14:paraId="3E3053AF" w14:textId="77777777" w:rsidTr="00377017">
        <w:trPr>
          <w:trHeight w:val="451"/>
          <w:tblHeader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43008180" w14:textId="0BEABA05" w:rsidR="00E27C58" w:rsidRPr="004F4CFC" w:rsidRDefault="00E27C58" w:rsidP="006E28C6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ID 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0574F32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Kategorie požadavků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729FF47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Požadavek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7D72F51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Hodnota/popis</w:t>
            </w:r>
          </w:p>
        </w:tc>
      </w:tr>
      <w:tr w:rsidR="00E27C58" w:rsidRPr="004F4CFC" w14:paraId="141BAD38" w14:textId="77777777" w:rsidTr="00377017">
        <w:trPr>
          <w:trHeight w:val="1022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F07379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RT6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32EB8B1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1143F44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Response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- načítání aplikace, načítání obrazovky, čas obnovy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refresh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), atd. Doba od přijetí dotazu na úrovni vnitřní sítě po dobu, kdy odpověď systému opouští vnitřní síť (doba zpracování v AISG, tj. doba odpovědi externích systémů se nezapočítává).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FC6B165" w14:textId="77777777" w:rsidR="00E27C58" w:rsidRPr="004F4CFC" w:rsidRDefault="00E27C58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F4CFC">
              <w:rPr>
                <w:color w:val="000000"/>
                <w:sz w:val="18"/>
                <w:szCs w:val="18"/>
              </w:rPr>
              <w:t>max. 4 s</w:t>
            </w:r>
          </w:p>
          <w:p w14:paraId="76FE47F6" w14:textId="378BDD41" w:rsidR="005A45D1" w:rsidRPr="004F4CFC" w:rsidRDefault="005A45D1" w:rsidP="00516992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Povinnost dodržení hodnoty odezvy do </w:t>
            </w:r>
            <w:r w:rsidR="00516992" w:rsidRPr="004F4CFC">
              <w:rPr>
                <w:color w:val="000000"/>
                <w:sz w:val="18"/>
                <w:szCs w:val="18"/>
              </w:rPr>
              <w:t>4</w:t>
            </w:r>
            <w:r w:rsidRPr="004F4CFC">
              <w:rPr>
                <w:color w:val="000000"/>
                <w:sz w:val="18"/>
                <w:szCs w:val="18"/>
              </w:rPr>
              <w:t xml:space="preserve">s pro 90% požadavků a zároveň nepřekročení průměrné hodnoty odezvy do </w:t>
            </w:r>
            <w:r w:rsidR="00516992" w:rsidRPr="004F4CFC">
              <w:rPr>
                <w:color w:val="000000"/>
                <w:sz w:val="18"/>
                <w:szCs w:val="18"/>
              </w:rPr>
              <w:t>4</w:t>
            </w:r>
            <w:r w:rsidRPr="004F4CFC">
              <w:rPr>
                <w:color w:val="000000"/>
                <w:sz w:val="18"/>
                <w:szCs w:val="18"/>
              </w:rPr>
              <w:t xml:space="preserve">s pro 100% </w:t>
            </w:r>
            <w:proofErr w:type="gramStart"/>
            <w:r w:rsidRPr="004F4CFC">
              <w:rPr>
                <w:color w:val="000000"/>
                <w:sz w:val="18"/>
                <w:szCs w:val="18"/>
              </w:rPr>
              <w:t>požadavků</w:t>
            </w:r>
            <w:proofErr w:type="gramEnd"/>
            <w:r w:rsidRPr="004F4CFC">
              <w:rPr>
                <w:color w:val="000000"/>
                <w:sz w:val="18"/>
                <w:szCs w:val="18"/>
              </w:rPr>
              <w:t>.</w:t>
            </w:r>
          </w:p>
        </w:tc>
      </w:tr>
      <w:tr w:rsidR="00E27C58" w:rsidRPr="004F4CFC" w14:paraId="7F6347BC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04D0F2C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EFE369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9816CE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Počet současně přihlášených uživatelů, kteří ale nejsou všichni současně aktivní (tj. např. čtou obrazovku).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5DB917F8" w14:textId="77777777" w:rsidR="00E27C58" w:rsidRPr="004F4CFC" w:rsidRDefault="00E27C58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F4CFC">
              <w:rPr>
                <w:color w:val="000000"/>
                <w:sz w:val="18"/>
                <w:szCs w:val="18"/>
              </w:rPr>
              <w:t>500</w:t>
            </w:r>
          </w:p>
          <w:p w14:paraId="553C24F9" w14:textId="74BD506F" w:rsidR="007D4FE6" w:rsidRPr="004F4CFC" w:rsidRDefault="007D4FE6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27C58" w:rsidRPr="004F4CFC" w14:paraId="73F95F93" w14:textId="77777777" w:rsidTr="00377017">
        <w:trPr>
          <w:trHeight w:val="540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1EC3EAF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RT9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D1AB0C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63FC4CA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Propustnost - počet přihlášení a odhlášení uživatelů za 1 hodinu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114BF3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E27C58" w:rsidRPr="004F4CFC" w14:paraId="702C1AFB" w14:textId="77777777" w:rsidTr="00377017">
        <w:trPr>
          <w:trHeight w:val="767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40D4712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RT10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3104DA0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222D0C9F" w14:textId="72E4846D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Úložiště </w:t>
            </w:r>
            <w:r w:rsidR="00845350">
              <w:rPr>
                <w:color w:val="000000"/>
                <w:sz w:val="18"/>
                <w:szCs w:val="18"/>
              </w:rPr>
              <w:t>–</w:t>
            </w:r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r w:rsidR="00845350">
              <w:rPr>
                <w:color w:val="000000"/>
                <w:sz w:val="18"/>
                <w:szCs w:val="18"/>
              </w:rPr>
              <w:t xml:space="preserve">maximální </w:t>
            </w:r>
            <w:r w:rsidRPr="004F4CFC">
              <w:rPr>
                <w:color w:val="000000"/>
                <w:sz w:val="18"/>
                <w:szCs w:val="18"/>
              </w:rPr>
              <w:t xml:space="preserve">čistá datová kapacita úložného prostoru bez záloh, redundancí dat 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overheadu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uložení na úložištích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549ED94" w14:textId="4A557E37" w:rsidR="00E27C58" w:rsidRPr="004F4CFC" w:rsidRDefault="002F4C6D" w:rsidP="00401AE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</w:rPr>
              <w:t>První 1 rok</w:t>
            </w:r>
            <w:r w:rsidR="00401AEF">
              <w:rPr>
                <w:color w:val="000000"/>
                <w:sz w:val="18"/>
                <w:szCs w:val="18"/>
              </w:rPr>
              <w:t xml:space="preserve"> a 5 měsíců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="00845350">
              <w:rPr>
                <w:color w:val="000000"/>
                <w:sz w:val="18"/>
                <w:szCs w:val="18"/>
              </w:rPr>
              <w:t xml:space="preserve">migrace dat z IS SDSL + </w:t>
            </w:r>
            <w:r>
              <w:rPr>
                <w:color w:val="000000"/>
                <w:sz w:val="18"/>
                <w:szCs w:val="18"/>
              </w:rPr>
              <w:t>Etapa 2 + první rok provozu)</w:t>
            </w:r>
            <w:r w:rsidR="007118A6">
              <w:rPr>
                <w:color w:val="000000"/>
                <w:sz w:val="18"/>
                <w:szCs w:val="18"/>
              </w:rPr>
              <w:t xml:space="preserve">: </w:t>
            </w:r>
            <w:r w:rsidR="00E27C58" w:rsidRPr="004F4CFC">
              <w:rPr>
                <w:color w:val="000000"/>
                <w:sz w:val="18"/>
                <w:szCs w:val="18"/>
              </w:rPr>
              <w:t>500 GB</w:t>
            </w:r>
            <w:r w:rsidR="007118A6">
              <w:rPr>
                <w:color w:val="000000"/>
                <w:sz w:val="18"/>
                <w:szCs w:val="18"/>
              </w:rPr>
              <w:t>, rozdělení mezi DB správní a DMS je předpokládáno v poměru 1:2</w:t>
            </w:r>
          </w:p>
        </w:tc>
      </w:tr>
      <w:tr w:rsidR="00E27C58" w:rsidRPr="004F4CFC" w14:paraId="6FD8AEB8" w14:textId="77777777" w:rsidTr="00377017">
        <w:trPr>
          <w:trHeight w:val="29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71415A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RT11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8908FD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CEB574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Požadavky na meziroční nárůsty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2AB7D494" w14:textId="6CCCA2CA" w:rsidR="00E27C58" w:rsidRDefault="002F4C6D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Každý další rok 150 GB</w:t>
            </w:r>
            <w:r w:rsidR="007118A6">
              <w:rPr>
                <w:color w:val="000000"/>
                <w:sz w:val="18"/>
                <w:szCs w:val="18"/>
              </w:rPr>
              <w:t>, rozdělení mezi DB správní a DMS je předpokládáno v poměru 1:2</w:t>
            </w:r>
          </w:p>
          <w:p w14:paraId="25FE232B" w14:textId="139BADFA" w:rsidR="00661A73" w:rsidRDefault="00661A73" w:rsidP="00377017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4F4CFC">
              <w:rPr>
                <w:i/>
                <w:color w:val="000000"/>
                <w:sz w:val="18"/>
                <w:szCs w:val="18"/>
              </w:rPr>
              <w:t>Pozn</w:t>
            </w:r>
            <w:r w:rsidR="006F0BA7">
              <w:rPr>
                <w:i/>
                <w:color w:val="000000"/>
                <w:sz w:val="18"/>
                <w:szCs w:val="18"/>
              </w:rPr>
              <w:t>.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: výpočet celkové čisté datové kapacity úložiště </w:t>
            </w:r>
            <w:r w:rsidR="007118A6">
              <w:rPr>
                <w:i/>
                <w:color w:val="000000"/>
                <w:sz w:val="18"/>
                <w:szCs w:val="18"/>
              </w:rPr>
              <w:t xml:space="preserve">Správní části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za </w:t>
            </w:r>
            <w:r w:rsidR="002F4C6D">
              <w:rPr>
                <w:i/>
                <w:color w:val="000000"/>
                <w:sz w:val="18"/>
                <w:szCs w:val="18"/>
              </w:rPr>
              <w:t>5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let </w:t>
            </w:r>
            <w:r w:rsidR="00401AEF">
              <w:rPr>
                <w:i/>
                <w:color w:val="000000"/>
                <w:sz w:val="18"/>
                <w:szCs w:val="18"/>
              </w:rPr>
              <w:t xml:space="preserve">a 5 měsíců </w:t>
            </w:r>
            <w:r>
              <w:rPr>
                <w:i/>
                <w:color w:val="000000"/>
                <w:sz w:val="18"/>
                <w:szCs w:val="18"/>
              </w:rPr>
              <w:t xml:space="preserve">provozu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je tedy: </w:t>
            </w:r>
            <w:r>
              <w:rPr>
                <w:i/>
                <w:color w:val="000000"/>
                <w:sz w:val="18"/>
                <w:szCs w:val="18"/>
              </w:rPr>
              <w:t>500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+ </w:t>
            </w:r>
            <w:r w:rsidR="002F4C6D">
              <w:rPr>
                <w:i/>
                <w:color w:val="000000"/>
                <w:sz w:val="18"/>
                <w:szCs w:val="18"/>
              </w:rPr>
              <w:t xml:space="preserve">150 + 150 + 150 +150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= </w:t>
            </w:r>
            <w:r w:rsidR="002F4C6D">
              <w:rPr>
                <w:i/>
                <w:color w:val="000000"/>
                <w:sz w:val="18"/>
                <w:szCs w:val="18"/>
              </w:rPr>
              <w:t>1100</w:t>
            </w:r>
            <w:r w:rsidR="007E08CA">
              <w:rPr>
                <w:i/>
                <w:color w:val="000000"/>
                <w:sz w:val="18"/>
                <w:szCs w:val="18"/>
              </w:rPr>
              <w:t xml:space="preserve"> GB</w:t>
            </w:r>
            <w:r w:rsidR="007118A6">
              <w:rPr>
                <w:i/>
                <w:color w:val="000000"/>
                <w:sz w:val="18"/>
                <w:szCs w:val="18"/>
              </w:rPr>
              <w:t>, z toho:</w:t>
            </w:r>
          </w:p>
          <w:p w14:paraId="26B2A874" w14:textId="77777777" w:rsidR="007118A6" w:rsidRDefault="007118A6" w:rsidP="00377017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DB správní: 167 + 50 + 50 + 50 + 50</w:t>
            </w:r>
            <w:r w:rsidR="006F0BA7">
              <w:rPr>
                <w:i/>
                <w:color w:val="000000"/>
                <w:sz w:val="18"/>
                <w:szCs w:val="18"/>
              </w:rPr>
              <w:t xml:space="preserve"> = 367 GB</w:t>
            </w:r>
          </w:p>
          <w:p w14:paraId="5B809B75" w14:textId="5F5FC8CC" w:rsidR="006F0BA7" w:rsidRPr="004F4CFC" w:rsidRDefault="006F0BA7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DMS: 333 + 100 + 100 + 100 + 100 = 733 GB</w:t>
            </w:r>
          </w:p>
        </w:tc>
      </w:tr>
      <w:tr w:rsidR="00E27C58" w:rsidRPr="004F4CFC" w14:paraId="0A55EDF4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6B3B32A" w14:textId="2EF53452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lastRenderedPageBreak/>
              <w:t>RT13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6ED48D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Dostupnost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Availability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8115B1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V jakých lokalitách musí být systém dostupný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CE0778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EU/EHP</w:t>
            </w:r>
          </w:p>
        </w:tc>
      </w:tr>
      <w:tr w:rsidR="00E27C58" w:rsidRPr="004F4CFC" w14:paraId="5D724A83" w14:textId="77777777" w:rsidTr="00377017">
        <w:trPr>
          <w:trHeight w:val="570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D966BC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RT16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EB2803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0EDE20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 - postup při výpadku nebo chybě části systému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103E4E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není alternativa k systému a neexistuje náhradní postup</w:t>
            </w:r>
          </w:p>
        </w:tc>
      </w:tr>
      <w:tr w:rsidR="00E27C58" w:rsidRPr="004F4CFC" w14:paraId="60E62981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04A16B7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RT17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3FA39E7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030277C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chybných dat - postup při detekci chyb v datech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0BA94A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validace na GUI/formuláři</w:t>
            </w:r>
          </w:p>
        </w:tc>
      </w:tr>
      <w:tr w:rsidR="00E27C58" w:rsidRPr="004F4CFC" w14:paraId="6753509C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8D3325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93F5D2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EE6168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Integrita dat - způsob zajištění integrity dat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0BFC40E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zajištěna bude kontrolou</w:t>
            </w:r>
          </w:p>
        </w:tc>
      </w:tr>
      <w:tr w:rsidR="00E27C58" w:rsidRPr="004F4CFC" w14:paraId="5E162D0A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248575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RT19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C4ADF2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F5F800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RTO - jak rychle musí být data obnovena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DBFB1D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24 h</w:t>
            </w:r>
          </w:p>
        </w:tc>
      </w:tr>
      <w:tr w:rsidR="00E27C58" w:rsidRPr="004F4CFC" w14:paraId="063D835C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3CAD1B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RT20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6DC47B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BB77F4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RPO - maximální povolená doba ztráty dat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99AE48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24 h od poslední zálohy</w:t>
            </w:r>
          </w:p>
        </w:tc>
      </w:tr>
      <w:tr w:rsidR="00E27C58" w:rsidRPr="004F4CFC" w14:paraId="13C7EFF6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0E5070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D4AC67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8ACD54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 architekturními standardy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97E77D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SOA (Service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Oriented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</w:tr>
      <w:tr w:rsidR="00E27C58" w:rsidRPr="004F4CFC" w14:paraId="0D0E924E" w14:textId="77777777" w:rsidTr="00377017">
        <w:trPr>
          <w:trHeight w:val="384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84D721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RT30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E1E4E9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BB900B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se standardy kódování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035C755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UNICODE</w:t>
            </w:r>
          </w:p>
        </w:tc>
      </w:tr>
      <w:tr w:rsidR="00E27C58" w:rsidRPr="004F4CFC" w14:paraId="54D8E793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30F6BF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RT31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1ACB97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Usability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A53FDE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Standardy uživatelského rozhraní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341229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vyhláška č. 64/2008 Sb.</w:t>
            </w:r>
          </w:p>
        </w:tc>
      </w:tr>
      <w:tr w:rsidR="00E27C58" w:rsidRPr="004F4CFC" w14:paraId="2DF17238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038E1C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RT32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139331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Usability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A69662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Lokalizace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881930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ČJ a části vystavené mimo MF určené pro provozovatele v ČJ a AJ</w:t>
            </w:r>
          </w:p>
        </w:tc>
      </w:tr>
      <w:tr w:rsidR="00E27C58" w:rsidRPr="004F4CFC" w14:paraId="19B5FB44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2B7948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RT33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7CAC6A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Archivace a skartace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3932ED6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 jaké době dojde k přesunu do archivu nebo mazání dat ze systému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1CB277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Data budou udržována po dobu 3 let ode dne účinnosti rozhodnutí nebo skončení platnosti povolení. Po uplynutí výše uvedených lhůt budou data archivována / uložena do interního archivu AISG. </w:t>
            </w:r>
          </w:p>
        </w:tc>
      </w:tr>
      <w:tr w:rsidR="00E27C58" w:rsidRPr="004F4CFC" w14:paraId="33DC59BE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5751D1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8E90C5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Konfigurace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F8A2BB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Míra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konfigurovatelnosti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systému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2BBA60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parametry nesmí být napevno v kódu, ale musí být administrátorsky spravované s možností přenastavit parametry</w:t>
            </w:r>
          </w:p>
        </w:tc>
      </w:tr>
    </w:tbl>
    <w:p w14:paraId="276B9EA6" w14:textId="77777777" w:rsidR="00E27C58" w:rsidRPr="004F4CFC" w:rsidRDefault="00E27C58" w:rsidP="00E27C58">
      <w:pPr>
        <w:pStyle w:val="Nadpis2"/>
      </w:pPr>
      <w:bookmarkStart w:id="161" w:name="_Toc510301018"/>
      <w:r w:rsidRPr="004F4CFC">
        <w:t>Řešení bezpečnosti</w:t>
      </w:r>
      <w:bookmarkEnd w:id="161"/>
    </w:p>
    <w:p w14:paraId="66B20ADD" w14:textId="018E0284" w:rsidR="00E27C58" w:rsidRPr="004F4CFC" w:rsidRDefault="00E27C58" w:rsidP="00E27C58">
      <w:pPr>
        <w:jc w:val="both"/>
      </w:pPr>
      <w:r w:rsidRPr="004F4CFC">
        <w:t xml:space="preserve">Řešení bezpečnosti (bezpečnostní návrh a dokumentace - analýza </w:t>
      </w:r>
      <w:r w:rsidR="008434D1">
        <w:t xml:space="preserve">a identifikace aktiv a </w:t>
      </w:r>
      <w:r w:rsidRPr="004F4CFC">
        <w:t xml:space="preserve">rizik, bezpečnostní politika, bezpečnostní dokumentace provozu) AISG jako celku je odpovědností Dodavatele. Objednatel </w:t>
      </w:r>
      <w:r w:rsidR="00AF092B">
        <w:t>poskytne Dodavateli</w:t>
      </w:r>
      <w:r w:rsidR="00AF092B" w:rsidRPr="004F4CFC">
        <w:t xml:space="preserve"> </w:t>
      </w:r>
      <w:r w:rsidR="008434D1">
        <w:t xml:space="preserve">platnou dokumentaci bezpečnostní politiky a relevantní směrnice </w:t>
      </w:r>
      <w:r w:rsidR="00AF092B">
        <w:t>MF,</w:t>
      </w:r>
      <w:r w:rsidR="008434D1">
        <w:t xml:space="preserve"> dále </w:t>
      </w:r>
      <w:r w:rsidRPr="004F4CFC">
        <w:t xml:space="preserve">prostřednictvím SPCSS vstupy a informace o standardech provozu, bude spolupracovat na řešení bezpečnosti na úrovni infrastruktury a bude ve spolupráci s Dodavatelem implementovat a provozovat bezpečnostní monitoring. </w:t>
      </w:r>
    </w:p>
    <w:p w14:paraId="5757A1D7" w14:textId="474D22E3" w:rsidR="00E27C58" w:rsidRPr="004F4CFC" w:rsidRDefault="00E27C58" w:rsidP="00E27C58">
      <w:pPr>
        <w:jc w:val="both"/>
      </w:pPr>
      <w:r w:rsidRPr="004F4CFC">
        <w:t xml:space="preserve">Bezpečnostní požadavky na AISG jako celek odpovídají požadavkům na Významný informační systém (VIS) ve smyslu </w:t>
      </w:r>
      <w:proofErr w:type="spellStart"/>
      <w:r w:rsidRPr="004F4CFC">
        <w:t>ust</w:t>
      </w:r>
      <w:proofErr w:type="spellEnd"/>
      <w:r w:rsidRPr="004F4CFC">
        <w:t>. §2 písm. d) dle zákona č. 181/2014 Sb., o kybernetické bezpečnosti a o změně souvisejících zákonů</w:t>
      </w:r>
      <w:r w:rsidR="00554B78" w:rsidRPr="004F4CFC">
        <w:t xml:space="preserve"> ve znění pozdějších předpisů </w:t>
      </w:r>
      <w:r w:rsidRPr="004F4CFC">
        <w:t>(dále jen Zákon o kybernetické bezpečnosti, ZKB) a souvisejících vyhlášek č. 316/2014 Sb. a č. 317/2014 Sb.</w:t>
      </w:r>
    </w:p>
    <w:p w14:paraId="2C92A9D5" w14:textId="01D66723" w:rsidR="00E27C58" w:rsidRPr="004F4CFC" w:rsidRDefault="006C3B20" w:rsidP="00B912BE">
      <w:pPr>
        <w:jc w:val="both"/>
      </w:pPr>
      <w:r w:rsidRPr="004F4CFC">
        <w:t xml:space="preserve">Stupeň úrovně </w:t>
      </w:r>
      <w:r w:rsidR="00E27C58" w:rsidRPr="004F4CFC">
        <w:t>ochrany dat dle stupnice pro hodnocení důležitosti aktiv vyhlášky č. 316/2014 Sb.</w:t>
      </w:r>
      <w:r w:rsidRPr="004F4CFC">
        <w:t xml:space="preserve"> bude stanoven na základě sch</w:t>
      </w:r>
      <w:r w:rsidR="00105A82" w:rsidRPr="004F4CFC">
        <w:t>váleného bezpečnostního návrhu.</w:t>
      </w:r>
    </w:p>
    <w:p w14:paraId="118A0FFF" w14:textId="3487E53F" w:rsidR="00E27C58" w:rsidRPr="004F4CFC" w:rsidRDefault="00E27C58" w:rsidP="00E27C58">
      <w:pPr>
        <w:jc w:val="both"/>
      </w:pPr>
      <w:r w:rsidRPr="004F4CFC">
        <w:lastRenderedPageBreak/>
        <w:t>Systém řízení bezpečnosti AISG musí být navržen a implementován v souladu s normou ČSN ISO/IEC 27001. Systém řízení provozu a správy AISG musí být navržen a implementován v souladu s normou ČSN ISO/IEC 20000.</w:t>
      </w:r>
    </w:p>
    <w:p w14:paraId="78946547" w14:textId="73078F05" w:rsidR="00E27C58" w:rsidRPr="004F4CFC" w:rsidRDefault="00E27C58" w:rsidP="00E27C58">
      <w:pPr>
        <w:jc w:val="both"/>
      </w:pPr>
      <w:r w:rsidRPr="004F4CFC">
        <w:t>AISG a jeho dokumentace musí vyhovovat požadavkům</w:t>
      </w:r>
      <w:r w:rsidR="00554B78" w:rsidRPr="004F4CFC">
        <w:t xml:space="preserve"> zákona č. 101/2000 </w:t>
      </w:r>
      <w:r w:rsidR="00875B84" w:rsidRPr="004F4CFC">
        <w:t xml:space="preserve">Sb., o ochraně osobních údajů, </w:t>
      </w:r>
      <w:r w:rsidR="00554B78" w:rsidRPr="004F4CFC">
        <w:t>ve znění pozdějších předpisů (dále jen ZOOÚ) a</w:t>
      </w:r>
      <w:r w:rsidRPr="004F4CFC">
        <w:t xml:space="preserve"> </w:t>
      </w:r>
      <w:r w:rsidR="00875B84" w:rsidRPr="004F4CFC">
        <w:t xml:space="preserve">požadavkům obecného nařízení o ochraně osobních údajů 2016/679 (GDPR), které bude účinné od </w:t>
      </w:r>
      <w:proofErr w:type="gramStart"/>
      <w:r w:rsidR="00875B84" w:rsidRPr="004F4CFC">
        <w:t>25.5.2018</w:t>
      </w:r>
      <w:proofErr w:type="gramEnd"/>
      <w:r w:rsidRPr="004F4CFC">
        <w:t>.</w:t>
      </w:r>
    </w:p>
    <w:p w14:paraId="6FFE451C" w14:textId="77777777" w:rsidR="00E27C58" w:rsidRPr="004F4CFC" w:rsidRDefault="00E27C58" w:rsidP="00E27C58">
      <w:pPr>
        <w:jc w:val="both"/>
      </w:pPr>
      <w:r w:rsidRPr="004F4CFC">
        <w:t>AISG musí být odolný proti známým bezpečnostním hrozbám a útokům z vnějších i vnitřních sítí.</w:t>
      </w:r>
    </w:p>
    <w:p w14:paraId="08AE27CE" w14:textId="77777777" w:rsidR="00E27C58" w:rsidRPr="004F4CFC" w:rsidRDefault="00E27C58" w:rsidP="00E27C58">
      <w:pPr>
        <w:pStyle w:val="Nadpis2"/>
      </w:pPr>
      <w:bookmarkStart w:id="162" w:name="_Toc510301019"/>
      <w:r w:rsidRPr="004F4CFC">
        <w:t>Logování, provozní a bezpečnostní monitoring</w:t>
      </w:r>
      <w:bookmarkEnd w:id="162"/>
    </w:p>
    <w:p w14:paraId="1C39BB37" w14:textId="445141FE" w:rsidR="00E27C58" w:rsidRDefault="00E27C58" w:rsidP="00E27C58">
      <w:pPr>
        <w:jc w:val="both"/>
      </w:pPr>
      <w:r w:rsidRPr="004F4CFC">
        <w:t xml:space="preserve">Dodavatel navrhne systém logování </w:t>
      </w:r>
      <w:r w:rsidR="00E4780C" w:rsidRPr="004F4CFC">
        <w:t>A</w:t>
      </w:r>
      <w:r w:rsidRPr="004F4CFC">
        <w:t xml:space="preserve">plikací a SW produktů dle bezpečnostních a provozních požadavků Objednatele a SPCSS. Může být požadováno logování vybraných událostí do databázového logu. Dodavatel přizpůsobí formát a identifikaci log záznamů požadavkům </w:t>
      </w:r>
      <w:r w:rsidR="008434D1">
        <w:t xml:space="preserve">MF a </w:t>
      </w:r>
      <w:r w:rsidRPr="004F4CFC">
        <w:t>SPCSS na následné zpracování logů.</w:t>
      </w:r>
    </w:p>
    <w:p w14:paraId="7CB26B06" w14:textId="3F655E44" w:rsidR="00E03E9E" w:rsidRPr="004F4CFC" w:rsidRDefault="00E03E9E" w:rsidP="00277A92">
      <w:pPr>
        <w:jc w:val="both"/>
      </w:pPr>
      <w:r>
        <w:t xml:space="preserve">Součástí systému logování Aplikací a SW produktů bude podrobné logování chybových stavů jednotlivých rozhraní, včetně </w:t>
      </w:r>
      <w:r w:rsidRPr="00E03E9E">
        <w:t>dočasné</w:t>
      </w:r>
      <w:r>
        <w:t>ho</w:t>
      </w:r>
      <w:r w:rsidRPr="00E03E9E">
        <w:t xml:space="preserve"> (řádově dny) uchovávání přijatých i odesílaných zpráv mezi systémem AISG a </w:t>
      </w:r>
      <w:r>
        <w:t xml:space="preserve">spolupracujícími </w:t>
      </w:r>
      <w:r w:rsidRPr="00E03E9E">
        <w:t>systémy.</w:t>
      </w:r>
    </w:p>
    <w:p w14:paraId="6DCFFB5A" w14:textId="34BF91F5" w:rsidR="00E27C58" w:rsidRDefault="00E27C58" w:rsidP="00E27C58">
      <w:pPr>
        <w:jc w:val="both"/>
      </w:pPr>
      <w:r w:rsidRPr="004F4CFC">
        <w:t xml:space="preserve">Integrace AISG do provozního monitoringu SPCSS je požadována v takovém rozsahu, aby monitoring systém umožnil dohled provozních stavů systému a sledování plnění parametrů SLA. Vlastní implementaci monitoringu provede Objednatel prostřednictvím SPCSS. Dodavatel bude spolupracovat na analýze dohledových metrik a návrhu a implementaci metrik na úrovni </w:t>
      </w:r>
      <w:r w:rsidR="00E4780C" w:rsidRPr="004F4CFC">
        <w:t>A</w:t>
      </w:r>
      <w:r w:rsidRPr="004F4CFC">
        <w:t xml:space="preserve">plikace, SW produktů a </w:t>
      </w:r>
      <w:r w:rsidR="00E4780C" w:rsidRPr="004F4CFC">
        <w:t>D</w:t>
      </w:r>
      <w:r w:rsidRPr="004F4CFC">
        <w:t xml:space="preserve">at a společně s SPCSS zajistí jejich integraci do </w:t>
      </w:r>
      <w:proofErr w:type="gramStart"/>
      <w:r w:rsidRPr="004F4CFC">
        <w:t>monitoring</w:t>
      </w:r>
      <w:proofErr w:type="gramEnd"/>
      <w:r w:rsidRPr="004F4CFC">
        <w:t xml:space="preserve"> nástrojů SPCSS. Součástí implementace monitoringu je naplnění konfigurační databáze (CMDB). Detailní požadavky na monitoring budou definovány v rámci Etapy 1A.</w:t>
      </w:r>
    </w:p>
    <w:p w14:paraId="344F232B" w14:textId="0C219A3C" w:rsidR="00277A92" w:rsidRPr="004F4CFC" w:rsidRDefault="00277A92" w:rsidP="00E27C58">
      <w:pPr>
        <w:jc w:val="both"/>
      </w:pPr>
      <w:r>
        <w:t xml:space="preserve">Součástí provozního monitoringu bude i měření dostupnosti jednotlivých služeb a částí AISG (end-to-end monitoring), na jehož definici a implementaci bude Dodavatel spolupracovat. </w:t>
      </w:r>
    </w:p>
    <w:p w14:paraId="5EEAABBF" w14:textId="3B863000" w:rsidR="00E27C58" w:rsidRPr="004F4CFC" w:rsidRDefault="00E27C58" w:rsidP="00E27C58">
      <w:pPr>
        <w:jc w:val="both"/>
      </w:pPr>
      <w:r w:rsidRPr="004F4CFC">
        <w:t xml:space="preserve">Dále je požadována integrace AISG do systému bezpečnostního monitoringu SPCSS (SIEM, CKB). Vlastní implementaci bezpečnostního monitoringu provede Objednatel prostřednictvím SPCSS. Dodavatel ve spolupráci se SPCSS provede analýzu hrozeb. Dodavatel navrhne a implementuje metriky bezpečnostního monitoringu na úrovni </w:t>
      </w:r>
      <w:r w:rsidR="00E4780C" w:rsidRPr="004F4CFC">
        <w:t>A</w:t>
      </w:r>
      <w:r w:rsidRPr="004F4CFC">
        <w:t xml:space="preserve">plikace, SW produktů a </w:t>
      </w:r>
      <w:r w:rsidR="00E4780C" w:rsidRPr="004F4CFC">
        <w:t>D</w:t>
      </w:r>
      <w:r w:rsidRPr="004F4CFC">
        <w:t xml:space="preserve">at a společně s SPCSS zajistí jejich integraci do </w:t>
      </w:r>
      <w:proofErr w:type="gramStart"/>
      <w:r w:rsidRPr="004F4CFC">
        <w:t>monitoring</w:t>
      </w:r>
      <w:proofErr w:type="gramEnd"/>
      <w:r w:rsidRPr="004F4CFC">
        <w:t xml:space="preserve"> nástrojů SPCSS. Integrace bezpečnostního monitoringu na úrovni </w:t>
      </w:r>
      <w:r w:rsidR="00E4780C" w:rsidRPr="004F4CFC">
        <w:t>A</w:t>
      </w:r>
      <w:r w:rsidRPr="004F4CFC">
        <w:t xml:space="preserve">plikace, SW produktů a </w:t>
      </w:r>
      <w:r w:rsidR="00E4780C" w:rsidRPr="004F4CFC">
        <w:t>D</w:t>
      </w:r>
      <w:r w:rsidRPr="004F4CFC">
        <w:t>at bude provedena formou logování.</w:t>
      </w:r>
    </w:p>
    <w:p w14:paraId="6BCBA88F" w14:textId="77777777" w:rsidR="00E27C58" w:rsidRPr="004F4CFC" w:rsidRDefault="00E27C58" w:rsidP="00E27C58">
      <w:pPr>
        <w:jc w:val="both"/>
      </w:pPr>
      <w:r w:rsidRPr="004F4CFC">
        <w:t>SPCSS aktuálně připravuje výběr vhodného nástroje pro řízení přístupových oprávnění (PAM), který plnohodnotně uspokojí požadavky zákona 181/2014 Sb. a provozní požadavky SPCSS. Pro účely zpracování nabídky může Dodavatel předpokládat existenci takového nástroje a zajištění jeho licencování jako součást služeb SPCSS.</w:t>
      </w:r>
    </w:p>
    <w:p w14:paraId="39FF8DAD" w14:textId="4CB3BA23" w:rsidR="00800702" w:rsidRPr="004F4CFC" w:rsidRDefault="00800702">
      <w:pPr>
        <w:jc w:val="both"/>
      </w:pPr>
    </w:p>
    <w:sectPr w:rsidR="00800702" w:rsidRPr="004F4CFC" w:rsidSect="00E07317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8AD7" w14:textId="77777777" w:rsidR="008A55F6" w:rsidRDefault="008A55F6">
      <w:pPr>
        <w:spacing w:after="0" w:line="240" w:lineRule="auto"/>
      </w:pPr>
      <w:r>
        <w:separator/>
      </w:r>
    </w:p>
  </w:endnote>
  <w:endnote w:type="continuationSeparator" w:id="0">
    <w:p w14:paraId="252DE213" w14:textId="77777777" w:rsidR="008A55F6" w:rsidRDefault="008A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C4C7" w14:textId="77777777" w:rsidR="008A55F6" w:rsidRDefault="008A55F6">
    <w:pPr>
      <w:pStyle w:val="Zpat"/>
    </w:pPr>
    <w:proofErr w:type="spellStart"/>
    <w:r>
      <w:t>Footer</w:t>
    </w:r>
    <w:proofErr w:type="spellEnd"/>
    <w:r>
      <w:t xml:space="preserve"> text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</w:p>
  <w:p w14:paraId="6602FACE" w14:textId="339E1D35" w:rsidR="008A55F6" w:rsidRDefault="008A55F6">
    <w:pPr>
      <w:pStyle w:val="Zpat"/>
    </w:pPr>
    <w:proofErr w:type="spellStart"/>
    <w:r>
      <w:t>PwC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>
        <w:rPr>
          <w:noProof/>
        </w:rPr>
        <w:t>51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BC284" w14:textId="39A66A29" w:rsidR="008A55F6" w:rsidRPr="002D6D16" w:rsidRDefault="008A55F6" w:rsidP="002D6D16">
    <w:pPr>
      <w:pStyle w:val="Zpat"/>
      <w:tabs>
        <w:tab w:val="center" w:pos="4932"/>
        <w:tab w:val="right" w:pos="9864"/>
      </w:tabs>
    </w:pP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A6D5" w14:textId="68F13A7B" w:rsidR="008A55F6" w:rsidRDefault="008A55F6">
    <w:pPr>
      <w:pStyle w:val="Zpat"/>
      <w:tabs>
        <w:tab w:val="left" w:pos="175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239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356573B0" w14:textId="3D6D52DD" w:rsidR="008A55F6" w:rsidRPr="00DF4FF8" w:rsidRDefault="008A55F6" w:rsidP="00DF4FF8">
        <w:pPr>
          <w:pStyle w:val="Zpat"/>
          <w:jc w:val="right"/>
          <w:rPr>
            <w:rFonts w:ascii="Georgia" w:hAnsi="Georgia"/>
          </w:rPr>
        </w:pPr>
        <w:r w:rsidRPr="00DF4FF8">
          <w:rPr>
            <w:rFonts w:ascii="Georgia" w:hAnsi="Georgia"/>
          </w:rPr>
          <w:fldChar w:fldCharType="begin"/>
        </w:r>
        <w:r w:rsidRPr="00DF4FF8">
          <w:rPr>
            <w:rFonts w:ascii="Georgia" w:hAnsi="Georgia"/>
          </w:rPr>
          <w:instrText>PAGE   \* MERGEFORMAT</w:instrText>
        </w:r>
        <w:r w:rsidRPr="00DF4FF8">
          <w:rPr>
            <w:rFonts w:ascii="Georgia" w:hAnsi="Georgia"/>
          </w:rPr>
          <w:fldChar w:fldCharType="separate"/>
        </w:r>
        <w:r w:rsidR="00353D60">
          <w:rPr>
            <w:rFonts w:ascii="Georgia" w:hAnsi="Georgia"/>
            <w:noProof/>
          </w:rPr>
          <w:t>8</w:t>
        </w:r>
        <w:r w:rsidRPr="00DF4FF8">
          <w:rPr>
            <w:rFonts w:ascii="Georgia" w:hAnsi="Georgia"/>
          </w:rPr>
          <w:fldChar w:fldCharType="end"/>
        </w:r>
      </w:p>
    </w:sdtContent>
  </w:sdt>
  <w:p w14:paraId="732992D1" w14:textId="6995DDA8" w:rsidR="008A55F6" w:rsidRPr="00FC6596" w:rsidRDefault="008A55F6" w:rsidP="00DF4FF8">
    <w:pPr>
      <w:pStyle w:val="Zpat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C50F" w14:textId="77777777" w:rsidR="008A55F6" w:rsidRDefault="008A55F6">
    <w:pPr>
      <w:pStyle w:val="Zpat"/>
    </w:pPr>
    <w:proofErr w:type="spellStart"/>
    <w:r>
      <w:t>Local</w:t>
    </w:r>
    <w:proofErr w:type="spellEnd"/>
    <w:r>
      <w:t xml:space="preserve"> </w:t>
    </w:r>
    <w:proofErr w:type="spellStart"/>
    <w:r>
      <w:t>disclaimer</w:t>
    </w:r>
    <w:proofErr w:type="spellEnd"/>
    <w:r>
      <w:t xml:space="preserve"> and copyright </w:t>
    </w:r>
    <w:proofErr w:type="spellStart"/>
    <w:r>
      <w:t>statements</w:t>
    </w:r>
    <w:proofErr w:type="spellEnd"/>
    <w:r>
      <w:t xml:space="preserve"> go </w:t>
    </w:r>
    <w:proofErr w:type="spellStart"/>
    <w:r>
      <w:t>here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BF64" w14:textId="77777777" w:rsidR="008A55F6" w:rsidRDefault="008A55F6">
      <w:pPr>
        <w:spacing w:after="0" w:line="240" w:lineRule="auto"/>
      </w:pPr>
      <w:r>
        <w:separator/>
      </w:r>
    </w:p>
  </w:footnote>
  <w:footnote w:type="continuationSeparator" w:id="0">
    <w:p w14:paraId="7091BB14" w14:textId="77777777" w:rsidR="008A55F6" w:rsidRDefault="008A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248"/>
      <w:tblOverlap w:val="never"/>
      <w:tblW w:w="5000" w:type="pct"/>
      <w:tblBorders>
        <w:top w:val="single" w:sz="6" w:space="0" w:color="DC6900" w:themeColor="text2"/>
        <w:left w:val="single" w:sz="6" w:space="0" w:color="DC690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7568"/>
    </w:tblGrid>
    <w:tr w:rsidR="008A55F6" w14:paraId="4A8C426A" w14:textId="77777777">
      <w:trPr>
        <w:trHeight w:hRule="exact" w:val="227"/>
      </w:trPr>
      <w:tc>
        <w:tcPr>
          <w:tcW w:w="5000" w:type="pct"/>
        </w:tcPr>
        <w:p w14:paraId="547FEBF7" w14:textId="77777777" w:rsidR="008A55F6" w:rsidRDefault="008A55F6">
          <w:pPr>
            <w:rPr>
              <w:sz w:val="14"/>
              <w:szCs w:val="14"/>
            </w:rPr>
          </w:pPr>
        </w:p>
      </w:tc>
    </w:tr>
  </w:tbl>
  <w:p w14:paraId="01DCB4A1" w14:textId="77777777" w:rsidR="008A55F6" w:rsidRDefault="008A55F6">
    <w:pPr>
      <w:pStyle w:val="Zhlav"/>
    </w:pPr>
    <w:proofErr w:type="spellStart"/>
    <w:r>
      <w:t>Header</w:t>
    </w:r>
    <w:proofErr w:type="spellEnd"/>
    <w:r>
      <w:t xml:space="preserve">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BF32" w14:textId="6CFD1884" w:rsidR="008A55F6" w:rsidRDefault="008A55F6" w:rsidP="004B6E3D">
    <w:pPr>
      <w:pStyle w:val="Zhlav"/>
      <w:jc w:val="right"/>
    </w:pPr>
    <w:r>
      <w:t>Příloha č. 1 Smlouvy - Technická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0575" w14:textId="1834D336" w:rsidR="008A55F6" w:rsidRDefault="008A55F6">
    <w:pPr>
      <w:pStyle w:val="Zhlav"/>
      <w:rPr>
        <w:rFonts w:ascii="Georgia" w:hAnsi="Georgia"/>
      </w:rPr>
    </w:pPr>
    <w:r>
      <w:rPr>
        <w:rFonts w:ascii="Georgia" w:hAnsi="Georgia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5B34" w14:textId="77777777" w:rsidR="008A55F6" w:rsidRDefault="008A55F6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BE89" w14:textId="723F7657" w:rsidR="008A55F6" w:rsidRPr="00DF4FF8" w:rsidRDefault="008A55F6" w:rsidP="00DF4FF8">
    <w:pPr>
      <w:pStyle w:val="Zhlav"/>
      <w:jc w:val="right"/>
      <w:rPr>
        <w:rFonts w:ascii="Georgia" w:hAnsi="Georgia"/>
      </w:rPr>
    </w:pPr>
    <w:r w:rsidRPr="00DF4FF8">
      <w:rPr>
        <w:rFonts w:ascii="Georgia" w:hAnsi="Georgia"/>
      </w:rPr>
      <w:t>Příloha č. 1</w:t>
    </w:r>
    <w:r>
      <w:rPr>
        <w:rFonts w:ascii="Georgia" w:hAnsi="Georgia"/>
      </w:rPr>
      <w:t>.1</w:t>
    </w:r>
    <w:r w:rsidRPr="00DF4FF8">
      <w:rPr>
        <w:rFonts w:ascii="Georgia" w:hAnsi="Georgia"/>
      </w:rPr>
      <w:t xml:space="preserve"> </w:t>
    </w:r>
    <w:r>
      <w:rPr>
        <w:rFonts w:ascii="Georgia" w:hAnsi="Georgia"/>
      </w:rPr>
      <w:t>ZD</w:t>
    </w:r>
    <w:r w:rsidRPr="00DF4FF8">
      <w:rPr>
        <w:rFonts w:ascii="Georgia" w:hAnsi="Georgia"/>
      </w:rPr>
      <w:t xml:space="preserve"> – Technická dokumentace</w:t>
    </w:r>
    <w:r w:rsidR="00353D60">
      <w:rPr>
        <w:rFonts w:ascii="Georgia" w:hAnsi="Georgia"/>
      </w:rPr>
      <w:t xml:space="preserve"> ve znění VZD č.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248"/>
      <w:tblOverlap w:val="never"/>
      <w:tblW w:w="5000" w:type="pct"/>
      <w:tblBorders>
        <w:top w:val="single" w:sz="6" w:space="0" w:color="DC6900" w:themeColor="text2"/>
        <w:left w:val="single" w:sz="6" w:space="0" w:color="DC690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8A55F6" w14:paraId="085032E5" w14:textId="77777777">
      <w:trPr>
        <w:trHeight w:hRule="exact" w:val="227"/>
      </w:trPr>
      <w:tc>
        <w:tcPr>
          <w:tcW w:w="5000" w:type="pct"/>
        </w:tcPr>
        <w:p w14:paraId="103625AE" w14:textId="77777777" w:rsidR="008A55F6" w:rsidRDefault="008A55F6">
          <w:pPr>
            <w:rPr>
              <w:sz w:val="14"/>
              <w:szCs w:val="14"/>
            </w:rPr>
          </w:pPr>
        </w:p>
      </w:tc>
    </w:tr>
  </w:tbl>
  <w:p w14:paraId="07BD34E4" w14:textId="77777777" w:rsidR="008A55F6" w:rsidRDefault="008A55F6">
    <w:pPr>
      <w:pStyle w:val="Zhlav"/>
    </w:pPr>
    <w:proofErr w:type="spellStart"/>
    <w:r>
      <w:t>Header</w:t>
    </w:r>
    <w:proofErr w:type="spellEnd"/>
    <w:r>
      <w:t xml:space="preserve">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E0"/>
    <w:multiLevelType w:val="hybridMultilevel"/>
    <w:tmpl w:val="06B83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70A9F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8D895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8D895E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8D895F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0DD47A0"/>
    <w:multiLevelType w:val="hybridMultilevel"/>
    <w:tmpl w:val="65A4C4FE"/>
    <w:lvl w:ilvl="0" w:tplc="D93441CA">
      <w:start w:val="1"/>
      <w:numFmt w:val="lowerLetter"/>
      <w:lvlText w:val="%1)"/>
      <w:lvlJc w:val="left"/>
      <w:pPr>
        <w:ind w:left="720" w:hanging="360"/>
      </w:pPr>
      <w:rPr>
        <w:rFonts w:ascii="Georgia" w:hAnsi="Georg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81803"/>
    <w:multiLevelType w:val="multilevel"/>
    <w:tmpl w:val="789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18F33C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0418F33D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04215E30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4215E31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4215E32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04215E33"/>
    <w:multiLevelType w:val="multilevel"/>
    <w:tmpl w:val="00000009"/>
    <w:name w:val="HTML-List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04215E34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04B53F40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slovanseznam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lovanseznam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slovanseznam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>
    <w:nsid w:val="0C03787E"/>
    <w:multiLevelType w:val="hybridMultilevel"/>
    <w:tmpl w:val="51A8F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22BF7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02CCC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87172"/>
    <w:multiLevelType w:val="hybridMultilevel"/>
    <w:tmpl w:val="C7F81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E149B0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95437"/>
    <w:multiLevelType w:val="hybridMultilevel"/>
    <w:tmpl w:val="52A62AE2"/>
    <w:lvl w:ilvl="0" w:tplc="7D2EC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32A22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849C4"/>
    <w:multiLevelType w:val="multilevel"/>
    <w:tmpl w:val="CD4C98AE"/>
    <w:name w:val="PwCListBullets12"/>
    <w:numStyleLink w:val="PwCListBullets1"/>
  </w:abstractNum>
  <w:abstractNum w:abstractNumId="24">
    <w:nsid w:val="16C3679C"/>
    <w:multiLevelType w:val="hybridMultilevel"/>
    <w:tmpl w:val="D24C5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AB2223"/>
    <w:multiLevelType w:val="hybridMultilevel"/>
    <w:tmpl w:val="29F63A9A"/>
    <w:lvl w:ilvl="0" w:tplc="A4586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F77393"/>
    <w:multiLevelType w:val="hybridMultilevel"/>
    <w:tmpl w:val="02A61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E3D05"/>
    <w:multiLevelType w:val="hybridMultilevel"/>
    <w:tmpl w:val="A8DC97A8"/>
    <w:lvl w:ilvl="0" w:tplc="87E002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9C52F4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C85C94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D8B1EE0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663B9"/>
    <w:multiLevelType w:val="hybridMultilevel"/>
    <w:tmpl w:val="C0E0E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FC03B1"/>
    <w:multiLevelType w:val="hybridMultilevel"/>
    <w:tmpl w:val="B2062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0849F5"/>
    <w:multiLevelType w:val="multilevel"/>
    <w:tmpl w:val="EE3860A0"/>
    <w:name w:val="PwCListNumbers12"/>
    <w:numStyleLink w:val="PwCListNumbers1"/>
  </w:abstractNum>
  <w:abstractNum w:abstractNumId="34">
    <w:nsid w:val="1E1F42F4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9111B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1417EF1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A4D02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5B247BD"/>
    <w:multiLevelType w:val="hybridMultilevel"/>
    <w:tmpl w:val="CB761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A2731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BC3BF3"/>
    <w:multiLevelType w:val="multilevel"/>
    <w:tmpl w:val="5EDA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905486"/>
    <w:multiLevelType w:val="multilevel"/>
    <w:tmpl w:val="CD4C98AE"/>
    <w:numStyleLink w:val="PwCListBullets1"/>
  </w:abstractNum>
  <w:abstractNum w:abstractNumId="42">
    <w:nsid w:val="2C765465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2DFD7810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F2673E6"/>
    <w:multiLevelType w:val="hybridMultilevel"/>
    <w:tmpl w:val="001C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312637"/>
    <w:multiLevelType w:val="hybridMultilevel"/>
    <w:tmpl w:val="6E5C42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34376C09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625EB2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4468E4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E64FF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93B4293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A57486E"/>
    <w:multiLevelType w:val="multilevel"/>
    <w:tmpl w:val="EE3860A0"/>
    <w:numStyleLink w:val="PwCListNumbers1"/>
  </w:abstractNum>
  <w:abstractNum w:abstractNumId="52">
    <w:nsid w:val="3A8E0A7B"/>
    <w:multiLevelType w:val="hybridMultilevel"/>
    <w:tmpl w:val="A532F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E7552E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A06D21"/>
    <w:multiLevelType w:val="multilevel"/>
    <w:tmpl w:val="77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5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40802E34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56520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0894FE0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A50344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91308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041C8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91961DF"/>
    <w:multiLevelType w:val="hybridMultilevel"/>
    <w:tmpl w:val="E0F83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78098C"/>
    <w:multiLevelType w:val="hybridMultilevel"/>
    <w:tmpl w:val="DE6434F2"/>
    <w:lvl w:ilvl="0" w:tplc="040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4">
    <w:nsid w:val="59E8504D"/>
    <w:multiLevelType w:val="multilevel"/>
    <w:tmpl w:val="4C1A11D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11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5">
    <w:nsid w:val="59F31940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CD1D0C"/>
    <w:multiLevelType w:val="hybridMultilevel"/>
    <w:tmpl w:val="FD789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DC4793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401664"/>
    <w:multiLevelType w:val="multilevel"/>
    <w:tmpl w:val="EE12AE72"/>
    <w:numStyleLink w:val="PwCAppendixList1"/>
  </w:abstractNum>
  <w:abstractNum w:abstractNumId="69">
    <w:nsid w:val="61500B5F"/>
    <w:multiLevelType w:val="hybridMultilevel"/>
    <w:tmpl w:val="E0ACC650"/>
    <w:lvl w:ilvl="0" w:tplc="C052AB0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0450E6"/>
    <w:multiLevelType w:val="hybridMultilevel"/>
    <w:tmpl w:val="A072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F91EC3"/>
    <w:multiLevelType w:val="hybridMultilevel"/>
    <w:tmpl w:val="944CB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B33DD9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75B4A9D"/>
    <w:multiLevelType w:val="multilevel"/>
    <w:tmpl w:val="77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4">
    <w:nsid w:val="68932720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CF6942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7B0609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4342E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8">
    <w:nsid w:val="70511CA3"/>
    <w:multiLevelType w:val="hybridMultilevel"/>
    <w:tmpl w:val="832A7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Seznamsodrkami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Seznamsodrkami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80">
    <w:nsid w:val="74CF0325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50AE9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C55E3"/>
    <w:multiLevelType w:val="multilevel"/>
    <w:tmpl w:val="6CDE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776664E7"/>
    <w:multiLevelType w:val="hybridMultilevel"/>
    <w:tmpl w:val="58949E9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4">
    <w:nsid w:val="77EE4A1F"/>
    <w:multiLevelType w:val="hybridMultilevel"/>
    <w:tmpl w:val="78A4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6F6D20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A15AC9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A4C12C6"/>
    <w:multiLevelType w:val="hybridMultilevel"/>
    <w:tmpl w:val="BFD03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7409F9"/>
    <w:multiLevelType w:val="hybridMultilevel"/>
    <w:tmpl w:val="86A8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DC2BAC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20505E"/>
    <w:multiLevelType w:val="hybridMultilevel"/>
    <w:tmpl w:val="3CA4A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5719AA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116DC3"/>
    <w:multiLevelType w:val="hybridMultilevel"/>
    <w:tmpl w:val="2144A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C9818A0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FB7081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3633D6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1340CF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15"/>
  </w:num>
  <w:num w:numId="3">
    <w:abstractNumId w:val="51"/>
  </w:num>
  <w:num w:numId="4">
    <w:abstractNumId w:val="41"/>
  </w:num>
  <w:num w:numId="5">
    <w:abstractNumId w:val="55"/>
  </w:num>
  <w:num w:numId="6">
    <w:abstractNumId w:val="68"/>
  </w:num>
  <w:num w:numId="7">
    <w:abstractNumId w:val="64"/>
  </w:num>
  <w:num w:numId="8">
    <w:abstractNumId w:val="58"/>
  </w:num>
  <w:num w:numId="9">
    <w:abstractNumId w:val="29"/>
  </w:num>
  <w:num w:numId="10">
    <w:abstractNumId w:val="44"/>
  </w:num>
  <w:num w:numId="11">
    <w:abstractNumId w:val="92"/>
  </w:num>
  <w:num w:numId="12">
    <w:abstractNumId w:val="19"/>
  </w:num>
  <w:num w:numId="13">
    <w:abstractNumId w:val="40"/>
  </w:num>
  <w:num w:numId="14">
    <w:abstractNumId w:val="57"/>
  </w:num>
  <w:num w:numId="15">
    <w:abstractNumId w:val="35"/>
  </w:num>
  <w:num w:numId="16">
    <w:abstractNumId w:val="6"/>
  </w:num>
  <w:num w:numId="17">
    <w:abstractNumId w:val="49"/>
  </w:num>
  <w:num w:numId="18">
    <w:abstractNumId w:val="43"/>
  </w:num>
  <w:num w:numId="19">
    <w:abstractNumId w:val="1"/>
  </w:num>
  <w:num w:numId="20">
    <w:abstractNumId w:val="72"/>
  </w:num>
  <w:num w:numId="21">
    <w:abstractNumId w:val="50"/>
  </w:num>
  <w:num w:numId="22">
    <w:abstractNumId w:val="37"/>
  </w:num>
  <w:num w:numId="23">
    <w:abstractNumId w:val="22"/>
  </w:num>
  <w:num w:numId="24">
    <w:abstractNumId w:val="91"/>
  </w:num>
  <w:num w:numId="25">
    <w:abstractNumId w:val="74"/>
  </w:num>
  <w:num w:numId="26">
    <w:abstractNumId w:val="53"/>
  </w:num>
  <w:num w:numId="27">
    <w:abstractNumId w:val="14"/>
  </w:num>
  <w:num w:numId="28">
    <w:abstractNumId w:val="85"/>
  </w:num>
  <w:num w:numId="29">
    <w:abstractNumId w:val="48"/>
  </w:num>
  <w:num w:numId="30">
    <w:abstractNumId w:val="95"/>
  </w:num>
  <w:num w:numId="31">
    <w:abstractNumId w:val="96"/>
  </w:num>
  <w:num w:numId="32">
    <w:abstractNumId w:val="71"/>
  </w:num>
  <w:num w:numId="33">
    <w:abstractNumId w:val="65"/>
  </w:num>
  <w:num w:numId="34">
    <w:abstractNumId w:val="67"/>
  </w:num>
  <w:num w:numId="35">
    <w:abstractNumId w:val="80"/>
  </w:num>
  <w:num w:numId="36">
    <w:abstractNumId w:val="66"/>
  </w:num>
  <w:num w:numId="37">
    <w:abstractNumId w:val="94"/>
  </w:num>
  <w:num w:numId="38">
    <w:abstractNumId w:val="89"/>
  </w:num>
  <w:num w:numId="39">
    <w:abstractNumId w:val="36"/>
  </w:num>
  <w:num w:numId="40">
    <w:abstractNumId w:val="56"/>
  </w:num>
  <w:num w:numId="41">
    <w:abstractNumId w:val="39"/>
  </w:num>
  <w:num w:numId="42">
    <w:abstractNumId w:val="28"/>
  </w:num>
  <w:num w:numId="43">
    <w:abstractNumId w:val="20"/>
  </w:num>
  <w:num w:numId="44">
    <w:abstractNumId w:val="34"/>
  </w:num>
  <w:num w:numId="45">
    <w:abstractNumId w:val="86"/>
  </w:num>
  <w:num w:numId="46">
    <w:abstractNumId w:val="69"/>
  </w:num>
  <w:num w:numId="47">
    <w:abstractNumId w:val="78"/>
  </w:num>
  <w:num w:numId="48">
    <w:abstractNumId w:val="59"/>
  </w:num>
  <w:num w:numId="49">
    <w:abstractNumId w:val="60"/>
  </w:num>
  <w:num w:numId="50">
    <w:abstractNumId w:val="76"/>
  </w:num>
  <w:num w:numId="51">
    <w:abstractNumId w:val="30"/>
  </w:num>
  <w:num w:numId="52">
    <w:abstractNumId w:val="47"/>
  </w:num>
  <w:num w:numId="53">
    <w:abstractNumId w:val="46"/>
  </w:num>
  <w:num w:numId="54">
    <w:abstractNumId w:val="16"/>
  </w:num>
  <w:num w:numId="55">
    <w:abstractNumId w:val="24"/>
  </w:num>
  <w:num w:numId="56">
    <w:abstractNumId w:val="81"/>
  </w:num>
  <w:num w:numId="57">
    <w:abstractNumId w:val="75"/>
  </w:num>
  <w:num w:numId="58">
    <w:abstractNumId w:val="18"/>
  </w:num>
  <w:num w:numId="59">
    <w:abstractNumId w:val="17"/>
  </w:num>
  <w:num w:numId="60">
    <w:abstractNumId w:val="31"/>
  </w:num>
  <w:num w:numId="61">
    <w:abstractNumId w:val="63"/>
  </w:num>
  <w:num w:numId="62">
    <w:abstractNumId w:val="54"/>
  </w:num>
  <w:num w:numId="63">
    <w:abstractNumId w:val="73"/>
  </w:num>
  <w:num w:numId="64">
    <w:abstractNumId w:val="45"/>
  </w:num>
  <w:num w:numId="65">
    <w:abstractNumId w:val="26"/>
  </w:num>
  <w:num w:numId="66">
    <w:abstractNumId w:val="82"/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7"/>
  </w:num>
  <w:num w:numId="105">
    <w:abstractNumId w:val="27"/>
  </w:num>
  <w:num w:numId="106">
    <w:abstractNumId w:val="62"/>
  </w:num>
  <w:num w:numId="107">
    <w:abstractNumId w:val="25"/>
  </w:num>
  <w:num w:numId="108">
    <w:abstractNumId w:val="87"/>
  </w:num>
  <w:num w:numId="109">
    <w:abstractNumId w:val="38"/>
  </w:num>
  <w:num w:numId="110">
    <w:abstractNumId w:val="5"/>
  </w:num>
  <w:num w:numId="111">
    <w:abstractNumId w:val="32"/>
  </w:num>
  <w:num w:numId="112">
    <w:abstractNumId w:val="93"/>
  </w:num>
  <w:num w:numId="113">
    <w:abstractNumId w:val="90"/>
  </w:num>
  <w:num w:numId="114">
    <w:abstractNumId w:val="21"/>
  </w:num>
  <w:num w:numId="115">
    <w:abstractNumId w:val="84"/>
  </w:num>
  <w:num w:numId="116">
    <w:abstractNumId w:val="88"/>
  </w:num>
  <w:num w:numId="117">
    <w:abstractNumId w:val="83"/>
  </w:num>
  <w:num w:numId="118">
    <w:abstractNumId w:val="0"/>
  </w:num>
  <w:num w:numId="119">
    <w:abstractNumId w:val="70"/>
  </w:num>
  <w:num w:numId="120">
    <w:abstractNumId w:val="61"/>
  </w:num>
  <w:num w:numId="121">
    <w:abstractNumId w:val="42"/>
  </w:num>
  <w:num w:numId="122">
    <w:abstractNumId w:val="52"/>
  </w:num>
  <w:numIdMacAtCleanup w:val="1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Jiroušek">
    <w15:presenceInfo w15:providerId="None" w15:userId="Jan Jiroušek"/>
  </w15:person>
  <w15:person w15:author="Jan.Jirousek@spcss.cz">
    <w15:presenceInfo w15:providerId="None" w15:userId="Jan.Jirousek@spcss.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5A"/>
    <w:rsid w:val="00001265"/>
    <w:rsid w:val="0000249E"/>
    <w:rsid w:val="00004440"/>
    <w:rsid w:val="00007888"/>
    <w:rsid w:val="00010448"/>
    <w:rsid w:val="000109B6"/>
    <w:rsid w:val="00011174"/>
    <w:rsid w:val="000111AB"/>
    <w:rsid w:val="00011AE8"/>
    <w:rsid w:val="000143C9"/>
    <w:rsid w:val="000148AA"/>
    <w:rsid w:val="00015828"/>
    <w:rsid w:val="00016070"/>
    <w:rsid w:val="000166CE"/>
    <w:rsid w:val="0001677D"/>
    <w:rsid w:val="0001689B"/>
    <w:rsid w:val="00023A4E"/>
    <w:rsid w:val="00025103"/>
    <w:rsid w:val="0003408C"/>
    <w:rsid w:val="000341AD"/>
    <w:rsid w:val="00034704"/>
    <w:rsid w:val="00034A95"/>
    <w:rsid w:val="00034F65"/>
    <w:rsid w:val="00036643"/>
    <w:rsid w:val="00041272"/>
    <w:rsid w:val="00041B6F"/>
    <w:rsid w:val="0004209B"/>
    <w:rsid w:val="00042442"/>
    <w:rsid w:val="0004688E"/>
    <w:rsid w:val="00046C07"/>
    <w:rsid w:val="0004732A"/>
    <w:rsid w:val="000478FF"/>
    <w:rsid w:val="00047FC9"/>
    <w:rsid w:val="000527D7"/>
    <w:rsid w:val="00052905"/>
    <w:rsid w:val="0005361C"/>
    <w:rsid w:val="00053CFF"/>
    <w:rsid w:val="00055CA7"/>
    <w:rsid w:val="000571F4"/>
    <w:rsid w:val="000576C2"/>
    <w:rsid w:val="0005785D"/>
    <w:rsid w:val="00057C8E"/>
    <w:rsid w:val="00060566"/>
    <w:rsid w:val="00060568"/>
    <w:rsid w:val="00060814"/>
    <w:rsid w:val="00061A72"/>
    <w:rsid w:val="000623EB"/>
    <w:rsid w:val="00062EC1"/>
    <w:rsid w:val="000644DA"/>
    <w:rsid w:val="00065F8E"/>
    <w:rsid w:val="00066B45"/>
    <w:rsid w:val="00071EEE"/>
    <w:rsid w:val="000740FA"/>
    <w:rsid w:val="00074A9B"/>
    <w:rsid w:val="000766D6"/>
    <w:rsid w:val="0007775E"/>
    <w:rsid w:val="00077860"/>
    <w:rsid w:val="00080432"/>
    <w:rsid w:val="00080F53"/>
    <w:rsid w:val="000819E6"/>
    <w:rsid w:val="0008442B"/>
    <w:rsid w:val="00084983"/>
    <w:rsid w:val="0008634D"/>
    <w:rsid w:val="00086734"/>
    <w:rsid w:val="000872A7"/>
    <w:rsid w:val="000876DC"/>
    <w:rsid w:val="000911A6"/>
    <w:rsid w:val="00092A85"/>
    <w:rsid w:val="000930A1"/>
    <w:rsid w:val="000939D1"/>
    <w:rsid w:val="00094A08"/>
    <w:rsid w:val="00095AB5"/>
    <w:rsid w:val="000960BA"/>
    <w:rsid w:val="000A02A3"/>
    <w:rsid w:val="000A2510"/>
    <w:rsid w:val="000A31F1"/>
    <w:rsid w:val="000A552C"/>
    <w:rsid w:val="000A5926"/>
    <w:rsid w:val="000A5E5F"/>
    <w:rsid w:val="000A6C0B"/>
    <w:rsid w:val="000B18CF"/>
    <w:rsid w:val="000B378B"/>
    <w:rsid w:val="000B3A6D"/>
    <w:rsid w:val="000B54E0"/>
    <w:rsid w:val="000C01A2"/>
    <w:rsid w:val="000C08BC"/>
    <w:rsid w:val="000C0EF0"/>
    <w:rsid w:val="000C13DA"/>
    <w:rsid w:val="000C1402"/>
    <w:rsid w:val="000C1B92"/>
    <w:rsid w:val="000C2567"/>
    <w:rsid w:val="000C256E"/>
    <w:rsid w:val="000C3017"/>
    <w:rsid w:val="000C41DB"/>
    <w:rsid w:val="000C64E1"/>
    <w:rsid w:val="000C68FB"/>
    <w:rsid w:val="000C75E2"/>
    <w:rsid w:val="000D0949"/>
    <w:rsid w:val="000D1727"/>
    <w:rsid w:val="000D1F6B"/>
    <w:rsid w:val="000D2545"/>
    <w:rsid w:val="000D35BA"/>
    <w:rsid w:val="000D3C6A"/>
    <w:rsid w:val="000D4C4A"/>
    <w:rsid w:val="000D4C8A"/>
    <w:rsid w:val="000D5FF8"/>
    <w:rsid w:val="000D6128"/>
    <w:rsid w:val="000D6507"/>
    <w:rsid w:val="000D7667"/>
    <w:rsid w:val="000E18EE"/>
    <w:rsid w:val="000E1DA0"/>
    <w:rsid w:val="000E4824"/>
    <w:rsid w:val="000E54D9"/>
    <w:rsid w:val="000E6AF1"/>
    <w:rsid w:val="000F06F0"/>
    <w:rsid w:val="000F07BB"/>
    <w:rsid w:val="000F2301"/>
    <w:rsid w:val="000F2341"/>
    <w:rsid w:val="000F258E"/>
    <w:rsid w:val="000F2FA4"/>
    <w:rsid w:val="000F32B0"/>
    <w:rsid w:val="000F41B8"/>
    <w:rsid w:val="000F4674"/>
    <w:rsid w:val="000F4EF7"/>
    <w:rsid w:val="000F697B"/>
    <w:rsid w:val="000F7C52"/>
    <w:rsid w:val="0010248B"/>
    <w:rsid w:val="001038BA"/>
    <w:rsid w:val="00103B7F"/>
    <w:rsid w:val="0010513E"/>
    <w:rsid w:val="00105A82"/>
    <w:rsid w:val="00107800"/>
    <w:rsid w:val="0011212E"/>
    <w:rsid w:val="001127F8"/>
    <w:rsid w:val="001133EF"/>
    <w:rsid w:val="00114504"/>
    <w:rsid w:val="0011507D"/>
    <w:rsid w:val="00115486"/>
    <w:rsid w:val="001157B1"/>
    <w:rsid w:val="00115B3E"/>
    <w:rsid w:val="00116E77"/>
    <w:rsid w:val="001206E3"/>
    <w:rsid w:val="00121EF8"/>
    <w:rsid w:val="0012257C"/>
    <w:rsid w:val="00122FC3"/>
    <w:rsid w:val="00127545"/>
    <w:rsid w:val="001325F8"/>
    <w:rsid w:val="0013501B"/>
    <w:rsid w:val="001350D1"/>
    <w:rsid w:val="001352AD"/>
    <w:rsid w:val="001419C7"/>
    <w:rsid w:val="001421AC"/>
    <w:rsid w:val="00142EC1"/>
    <w:rsid w:val="00143294"/>
    <w:rsid w:val="00144335"/>
    <w:rsid w:val="00144B92"/>
    <w:rsid w:val="00144EC3"/>
    <w:rsid w:val="001451AD"/>
    <w:rsid w:val="0014549C"/>
    <w:rsid w:val="00145AA1"/>
    <w:rsid w:val="00146096"/>
    <w:rsid w:val="00147013"/>
    <w:rsid w:val="001473CF"/>
    <w:rsid w:val="00151BE5"/>
    <w:rsid w:val="0015267E"/>
    <w:rsid w:val="00155EE9"/>
    <w:rsid w:val="0015621D"/>
    <w:rsid w:val="00157DA5"/>
    <w:rsid w:val="00160480"/>
    <w:rsid w:val="00160F89"/>
    <w:rsid w:val="001616B3"/>
    <w:rsid w:val="00161BF6"/>
    <w:rsid w:val="00161C78"/>
    <w:rsid w:val="001649B7"/>
    <w:rsid w:val="0016554D"/>
    <w:rsid w:val="00166085"/>
    <w:rsid w:val="00166243"/>
    <w:rsid w:val="00167C46"/>
    <w:rsid w:val="001702EF"/>
    <w:rsid w:val="0017057C"/>
    <w:rsid w:val="00172464"/>
    <w:rsid w:val="00172EB6"/>
    <w:rsid w:val="0017369D"/>
    <w:rsid w:val="001757AE"/>
    <w:rsid w:val="0017680E"/>
    <w:rsid w:val="00180D8E"/>
    <w:rsid w:val="00181143"/>
    <w:rsid w:val="00182092"/>
    <w:rsid w:val="001824AD"/>
    <w:rsid w:val="001828FA"/>
    <w:rsid w:val="00183828"/>
    <w:rsid w:val="001848E3"/>
    <w:rsid w:val="00184D54"/>
    <w:rsid w:val="00185249"/>
    <w:rsid w:val="00185A6C"/>
    <w:rsid w:val="00186EA4"/>
    <w:rsid w:val="0019030E"/>
    <w:rsid w:val="00190726"/>
    <w:rsid w:val="00194866"/>
    <w:rsid w:val="00194875"/>
    <w:rsid w:val="0019488D"/>
    <w:rsid w:val="00194ADA"/>
    <w:rsid w:val="001953D6"/>
    <w:rsid w:val="0019673F"/>
    <w:rsid w:val="00197359"/>
    <w:rsid w:val="001A079C"/>
    <w:rsid w:val="001A1901"/>
    <w:rsid w:val="001A2E81"/>
    <w:rsid w:val="001A3E8B"/>
    <w:rsid w:val="001B01C2"/>
    <w:rsid w:val="001B2AE1"/>
    <w:rsid w:val="001B2FFB"/>
    <w:rsid w:val="001B33A2"/>
    <w:rsid w:val="001B36AE"/>
    <w:rsid w:val="001B47A6"/>
    <w:rsid w:val="001B4F1F"/>
    <w:rsid w:val="001B5000"/>
    <w:rsid w:val="001B5607"/>
    <w:rsid w:val="001B750A"/>
    <w:rsid w:val="001B7AB9"/>
    <w:rsid w:val="001B7DBB"/>
    <w:rsid w:val="001C0319"/>
    <w:rsid w:val="001C0880"/>
    <w:rsid w:val="001C11A0"/>
    <w:rsid w:val="001C17C2"/>
    <w:rsid w:val="001C2012"/>
    <w:rsid w:val="001C48C8"/>
    <w:rsid w:val="001D3637"/>
    <w:rsid w:val="001D3F5A"/>
    <w:rsid w:val="001D449D"/>
    <w:rsid w:val="001D5F16"/>
    <w:rsid w:val="001E1293"/>
    <w:rsid w:val="001E2458"/>
    <w:rsid w:val="001E3616"/>
    <w:rsid w:val="001E3A57"/>
    <w:rsid w:val="001E4CB2"/>
    <w:rsid w:val="001E4DD7"/>
    <w:rsid w:val="001E5164"/>
    <w:rsid w:val="001F0208"/>
    <w:rsid w:val="001F0AF6"/>
    <w:rsid w:val="001F4CDF"/>
    <w:rsid w:val="001F4D08"/>
    <w:rsid w:val="001F4F69"/>
    <w:rsid w:val="001F59ED"/>
    <w:rsid w:val="001F66AD"/>
    <w:rsid w:val="002039CC"/>
    <w:rsid w:val="002045AD"/>
    <w:rsid w:val="00205579"/>
    <w:rsid w:val="0021107A"/>
    <w:rsid w:val="00211274"/>
    <w:rsid w:val="00211460"/>
    <w:rsid w:val="00212164"/>
    <w:rsid w:val="00212F19"/>
    <w:rsid w:val="0021339A"/>
    <w:rsid w:val="00213A94"/>
    <w:rsid w:val="002142CA"/>
    <w:rsid w:val="00214D33"/>
    <w:rsid w:val="00215791"/>
    <w:rsid w:val="0021662E"/>
    <w:rsid w:val="002168BB"/>
    <w:rsid w:val="00216F13"/>
    <w:rsid w:val="00217005"/>
    <w:rsid w:val="00220CC5"/>
    <w:rsid w:val="0022166F"/>
    <w:rsid w:val="00222B90"/>
    <w:rsid w:val="002233FE"/>
    <w:rsid w:val="00223BAE"/>
    <w:rsid w:val="00223FC5"/>
    <w:rsid w:val="0022488B"/>
    <w:rsid w:val="00225930"/>
    <w:rsid w:val="002309F5"/>
    <w:rsid w:val="002311FA"/>
    <w:rsid w:val="00232181"/>
    <w:rsid w:val="00233432"/>
    <w:rsid w:val="002335D2"/>
    <w:rsid w:val="00233894"/>
    <w:rsid w:val="00233FF3"/>
    <w:rsid w:val="002340ED"/>
    <w:rsid w:val="00234653"/>
    <w:rsid w:val="002374B0"/>
    <w:rsid w:val="0024029F"/>
    <w:rsid w:val="002403A2"/>
    <w:rsid w:val="0024355F"/>
    <w:rsid w:val="0024358B"/>
    <w:rsid w:val="00243AA2"/>
    <w:rsid w:val="00243CDF"/>
    <w:rsid w:val="00244B7E"/>
    <w:rsid w:val="00246E6A"/>
    <w:rsid w:val="00247600"/>
    <w:rsid w:val="00247D4C"/>
    <w:rsid w:val="0025022D"/>
    <w:rsid w:val="002505A1"/>
    <w:rsid w:val="00251418"/>
    <w:rsid w:val="00253BA3"/>
    <w:rsid w:val="0025453A"/>
    <w:rsid w:val="00254E41"/>
    <w:rsid w:val="00260696"/>
    <w:rsid w:val="00260AB4"/>
    <w:rsid w:val="0026112C"/>
    <w:rsid w:val="00261206"/>
    <w:rsid w:val="002612A0"/>
    <w:rsid w:val="00261D6B"/>
    <w:rsid w:val="0026520C"/>
    <w:rsid w:val="002661CF"/>
    <w:rsid w:val="002671D1"/>
    <w:rsid w:val="00270D71"/>
    <w:rsid w:val="00271135"/>
    <w:rsid w:val="002717B8"/>
    <w:rsid w:val="00271803"/>
    <w:rsid w:val="00272494"/>
    <w:rsid w:val="002758AB"/>
    <w:rsid w:val="00276889"/>
    <w:rsid w:val="00277A92"/>
    <w:rsid w:val="0028237F"/>
    <w:rsid w:val="00282638"/>
    <w:rsid w:val="00283362"/>
    <w:rsid w:val="0028778F"/>
    <w:rsid w:val="00287809"/>
    <w:rsid w:val="00287D90"/>
    <w:rsid w:val="0029238D"/>
    <w:rsid w:val="00292B8E"/>
    <w:rsid w:val="00293591"/>
    <w:rsid w:val="002947E3"/>
    <w:rsid w:val="00294D15"/>
    <w:rsid w:val="00295841"/>
    <w:rsid w:val="00296678"/>
    <w:rsid w:val="00297643"/>
    <w:rsid w:val="00297B04"/>
    <w:rsid w:val="002A00DE"/>
    <w:rsid w:val="002A01F7"/>
    <w:rsid w:val="002A04CE"/>
    <w:rsid w:val="002A23F9"/>
    <w:rsid w:val="002A2F7E"/>
    <w:rsid w:val="002A3559"/>
    <w:rsid w:val="002A6325"/>
    <w:rsid w:val="002A659D"/>
    <w:rsid w:val="002A7D38"/>
    <w:rsid w:val="002B0180"/>
    <w:rsid w:val="002B051D"/>
    <w:rsid w:val="002B409A"/>
    <w:rsid w:val="002B5DD5"/>
    <w:rsid w:val="002B5E58"/>
    <w:rsid w:val="002B6EA9"/>
    <w:rsid w:val="002B7929"/>
    <w:rsid w:val="002C28AB"/>
    <w:rsid w:val="002C2C07"/>
    <w:rsid w:val="002C3360"/>
    <w:rsid w:val="002C400F"/>
    <w:rsid w:val="002C565D"/>
    <w:rsid w:val="002C6D53"/>
    <w:rsid w:val="002C6DEC"/>
    <w:rsid w:val="002C7DA7"/>
    <w:rsid w:val="002D0EF4"/>
    <w:rsid w:val="002D224F"/>
    <w:rsid w:val="002D4CD0"/>
    <w:rsid w:val="002D6D16"/>
    <w:rsid w:val="002D7125"/>
    <w:rsid w:val="002D7588"/>
    <w:rsid w:val="002D7C42"/>
    <w:rsid w:val="002D7CDD"/>
    <w:rsid w:val="002D7FB0"/>
    <w:rsid w:val="002E14B5"/>
    <w:rsid w:val="002E242B"/>
    <w:rsid w:val="002E2F4D"/>
    <w:rsid w:val="002E60D1"/>
    <w:rsid w:val="002E61AA"/>
    <w:rsid w:val="002E643C"/>
    <w:rsid w:val="002E7A7C"/>
    <w:rsid w:val="002F1402"/>
    <w:rsid w:val="002F3D0D"/>
    <w:rsid w:val="002F43F7"/>
    <w:rsid w:val="002F4625"/>
    <w:rsid w:val="002F4C6D"/>
    <w:rsid w:val="002F55B7"/>
    <w:rsid w:val="002F5B2D"/>
    <w:rsid w:val="002F5C1A"/>
    <w:rsid w:val="002F5F33"/>
    <w:rsid w:val="002F701E"/>
    <w:rsid w:val="003007B5"/>
    <w:rsid w:val="00301988"/>
    <w:rsid w:val="00302C94"/>
    <w:rsid w:val="00302E0F"/>
    <w:rsid w:val="0030345F"/>
    <w:rsid w:val="0030370F"/>
    <w:rsid w:val="00303D7D"/>
    <w:rsid w:val="003050E2"/>
    <w:rsid w:val="00306AFF"/>
    <w:rsid w:val="0031105D"/>
    <w:rsid w:val="00312059"/>
    <w:rsid w:val="0031293A"/>
    <w:rsid w:val="003151B0"/>
    <w:rsid w:val="003155E2"/>
    <w:rsid w:val="00320A7B"/>
    <w:rsid w:val="00321419"/>
    <w:rsid w:val="00322133"/>
    <w:rsid w:val="00325772"/>
    <w:rsid w:val="00326B12"/>
    <w:rsid w:val="00327CED"/>
    <w:rsid w:val="00330234"/>
    <w:rsid w:val="00331B0C"/>
    <w:rsid w:val="00331BE7"/>
    <w:rsid w:val="003334CF"/>
    <w:rsid w:val="00333F26"/>
    <w:rsid w:val="003348AA"/>
    <w:rsid w:val="00334F30"/>
    <w:rsid w:val="00335B73"/>
    <w:rsid w:val="003364CA"/>
    <w:rsid w:val="0034049C"/>
    <w:rsid w:val="003413FC"/>
    <w:rsid w:val="00342F2D"/>
    <w:rsid w:val="00344597"/>
    <w:rsid w:val="00344863"/>
    <w:rsid w:val="00344A12"/>
    <w:rsid w:val="00344B60"/>
    <w:rsid w:val="00344FAA"/>
    <w:rsid w:val="003450B1"/>
    <w:rsid w:val="00345CFB"/>
    <w:rsid w:val="00350F92"/>
    <w:rsid w:val="003536AE"/>
    <w:rsid w:val="00353D60"/>
    <w:rsid w:val="003544E2"/>
    <w:rsid w:val="00354E8D"/>
    <w:rsid w:val="00355275"/>
    <w:rsid w:val="00356A95"/>
    <w:rsid w:val="003577E0"/>
    <w:rsid w:val="00357E0F"/>
    <w:rsid w:val="00357F7E"/>
    <w:rsid w:val="003612DE"/>
    <w:rsid w:val="003620A2"/>
    <w:rsid w:val="003635A2"/>
    <w:rsid w:val="003638A7"/>
    <w:rsid w:val="0036577A"/>
    <w:rsid w:val="00365EEC"/>
    <w:rsid w:val="00365FA6"/>
    <w:rsid w:val="003710BA"/>
    <w:rsid w:val="003712C3"/>
    <w:rsid w:val="00371350"/>
    <w:rsid w:val="00371902"/>
    <w:rsid w:val="003719E8"/>
    <w:rsid w:val="00373F0A"/>
    <w:rsid w:val="003769AD"/>
    <w:rsid w:val="00377017"/>
    <w:rsid w:val="00380375"/>
    <w:rsid w:val="00380C08"/>
    <w:rsid w:val="00384E4B"/>
    <w:rsid w:val="0038515E"/>
    <w:rsid w:val="00387058"/>
    <w:rsid w:val="003926FB"/>
    <w:rsid w:val="003934DE"/>
    <w:rsid w:val="00396DF6"/>
    <w:rsid w:val="003A0591"/>
    <w:rsid w:val="003A1D00"/>
    <w:rsid w:val="003A20EF"/>
    <w:rsid w:val="003A2804"/>
    <w:rsid w:val="003A33ED"/>
    <w:rsid w:val="003A38AF"/>
    <w:rsid w:val="003A3A46"/>
    <w:rsid w:val="003A5343"/>
    <w:rsid w:val="003A5831"/>
    <w:rsid w:val="003A5941"/>
    <w:rsid w:val="003A5CEF"/>
    <w:rsid w:val="003B32AC"/>
    <w:rsid w:val="003B576F"/>
    <w:rsid w:val="003B58FF"/>
    <w:rsid w:val="003B63FF"/>
    <w:rsid w:val="003B66A3"/>
    <w:rsid w:val="003B7A04"/>
    <w:rsid w:val="003C101B"/>
    <w:rsid w:val="003C188D"/>
    <w:rsid w:val="003C1B77"/>
    <w:rsid w:val="003C1E98"/>
    <w:rsid w:val="003C29B2"/>
    <w:rsid w:val="003C2C34"/>
    <w:rsid w:val="003C2FB1"/>
    <w:rsid w:val="003C36F4"/>
    <w:rsid w:val="003C44C1"/>
    <w:rsid w:val="003C4CE8"/>
    <w:rsid w:val="003C52B6"/>
    <w:rsid w:val="003C67EB"/>
    <w:rsid w:val="003C6B28"/>
    <w:rsid w:val="003C6DAF"/>
    <w:rsid w:val="003D0888"/>
    <w:rsid w:val="003D0F49"/>
    <w:rsid w:val="003D25EF"/>
    <w:rsid w:val="003D3223"/>
    <w:rsid w:val="003D79B0"/>
    <w:rsid w:val="003E0549"/>
    <w:rsid w:val="003E1B8B"/>
    <w:rsid w:val="003E21A9"/>
    <w:rsid w:val="003E30B2"/>
    <w:rsid w:val="003E3449"/>
    <w:rsid w:val="003E358D"/>
    <w:rsid w:val="003E3CFB"/>
    <w:rsid w:val="003E4BFF"/>
    <w:rsid w:val="003E5E15"/>
    <w:rsid w:val="003E6792"/>
    <w:rsid w:val="003E6DF1"/>
    <w:rsid w:val="003E732E"/>
    <w:rsid w:val="003F13B1"/>
    <w:rsid w:val="003F1B26"/>
    <w:rsid w:val="003F21FB"/>
    <w:rsid w:val="003F2578"/>
    <w:rsid w:val="003F29E9"/>
    <w:rsid w:val="003F41B8"/>
    <w:rsid w:val="003F511C"/>
    <w:rsid w:val="003F5518"/>
    <w:rsid w:val="003F707D"/>
    <w:rsid w:val="00400062"/>
    <w:rsid w:val="004002A5"/>
    <w:rsid w:val="0040195E"/>
    <w:rsid w:val="00401AEF"/>
    <w:rsid w:val="00402C91"/>
    <w:rsid w:val="00403900"/>
    <w:rsid w:val="00405346"/>
    <w:rsid w:val="00405E6A"/>
    <w:rsid w:val="004060F4"/>
    <w:rsid w:val="0040741D"/>
    <w:rsid w:val="00410CB6"/>
    <w:rsid w:val="00412482"/>
    <w:rsid w:val="00412A4A"/>
    <w:rsid w:val="00414BDC"/>
    <w:rsid w:val="00415C34"/>
    <w:rsid w:val="004201A1"/>
    <w:rsid w:val="00420529"/>
    <w:rsid w:val="004215EF"/>
    <w:rsid w:val="00422EB0"/>
    <w:rsid w:val="00425CB0"/>
    <w:rsid w:val="00426E68"/>
    <w:rsid w:val="004270C5"/>
    <w:rsid w:val="00427D10"/>
    <w:rsid w:val="00433843"/>
    <w:rsid w:val="00433B74"/>
    <w:rsid w:val="00435BE2"/>
    <w:rsid w:val="0043602E"/>
    <w:rsid w:val="0043626E"/>
    <w:rsid w:val="0043707D"/>
    <w:rsid w:val="00441366"/>
    <w:rsid w:val="0044209F"/>
    <w:rsid w:val="00442926"/>
    <w:rsid w:val="00442F3A"/>
    <w:rsid w:val="004432CA"/>
    <w:rsid w:val="00443610"/>
    <w:rsid w:val="00444224"/>
    <w:rsid w:val="004463D8"/>
    <w:rsid w:val="0044695F"/>
    <w:rsid w:val="004472F1"/>
    <w:rsid w:val="00450F21"/>
    <w:rsid w:val="00454504"/>
    <w:rsid w:val="004545CD"/>
    <w:rsid w:val="00454D41"/>
    <w:rsid w:val="00456E6F"/>
    <w:rsid w:val="00457A80"/>
    <w:rsid w:val="004633D5"/>
    <w:rsid w:val="00463964"/>
    <w:rsid w:val="004646EB"/>
    <w:rsid w:val="00465974"/>
    <w:rsid w:val="004659BF"/>
    <w:rsid w:val="00467F13"/>
    <w:rsid w:val="00470C02"/>
    <w:rsid w:val="004712B0"/>
    <w:rsid w:val="00475525"/>
    <w:rsid w:val="00476E95"/>
    <w:rsid w:val="004812DD"/>
    <w:rsid w:val="00481554"/>
    <w:rsid w:val="004817D4"/>
    <w:rsid w:val="0048436B"/>
    <w:rsid w:val="00484500"/>
    <w:rsid w:val="00486B2C"/>
    <w:rsid w:val="0048727C"/>
    <w:rsid w:val="004907F5"/>
    <w:rsid w:val="00491DFF"/>
    <w:rsid w:val="004924DE"/>
    <w:rsid w:val="00492561"/>
    <w:rsid w:val="00492DAA"/>
    <w:rsid w:val="00492F2A"/>
    <w:rsid w:val="004934D7"/>
    <w:rsid w:val="004939B7"/>
    <w:rsid w:val="00493ED7"/>
    <w:rsid w:val="00494558"/>
    <w:rsid w:val="00494EEF"/>
    <w:rsid w:val="004954B6"/>
    <w:rsid w:val="00497AEA"/>
    <w:rsid w:val="004A4B18"/>
    <w:rsid w:val="004A56CF"/>
    <w:rsid w:val="004A637C"/>
    <w:rsid w:val="004A68A7"/>
    <w:rsid w:val="004A718C"/>
    <w:rsid w:val="004A7B1D"/>
    <w:rsid w:val="004A7DAA"/>
    <w:rsid w:val="004B06BF"/>
    <w:rsid w:val="004B15B8"/>
    <w:rsid w:val="004B3210"/>
    <w:rsid w:val="004B3499"/>
    <w:rsid w:val="004B4522"/>
    <w:rsid w:val="004B4710"/>
    <w:rsid w:val="004B4CAD"/>
    <w:rsid w:val="004B5649"/>
    <w:rsid w:val="004B6E3D"/>
    <w:rsid w:val="004B73A2"/>
    <w:rsid w:val="004C1198"/>
    <w:rsid w:val="004C1A8A"/>
    <w:rsid w:val="004C3A90"/>
    <w:rsid w:val="004C42D9"/>
    <w:rsid w:val="004C4690"/>
    <w:rsid w:val="004C54E7"/>
    <w:rsid w:val="004C5973"/>
    <w:rsid w:val="004C612C"/>
    <w:rsid w:val="004C634F"/>
    <w:rsid w:val="004C689D"/>
    <w:rsid w:val="004D037B"/>
    <w:rsid w:val="004D1535"/>
    <w:rsid w:val="004D6365"/>
    <w:rsid w:val="004E04C2"/>
    <w:rsid w:val="004E5F5C"/>
    <w:rsid w:val="004E743D"/>
    <w:rsid w:val="004F16B9"/>
    <w:rsid w:val="004F1B5D"/>
    <w:rsid w:val="004F2113"/>
    <w:rsid w:val="004F2580"/>
    <w:rsid w:val="004F2857"/>
    <w:rsid w:val="004F4CFC"/>
    <w:rsid w:val="004F5546"/>
    <w:rsid w:val="004F5D5D"/>
    <w:rsid w:val="004F60AF"/>
    <w:rsid w:val="005005BC"/>
    <w:rsid w:val="00503C15"/>
    <w:rsid w:val="00504B0E"/>
    <w:rsid w:val="00504B61"/>
    <w:rsid w:val="00505D17"/>
    <w:rsid w:val="00506FC7"/>
    <w:rsid w:val="00507A8A"/>
    <w:rsid w:val="0051036E"/>
    <w:rsid w:val="00511D22"/>
    <w:rsid w:val="00512A57"/>
    <w:rsid w:val="00512ED3"/>
    <w:rsid w:val="00513089"/>
    <w:rsid w:val="0051335D"/>
    <w:rsid w:val="00514E03"/>
    <w:rsid w:val="0051557F"/>
    <w:rsid w:val="00516992"/>
    <w:rsid w:val="00517E9C"/>
    <w:rsid w:val="00521540"/>
    <w:rsid w:val="00521A11"/>
    <w:rsid w:val="00521AE7"/>
    <w:rsid w:val="005241E2"/>
    <w:rsid w:val="005250D6"/>
    <w:rsid w:val="00525167"/>
    <w:rsid w:val="005314C1"/>
    <w:rsid w:val="00531B0C"/>
    <w:rsid w:val="0053253C"/>
    <w:rsid w:val="00533967"/>
    <w:rsid w:val="00534C01"/>
    <w:rsid w:val="0053685A"/>
    <w:rsid w:val="005429EA"/>
    <w:rsid w:val="00542ACF"/>
    <w:rsid w:val="00542FB4"/>
    <w:rsid w:val="0054446A"/>
    <w:rsid w:val="00545127"/>
    <w:rsid w:val="00546F90"/>
    <w:rsid w:val="005475A3"/>
    <w:rsid w:val="00550DF5"/>
    <w:rsid w:val="0055152E"/>
    <w:rsid w:val="00551728"/>
    <w:rsid w:val="00554B78"/>
    <w:rsid w:val="00554FC0"/>
    <w:rsid w:val="005551DF"/>
    <w:rsid w:val="0055626C"/>
    <w:rsid w:val="005562CE"/>
    <w:rsid w:val="00556411"/>
    <w:rsid w:val="005564A2"/>
    <w:rsid w:val="00557B17"/>
    <w:rsid w:val="00557B52"/>
    <w:rsid w:val="00561B27"/>
    <w:rsid w:val="005635D9"/>
    <w:rsid w:val="0056367A"/>
    <w:rsid w:val="00563FEA"/>
    <w:rsid w:val="0056466C"/>
    <w:rsid w:val="00565CF6"/>
    <w:rsid w:val="00565DC6"/>
    <w:rsid w:val="0056612B"/>
    <w:rsid w:val="0056706F"/>
    <w:rsid w:val="0056733D"/>
    <w:rsid w:val="005676A1"/>
    <w:rsid w:val="0056787E"/>
    <w:rsid w:val="00567E59"/>
    <w:rsid w:val="00572269"/>
    <w:rsid w:val="005722AC"/>
    <w:rsid w:val="00573BEE"/>
    <w:rsid w:val="00575536"/>
    <w:rsid w:val="00575C00"/>
    <w:rsid w:val="005767D6"/>
    <w:rsid w:val="00576DB4"/>
    <w:rsid w:val="00577315"/>
    <w:rsid w:val="005774A4"/>
    <w:rsid w:val="00580434"/>
    <w:rsid w:val="005814C9"/>
    <w:rsid w:val="005819E2"/>
    <w:rsid w:val="00583358"/>
    <w:rsid w:val="005847AB"/>
    <w:rsid w:val="00585039"/>
    <w:rsid w:val="005866BD"/>
    <w:rsid w:val="00586C54"/>
    <w:rsid w:val="0058711C"/>
    <w:rsid w:val="00587EC9"/>
    <w:rsid w:val="005903F3"/>
    <w:rsid w:val="0059263B"/>
    <w:rsid w:val="00594DAF"/>
    <w:rsid w:val="005957A0"/>
    <w:rsid w:val="005959CD"/>
    <w:rsid w:val="00596585"/>
    <w:rsid w:val="00597F86"/>
    <w:rsid w:val="005A03DE"/>
    <w:rsid w:val="005A0438"/>
    <w:rsid w:val="005A05D0"/>
    <w:rsid w:val="005A1D04"/>
    <w:rsid w:val="005A1F8C"/>
    <w:rsid w:val="005A24EB"/>
    <w:rsid w:val="005A253C"/>
    <w:rsid w:val="005A257D"/>
    <w:rsid w:val="005A3677"/>
    <w:rsid w:val="005A3DFC"/>
    <w:rsid w:val="005A45D1"/>
    <w:rsid w:val="005A518C"/>
    <w:rsid w:val="005A6725"/>
    <w:rsid w:val="005A673B"/>
    <w:rsid w:val="005B2555"/>
    <w:rsid w:val="005B442F"/>
    <w:rsid w:val="005C421D"/>
    <w:rsid w:val="005C4570"/>
    <w:rsid w:val="005C5B71"/>
    <w:rsid w:val="005C678E"/>
    <w:rsid w:val="005C682E"/>
    <w:rsid w:val="005C6937"/>
    <w:rsid w:val="005C70B1"/>
    <w:rsid w:val="005C77A7"/>
    <w:rsid w:val="005D00A3"/>
    <w:rsid w:val="005D0A1B"/>
    <w:rsid w:val="005D0DCD"/>
    <w:rsid w:val="005D2636"/>
    <w:rsid w:val="005D2958"/>
    <w:rsid w:val="005D4EE7"/>
    <w:rsid w:val="005D7827"/>
    <w:rsid w:val="005E1BAF"/>
    <w:rsid w:val="005E20C5"/>
    <w:rsid w:val="005E7BCA"/>
    <w:rsid w:val="005F04DE"/>
    <w:rsid w:val="005F07AD"/>
    <w:rsid w:val="005F0815"/>
    <w:rsid w:val="005F0D37"/>
    <w:rsid w:val="005F21DC"/>
    <w:rsid w:val="005F2AEE"/>
    <w:rsid w:val="005F4425"/>
    <w:rsid w:val="005F457F"/>
    <w:rsid w:val="005F46EF"/>
    <w:rsid w:val="00600C52"/>
    <w:rsid w:val="00601569"/>
    <w:rsid w:val="00601B39"/>
    <w:rsid w:val="00602A85"/>
    <w:rsid w:val="006032D7"/>
    <w:rsid w:val="00603FEB"/>
    <w:rsid w:val="006042AA"/>
    <w:rsid w:val="00606689"/>
    <w:rsid w:val="006066F1"/>
    <w:rsid w:val="00607426"/>
    <w:rsid w:val="00607709"/>
    <w:rsid w:val="00610E65"/>
    <w:rsid w:val="006120F2"/>
    <w:rsid w:val="006129DB"/>
    <w:rsid w:val="0061368B"/>
    <w:rsid w:val="00613D46"/>
    <w:rsid w:val="00613E61"/>
    <w:rsid w:val="006141F5"/>
    <w:rsid w:val="006143F8"/>
    <w:rsid w:val="00615267"/>
    <w:rsid w:val="00616E97"/>
    <w:rsid w:val="00617129"/>
    <w:rsid w:val="006203B6"/>
    <w:rsid w:val="00620828"/>
    <w:rsid w:val="006208BE"/>
    <w:rsid w:val="00620D46"/>
    <w:rsid w:val="00621E61"/>
    <w:rsid w:val="00622575"/>
    <w:rsid w:val="006237DD"/>
    <w:rsid w:val="00623853"/>
    <w:rsid w:val="006238E5"/>
    <w:rsid w:val="00624A65"/>
    <w:rsid w:val="00625230"/>
    <w:rsid w:val="00625A33"/>
    <w:rsid w:val="00625DCD"/>
    <w:rsid w:val="0062791C"/>
    <w:rsid w:val="00627DB7"/>
    <w:rsid w:val="00630C65"/>
    <w:rsid w:val="006315E5"/>
    <w:rsid w:val="006332C1"/>
    <w:rsid w:val="00633D28"/>
    <w:rsid w:val="00633E2E"/>
    <w:rsid w:val="0063442D"/>
    <w:rsid w:val="00635044"/>
    <w:rsid w:val="00635A5C"/>
    <w:rsid w:val="00637279"/>
    <w:rsid w:val="00637341"/>
    <w:rsid w:val="006413B1"/>
    <w:rsid w:val="00641420"/>
    <w:rsid w:val="006415C7"/>
    <w:rsid w:val="00641935"/>
    <w:rsid w:val="00646389"/>
    <w:rsid w:val="006465CB"/>
    <w:rsid w:val="00646F8B"/>
    <w:rsid w:val="006470BD"/>
    <w:rsid w:val="00647196"/>
    <w:rsid w:val="00651ED2"/>
    <w:rsid w:val="00653960"/>
    <w:rsid w:val="00657626"/>
    <w:rsid w:val="00657D9A"/>
    <w:rsid w:val="006600FF"/>
    <w:rsid w:val="0066128F"/>
    <w:rsid w:val="00661A73"/>
    <w:rsid w:val="00661F91"/>
    <w:rsid w:val="006625AA"/>
    <w:rsid w:val="00662F94"/>
    <w:rsid w:val="006635EB"/>
    <w:rsid w:val="00664C41"/>
    <w:rsid w:val="00665931"/>
    <w:rsid w:val="006661D3"/>
    <w:rsid w:val="00666F41"/>
    <w:rsid w:val="00670818"/>
    <w:rsid w:val="00670BAE"/>
    <w:rsid w:val="00670D4A"/>
    <w:rsid w:val="00672802"/>
    <w:rsid w:val="006737A2"/>
    <w:rsid w:val="00674AE5"/>
    <w:rsid w:val="00675A08"/>
    <w:rsid w:val="00676DF2"/>
    <w:rsid w:val="00677CCC"/>
    <w:rsid w:val="00683F74"/>
    <w:rsid w:val="0068417F"/>
    <w:rsid w:val="006841A9"/>
    <w:rsid w:val="00686CA9"/>
    <w:rsid w:val="006874E9"/>
    <w:rsid w:val="006877B1"/>
    <w:rsid w:val="006879C7"/>
    <w:rsid w:val="0069174F"/>
    <w:rsid w:val="006923DA"/>
    <w:rsid w:val="00693F1E"/>
    <w:rsid w:val="00694EA7"/>
    <w:rsid w:val="00695607"/>
    <w:rsid w:val="006959C3"/>
    <w:rsid w:val="00696309"/>
    <w:rsid w:val="0069654D"/>
    <w:rsid w:val="00697C97"/>
    <w:rsid w:val="006A00CC"/>
    <w:rsid w:val="006A0B72"/>
    <w:rsid w:val="006A1130"/>
    <w:rsid w:val="006A1B3C"/>
    <w:rsid w:val="006A1CAA"/>
    <w:rsid w:val="006A2B9C"/>
    <w:rsid w:val="006A435C"/>
    <w:rsid w:val="006A4851"/>
    <w:rsid w:val="006A5E3B"/>
    <w:rsid w:val="006A64DA"/>
    <w:rsid w:val="006A7D0A"/>
    <w:rsid w:val="006B22A5"/>
    <w:rsid w:val="006B2934"/>
    <w:rsid w:val="006B45C3"/>
    <w:rsid w:val="006B590A"/>
    <w:rsid w:val="006B5928"/>
    <w:rsid w:val="006B59FC"/>
    <w:rsid w:val="006B69DE"/>
    <w:rsid w:val="006B6AC0"/>
    <w:rsid w:val="006B6FC0"/>
    <w:rsid w:val="006C022B"/>
    <w:rsid w:val="006C11E5"/>
    <w:rsid w:val="006C1C54"/>
    <w:rsid w:val="006C3B20"/>
    <w:rsid w:val="006C56A4"/>
    <w:rsid w:val="006C63D4"/>
    <w:rsid w:val="006C772C"/>
    <w:rsid w:val="006D1278"/>
    <w:rsid w:val="006D1DD6"/>
    <w:rsid w:val="006D2FF8"/>
    <w:rsid w:val="006D3096"/>
    <w:rsid w:val="006D435E"/>
    <w:rsid w:val="006D64A0"/>
    <w:rsid w:val="006E009B"/>
    <w:rsid w:val="006E0FC0"/>
    <w:rsid w:val="006E12BF"/>
    <w:rsid w:val="006E28C6"/>
    <w:rsid w:val="006E354E"/>
    <w:rsid w:val="006E49D3"/>
    <w:rsid w:val="006E4B36"/>
    <w:rsid w:val="006E59D1"/>
    <w:rsid w:val="006E6570"/>
    <w:rsid w:val="006E6E4D"/>
    <w:rsid w:val="006E6EE1"/>
    <w:rsid w:val="006E7379"/>
    <w:rsid w:val="006F0BA7"/>
    <w:rsid w:val="006F173B"/>
    <w:rsid w:val="006F1763"/>
    <w:rsid w:val="006F1898"/>
    <w:rsid w:val="006F1A30"/>
    <w:rsid w:val="006F1FD0"/>
    <w:rsid w:val="006F27EF"/>
    <w:rsid w:val="006F336B"/>
    <w:rsid w:val="006F4092"/>
    <w:rsid w:val="006F4243"/>
    <w:rsid w:val="006F45D3"/>
    <w:rsid w:val="006F46B2"/>
    <w:rsid w:val="006F4899"/>
    <w:rsid w:val="006F5606"/>
    <w:rsid w:val="006F61C4"/>
    <w:rsid w:val="0070025E"/>
    <w:rsid w:val="007008E9"/>
    <w:rsid w:val="007009BD"/>
    <w:rsid w:val="00700CAA"/>
    <w:rsid w:val="00701428"/>
    <w:rsid w:val="007028A8"/>
    <w:rsid w:val="00705AA5"/>
    <w:rsid w:val="00705B48"/>
    <w:rsid w:val="0070644E"/>
    <w:rsid w:val="00710825"/>
    <w:rsid w:val="0071188A"/>
    <w:rsid w:val="007118A6"/>
    <w:rsid w:val="00711B4D"/>
    <w:rsid w:val="00711F51"/>
    <w:rsid w:val="007126AC"/>
    <w:rsid w:val="00713F42"/>
    <w:rsid w:val="00714273"/>
    <w:rsid w:val="00716BB8"/>
    <w:rsid w:val="00717450"/>
    <w:rsid w:val="00720DB7"/>
    <w:rsid w:val="00721204"/>
    <w:rsid w:val="007215D8"/>
    <w:rsid w:val="00721D71"/>
    <w:rsid w:val="00722778"/>
    <w:rsid w:val="00722F1D"/>
    <w:rsid w:val="007232D6"/>
    <w:rsid w:val="00726809"/>
    <w:rsid w:val="0073103A"/>
    <w:rsid w:val="00732DB8"/>
    <w:rsid w:val="007331E7"/>
    <w:rsid w:val="00735C86"/>
    <w:rsid w:val="00736871"/>
    <w:rsid w:val="00736AAE"/>
    <w:rsid w:val="00740519"/>
    <w:rsid w:val="00740D41"/>
    <w:rsid w:val="00740EBA"/>
    <w:rsid w:val="00741F38"/>
    <w:rsid w:val="00743D8A"/>
    <w:rsid w:val="00745407"/>
    <w:rsid w:val="0074602C"/>
    <w:rsid w:val="00746051"/>
    <w:rsid w:val="00746DCD"/>
    <w:rsid w:val="00747B7E"/>
    <w:rsid w:val="00750457"/>
    <w:rsid w:val="00750B4B"/>
    <w:rsid w:val="0075120D"/>
    <w:rsid w:val="00751A79"/>
    <w:rsid w:val="00752351"/>
    <w:rsid w:val="00752818"/>
    <w:rsid w:val="00752BF5"/>
    <w:rsid w:val="00752F8A"/>
    <w:rsid w:val="00754A64"/>
    <w:rsid w:val="00755943"/>
    <w:rsid w:val="00757293"/>
    <w:rsid w:val="0076314C"/>
    <w:rsid w:val="007649B6"/>
    <w:rsid w:val="007652CA"/>
    <w:rsid w:val="00770704"/>
    <w:rsid w:val="007714E7"/>
    <w:rsid w:val="007719BC"/>
    <w:rsid w:val="00771CBE"/>
    <w:rsid w:val="00772CA3"/>
    <w:rsid w:val="00772D1D"/>
    <w:rsid w:val="007732AE"/>
    <w:rsid w:val="00773607"/>
    <w:rsid w:val="00773FDA"/>
    <w:rsid w:val="007753F1"/>
    <w:rsid w:val="00775DB1"/>
    <w:rsid w:val="007768D9"/>
    <w:rsid w:val="00776E05"/>
    <w:rsid w:val="007771E2"/>
    <w:rsid w:val="00777821"/>
    <w:rsid w:val="00777BCA"/>
    <w:rsid w:val="00780130"/>
    <w:rsid w:val="00780588"/>
    <w:rsid w:val="00781518"/>
    <w:rsid w:val="00781C74"/>
    <w:rsid w:val="00785C0B"/>
    <w:rsid w:val="00787C86"/>
    <w:rsid w:val="00791495"/>
    <w:rsid w:val="00792F5B"/>
    <w:rsid w:val="007964D1"/>
    <w:rsid w:val="00797019"/>
    <w:rsid w:val="0079725B"/>
    <w:rsid w:val="007A11CC"/>
    <w:rsid w:val="007A18DC"/>
    <w:rsid w:val="007A1B29"/>
    <w:rsid w:val="007A2BF2"/>
    <w:rsid w:val="007A3A7A"/>
    <w:rsid w:val="007A4440"/>
    <w:rsid w:val="007A459C"/>
    <w:rsid w:val="007A47DB"/>
    <w:rsid w:val="007A52C1"/>
    <w:rsid w:val="007A5EF1"/>
    <w:rsid w:val="007A684C"/>
    <w:rsid w:val="007A6F77"/>
    <w:rsid w:val="007A79D1"/>
    <w:rsid w:val="007B092F"/>
    <w:rsid w:val="007B0A38"/>
    <w:rsid w:val="007B0A6E"/>
    <w:rsid w:val="007B2324"/>
    <w:rsid w:val="007B2DA5"/>
    <w:rsid w:val="007B550D"/>
    <w:rsid w:val="007B5511"/>
    <w:rsid w:val="007B7F8B"/>
    <w:rsid w:val="007C1AAD"/>
    <w:rsid w:val="007C1EAA"/>
    <w:rsid w:val="007C2B73"/>
    <w:rsid w:val="007C2D84"/>
    <w:rsid w:val="007C3979"/>
    <w:rsid w:val="007C411F"/>
    <w:rsid w:val="007C4764"/>
    <w:rsid w:val="007C53B2"/>
    <w:rsid w:val="007C56A3"/>
    <w:rsid w:val="007C5E57"/>
    <w:rsid w:val="007C62E9"/>
    <w:rsid w:val="007C663D"/>
    <w:rsid w:val="007C75B0"/>
    <w:rsid w:val="007D0157"/>
    <w:rsid w:val="007D1305"/>
    <w:rsid w:val="007D244E"/>
    <w:rsid w:val="007D2490"/>
    <w:rsid w:val="007D2F76"/>
    <w:rsid w:val="007D3BC1"/>
    <w:rsid w:val="007D4FE6"/>
    <w:rsid w:val="007D5012"/>
    <w:rsid w:val="007D5B5F"/>
    <w:rsid w:val="007D609B"/>
    <w:rsid w:val="007D60C7"/>
    <w:rsid w:val="007D6D84"/>
    <w:rsid w:val="007E084C"/>
    <w:rsid w:val="007E08CA"/>
    <w:rsid w:val="007E1FCC"/>
    <w:rsid w:val="007E4049"/>
    <w:rsid w:val="007E4551"/>
    <w:rsid w:val="007E558D"/>
    <w:rsid w:val="007E6919"/>
    <w:rsid w:val="007E6995"/>
    <w:rsid w:val="007E7A14"/>
    <w:rsid w:val="007E7F17"/>
    <w:rsid w:val="007F0858"/>
    <w:rsid w:val="007F0D4D"/>
    <w:rsid w:val="007F0DEE"/>
    <w:rsid w:val="007F154A"/>
    <w:rsid w:val="007F283A"/>
    <w:rsid w:val="007F314F"/>
    <w:rsid w:val="007F44F9"/>
    <w:rsid w:val="007F5E7E"/>
    <w:rsid w:val="007F74B0"/>
    <w:rsid w:val="007F74F1"/>
    <w:rsid w:val="007F7DEC"/>
    <w:rsid w:val="00800702"/>
    <w:rsid w:val="00801A4D"/>
    <w:rsid w:val="00802869"/>
    <w:rsid w:val="0080308D"/>
    <w:rsid w:val="008030EC"/>
    <w:rsid w:val="00803DC7"/>
    <w:rsid w:val="008053AF"/>
    <w:rsid w:val="008053E3"/>
    <w:rsid w:val="0080632F"/>
    <w:rsid w:val="008073C0"/>
    <w:rsid w:val="0080757C"/>
    <w:rsid w:val="00807F8F"/>
    <w:rsid w:val="00810120"/>
    <w:rsid w:val="00810229"/>
    <w:rsid w:val="0081298F"/>
    <w:rsid w:val="00812D14"/>
    <w:rsid w:val="00813F56"/>
    <w:rsid w:val="008178DC"/>
    <w:rsid w:val="00817A10"/>
    <w:rsid w:val="00817B86"/>
    <w:rsid w:val="008201DF"/>
    <w:rsid w:val="00820766"/>
    <w:rsid w:val="00820A72"/>
    <w:rsid w:val="00820BEF"/>
    <w:rsid w:val="0082197F"/>
    <w:rsid w:val="008219E0"/>
    <w:rsid w:val="0082628F"/>
    <w:rsid w:val="00831A15"/>
    <w:rsid w:val="00833262"/>
    <w:rsid w:val="008338F6"/>
    <w:rsid w:val="00834DBA"/>
    <w:rsid w:val="0083517F"/>
    <w:rsid w:val="008353C7"/>
    <w:rsid w:val="00835A76"/>
    <w:rsid w:val="00835CA0"/>
    <w:rsid w:val="008362C1"/>
    <w:rsid w:val="0084099E"/>
    <w:rsid w:val="00840BDD"/>
    <w:rsid w:val="008415ED"/>
    <w:rsid w:val="00841B3D"/>
    <w:rsid w:val="00842265"/>
    <w:rsid w:val="0084277D"/>
    <w:rsid w:val="008434D1"/>
    <w:rsid w:val="008437D6"/>
    <w:rsid w:val="00843C20"/>
    <w:rsid w:val="00843D07"/>
    <w:rsid w:val="00845046"/>
    <w:rsid w:val="00845350"/>
    <w:rsid w:val="00845534"/>
    <w:rsid w:val="00845759"/>
    <w:rsid w:val="00846EA3"/>
    <w:rsid w:val="008476E8"/>
    <w:rsid w:val="008502E8"/>
    <w:rsid w:val="00851CAF"/>
    <w:rsid w:val="00853A5E"/>
    <w:rsid w:val="00854743"/>
    <w:rsid w:val="008553AF"/>
    <w:rsid w:val="00855E37"/>
    <w:rsid w:val="00855F71"/>
    <w:rsid w:val="00860811"/>
    <w:rsid w:val="008614EC"/>
    <w:rsid w:val="00861FBE"/>
    <w:rsid w:val="0086265B"/>
    <w:rsid w:val="00863C12"/>
    <w:rsid w:val="00863D15"/>
    <w:rsid w:val="008649D0"/>
    <w:rsid w:val="00865E60"/>
    <w:rsid w:val="008663EF"/>
    <w:rsid w:val="00870472"/>
    <w:rsid w:val="0087290B"/>
    <w:rsid w:val="008740F1"/>
    <w:rsid w:val="00875B84"/>
    <w:rsid w:val="008765C7"/>
    <w:rsid w:val="0087664A"/>
    <w:rsid w:val="0087688F"/>
    <w:rsid w:val="00876FBC"/>
    <w:rsid w:val="0087775D"/>
    <w:rsid w:val="0087775E"/>
    <w:rsid w:val="00877DD1"/>
    <w:rsid w:val="0088003F"/>
    <w:rsid w:val="00880132"/>
    <w:rsid w:val="008804FB"/>
    <w:rsid w:val="00880C6A"/>
    <w:rsid w:val="00880EAC"/>
    <w:rsid w:val="00881769"/>
    <w:rsid w:val="00884CF2"/>
    <w:rsid w:val="0088515E"/>
    <w:rsid w:val="008854AC"/>
    <w:rsid w:val="00885C5A"/>
    <w:rsid w:val="00887148"/>
    <w:rsid w:val="00887792"/>
    <w:rsid w:val="00887B01"/>
    <w:rsid w:val="00890B51"/>
    <w:rsid w:val="0089336A"/>
    <w:rsid w:val="00894748"/>
    <w:rsid w:val="00897818"/>
    <w:rsid w:val="008A10CD"/>
    <w:rsid w:val="008A1207"/>
    <w:rsid w:val="008A1919"/>
    <w:rsid w:val="008A1A7A"/>
    <w:rsid w:val="008A2683"/>
    <w:rsid w:val="008A3C7A"/>
    <w:rsid w:val="008A55F6"/>
    <w:rsid w:val="008A5F54"/>
    <w:rsid w:val="008A5F5C"/>
    <w:rsid w:val="008A60E6"/>
    <w:rsid w:val="008A69A2"/>
    <w:rsid w:val="008A6BBE"/>
    <w:rsid w:val="008A6F52"/>
    <w:rsid w:val="008A7875"/>
    <w:rsid w:val="008A7D8E"/>
    <w:rsid w:val="008A7E5C"/>
    <w:rsid w:val="008A7EF5"/>
    <w:rsid w:val="008B0CB1"/>
    <w:rsid w:val="008B1F2A"/>
    <w:rsid w:val="008B1F86"/>
    <w:rsid w:val="008B23A0"/>
    <w:rsid w:val="008B2737"/>
    <w:rsid w:val="008B2E1C"/>
    <w:rsid w:val="008B2E6C"/>
    <w:rsid w:val="008B3DB2"/>
    <w:rsid w:val="008B584F"/>
    <w:rsid w:val="008B6407"/>
    <w:rsid w:val="008B7D52"/>
    <w:rsid w:val="008C07E6"/>
    <w:rsid w:val="008C0B3C"/>
    <w:rsid w:val="008C1787"/>
    <w:rsid w:val="008C1AFE"/>
    <w:rsid w:val="008C4C5C"/>
    <w:rsid w:val="008C4DFF"/>
    <w:rsid w:val="008C5D97"/>
    <w:rsid w:val="008C5DE2"/>
    <w:rsid w:val="008C5F8D"/>
    <w:rsid w:val="008D012E"/>
    <w:rsid w:val="008D0B99"/>
    <w:rsid w:val="008D0C46"/>
    <w:rsid w:val="008D0E70"/>
    <w:rsid w:val="008D16AA"/>
    <w:rsid w:val="008D1701"/>
    <w:rsid w:val="008D324A"/>
    <w:rsid w:val="008D353D"/>
    <w:rsid w:val="008D4D15"/>
    <w:rsid w:val="008E0695"/>
    <w:rsid w:val="008E0D6B"/>
    <w:rsid w:val="008E1340"/>
    <w:rsid w:val="008E2E0A"/>
    <w:rsid w:val="008E6942"/>
    <w:rsid w:val="008E6CAA"/>
    <w:rsid w:val="008F057C"/>
    <w:rsid w:val="008F0B84"/>
    <w:rsid w:val="008F0F98"/>
    <w:rsid w:val="008F15D1"/>
    <w:rsid w:val="008F1697"/>
    <w:rsid w:val="008F1E98"/>
    <w:rsid w:val="008F2D30"/>
    <w:rsid w:val="008F2F07"/>
    <w:rsid w:val="008F4921"/>
    <w:rsid w:val="008F4F76"/>
    <w:rsid w:val="008F5F9B"/>
    <w:rsid w:val="008F609A"/>
    <w:rsid w:val="008F64EA"/>
    <w:rsid w:val="008F6D79"/>
    <w:rsid w:val="008F73C1"/>
    <w:rsid w:val="00902157"/>
    <w:rsid w:val="009053B6"/>
    <w:rsid w:val="009062AD"/>
    <w:rsid w:val="0090754C"/>
    <w:rsid w:val="00910B0F"/>
    <w:rsid w:val="00911A7E"/>
    <w:rsid w:val="00911E27"/>
    <w:rsid w:val="00912930"/>
    <w:rsid w:val="0091423A"/>
    <w:rsid w:val="009149FA"/>
    <w:rsid w:val="00914D63"/>
    <w:rsid w:val="00915131"/>
    <w:rsid w:val="009160A1"/>
    <w:rsid w:val="009168A9"/>
    <w:rsid w:val="00917769"/>
    <w:rsid w:val="00921483"/>
    <w:rsid w:val="00921847"/>
    <w:rsid w:val="00922B52"/>
    <w:rsid w:val="009234E0"/>
    <w:rsid w:val="0092688E"/>
    <w:rsid w:val="0092784F"/>
    <w:rsid w:val="00927EE7"/>
    <w:rsid w:val="00931700"/>
    <w:rsid w:val="009322DC"/>
    <w:rsid w:val="00933150"/>
    <w:rsid w:val="0093316F"/>
    <w:rsid w:val="00940147"/>
    <w:rsid w:val="009414C8"/>
    <w:rsid w:val="00941A7E"/>
    <w:rsid w:val="00942A3C"/>
    <w:rsid w:val="00944802"/>
    <w:rsid w:val="00944C88"/>
    <w:rsid w:val="009450CA"/>
    <w:rsid w:val="00945198"/>
    <w:rsid w:val="009453B5"/>
    <w:rsid w:val="00946444"/>
    <w:rsid w:val="00946E1A"/>
    <w:rsid w:val="0094730C"/>
    <w:rsid w:val="00950721"/>
    <w:rsid w:val="00951A01"/>
    <w:rsid w:val="00952048"/>
    <w:rsid w:val="0095438F"/>
    <w:rsid w:val="009551C6"/>
    <w:rsid w:val="00955231"/>
    <w:rsid w:val="00956E7B"/>
    <w:rsid w:val="009572A8"/>
    <w:rsid w:val="00960E7B"/>
    <w:rsid w:val="00961243"/>
    <w:rsid w:val="009635DB"/>
    <w:rsid w:val="00963B6B"/>
    <w:rsid w:val="009647C6"/>
    <w:rsid w:val="0096542E"/>
    <w:rsid w:val="00965698"/>
    <w:rsid w:val="00965D06"/>
    <w:rsid w:val="00965D76"/>
    <w:rsid w:val="00965F76"/>
    <w:rsid w:val="00970D8A"/>
    <w:rsid w:val="0097164A"/>
    <w:rsid w:val="00971C79"/>
    <w:rsid w:val="00971E21"/>
    <w:rsid w:val="009720A6"/>
    <w:rsid w:val="009723D6"/>
    <w:rsid w:val="00976981"/>
    <w:rsid w:val="00977728"/>
    <w:rsid w:val="0097773A"/>
    <w:rsid w:val="009778C4"/>
    <w:rsid w:val="00977C29"/>
    <w:rsid w:val="00980722"/>
    <w:rsid w:val="00981019"/>
    <w:rsid w:val="00981385"/>
    <w:rsid w:val="00984B65"/>
    <w:rsid w:val="00984C0F"/>
    <w:rsid w:val="00984F81"/>
    <w:rsid w:val="009852C7"/>
    <w:rsid w:val="00990009"/>
    <w:rsid w:val="009922AA"/>
    <w:rsid w:val="00992D27"/>
    <w:rsid w:val="009937F5"/>
    <w:rsid w:val="009938A2"/>
    <w:rsid w:val="00996262"/>
    <w:rsid w:val="00996318"/>
    <w:rsid w:val="00996EA7"/>
    <w:rsid w:val="0099743A"/>
    <w:rsid w:val="009A19E1"/>
    <w:rsid w:val="009A1A29"/>
    <w:rsid w:val="009A260F"/>
    <w:rsid w:val="009A3D75"/>
    <w:rsid w:val="009A5446"/>
    <w:rsid w:val="009A545D"/>
    <w:rsid w:val="009A7AE3"/>
    <w:rsid w:val="009B05E6"/>
    <w:rsid w:val="009B232A"/>
    <w:rsid w:val="009B2BF0"/>
    <w:rsid w:val="009B318A"/>
    <w:rsid w:val="009B4082"/>
    <w:rsid w:val="009B5280"/>
    <w:rsid w:val="009B5837"/>
    <w:rsid w:val="009C019D"/>
    <w:rsid w:val="009C0CA0"/>
    <w:rsid w:val="009C1A4F"/>
    <w:rsid w:val="009C2825"/>
    <w:rsid w:val="009C2E24"/>
    <w:rsid w:val="009C69FA"/>
    <w:rsid w:val="009C6D25"/>
    <w:rsid w:val="009D0952"/>
    <w:rsid w:val="009D0B12"/>
    <w:rsid w:val="009D0BDD"/>
    <w:rsid w:val="009D0F69"/>
    <w:rsid w:val="009D1BF9"/>
    <w:rsid w:val="009D2DC1"/>
    <w:rsid w:val="009D4D46"/>
    <w:rsid w:val="009D63E1"/>
    <w:rsid w:val="009E02EB"/>
    <w:rsid w:val="009E0C46"/>
    <w:rsid w:val="009E1219"/>
    <w:rsid w:val="009E4A49"/>
    <w:rsid w:val="009E5ED1"/>
    <w:rsid w:val="009E735D"/>
    <w:rsid w:val="009F1067"/>
    <w:rsid w:val="009F1AA4"/>
    <w:rsid w:val="009F38AE"/>
    <w:rsid w:val="009F699C"/>
    <w:rsid w:val="009F69BC"/>
    <w:rsid w:val="009F6C52"/>
    <w:rsid w:val="009F78EC"/>
    <w:rsid w:val="009F7BD9"/>
    <w:rsid w:val="00A00C58"/>
    <w:rsid w:val="00A00FB4"/>
    <w:rsid w:val="00A02407"/>
    <w:rsid w:val="00A02F62"/>
    <w:rsid w:val="00A04605"/>
    <w:rsid w:val="00A049B5"/>
    <w:rsid w:val="00A04D5D"/>
    <w:rsid w:val="00A05894"/>
    <w:rsid w:val="00A05AC8"/>
    <w:rsid w:val="00A06953"/>
    <w:rsid w:val="00A06EE5"/>
    <w:rsid w:val="00A073B6"/>
    <w:rsid w:val="00A07A96"/>
    <w:rsid w:val="00A10689"/>
    <w:rsid w:val="00A11021"/>
    <w:rsid w:val="00A117E9"/>
    <w:rsid w:val="00A11C85"/>
    <w:rsid w:val="00A158FF"/>
    <w:rsid w:val="00A16AC4"/>
    <w:rsid w:val="00A1756B"/>
    <w:rsid w:val="00A204F8"/>
    <w:rsid w:val="00A20543"/>
    <w:rsid w:val="00A20DD0"/>
    <w:rsid w:val="00A26C2E"/>
    <w:rsid w:val="00A27FA1"/>
    <w:rsid w:val="00A3091F"/>
    <w:rsid w:val="00A30E64"/>
    <w:rsid w:val="00A3228F"/>
    <w:rsid w:val="00A32A45"/>
    <w:rsid w:val="00A33572"/>
    <w:rsid w:val="00A337B7"/>
    <w:rsid w:val="00A33BD6"/>
    <w:rsid w:val="00A33E59"/>
    <w:rsid w:val="00A3415B"/>
    <w:rsid w:val="00A34518"/>
    <w:rsid w:val="00A35CD2"/>
    <w:rsid w:val="00A36D0D"/>
    <w:rsid w:val="00A36D7A"/>
    <w:rsid w:val="00A4074C"/>
    <w:rsid w:val="00A43734"/>
    <w:rsid w:val="00A440D9"/>
    <w:rsid w:val="00A447CE"/>
    <w:rsid w:val="00A44A35"/>
    <w:rsid w:val="00A4747A"/>
    <w:rsid w:val="00A474C8"/>
    <w:rsid w:val="00A50902"/>
    <w:rsid w:val="00A51539"/>
    <w:rsid w:val="00A53433"/>
    <w:rsid w:val="00A537D7"/>
    <w:rsid w:val="00A551BE"/>
    <w:rsid w:val="00A552AF"/>
    <w:rsid w:val="00A55E6D"/>
    <w:rsid w:val="00A56F7A"/>
    <w:rsid w:val="00A60C78"/>
    <w:rsid w:val="00A6207A"/>
    <w:rsid w:val="00A627AF"/>
    <w:rsid w:val="00A65500"/>
    <w:rsid w:val="00A6658F"/>
    <w:rsid w:val="00A6659D"/>
    <w:rsid w:val="00A702B9"/>
    <w:rsid w:val="00A712C5"/>
    <w:rsid w:val="00A71BA0"/>
    <w:rsid w:val="00A71C84"/>
    <w:rsid w:val="00A72946"/>
    <w:rsid w:val="00A736A6"/>
    <w:rsid w:val="00A74120"/>
    <w:rsid w:val="00A75599"/>
    <w:rsid w:val="00A77105"/>
    <w:rsid w:val="00A801F9"/>
    <w:rsid w:val="00A807BE"/>
    <w:rsid w:val="00A80E27"/>
    <w:rsid w:val="00A813A1"/>
    <w:rsid w:val="00A814D6"/>
    <w:rsid w:val="00A81A82"/>
    <w:rsid w:val="00A82484"/>
    <w:rsid w:val="00A82CDF"/>
    <w:rsid w:val="00A83E59"/>
    <w:rsid w:val="00A86DE0"/>
    <w:rsid w:val="00A922C4"/>
    <w:rsid w:val="00A93008"/>
    <w:rsid w:val="00A937C8"/>
    <w:rsid w:val="00A96363"/>
    <w:rsid w:val="00A968E6"/>
    <w:rsid w:val="00A96D9A"/>
    <w:rsid w:val="00A97631"/>
    <w:rsid w:val="00AA0004"/>
    <w:rsid w:val="00AA17CD"/>
    <w:rsid w:val="00AA4832"/>
    <w:rsid w:val="00AA5832"/>
    <w:rsid w:val="00AA7911"/>
    <w:rsid w:val="00AB081F"/>
    <w:rsid w:val="00AB097D"/>
    <w:rsid w:val="00AB117F"/>
    <w:rsid w:val="00AB2970"/>
    <w:rsid w:val="00AB2C6B"/>
    <w:rsid w:val="00AB4CC3"/>
    <w:rsid w:val="00AB5C79"/>
    <w:rsid w:val="00AB6A52"/>
    <w:rsid w:val="00AC06F1"/>
    <w:rsid w:val="00AC123C"/>
    <w:rsid w:val="00AC36A9"/>
    <w:rsid w:val="00AC37BC"/>
    <w:rsid w:val="00AC4E77"/>
    <w:rsid w:val="00AC591D"/>
    <w:rsid w:val="00AC6612"/>
    <w:rsid w:val="00AC76DC"/>
    <w:rsid w:val="00AC7C63"/>
    <w:rsid w:val="00AC7F85"/>
    <w:rsid w:val="00AD1C2F"/>
    <w:rsid w:val="00AD2359"/>
    <w:rsid w:val="00AD24E6"/>
    <w:rsid w:val="00AD3C05"/>
    <w:rsid w:val="00AD411F"/>
    <w:rsid w:val="00AD5A24"/>
    <w:rsid w:val="00AD623D"/>
    <w:rsid w:val="00AD75B0"/>
    <w:rsid w:val="00AE092A"/>
    <w:rsid w:val="00AE13B7"/>
    <w:rsid w:val="00AE1BE1"/>
    <w:rsid w:val="00AE2516"/>
    <w:rsid w:val="00AE41CF"/>
    <w:rsid w:val="00AE5E45"/>
    <w:rsid w:val="00AE6A84"/>
    <w:rsid w:val="00AF092B"/>
    <w:rsid w:val="00AF41B1"/>
    <w:rsid w:val="00AF5B1E"/>
    <w:rsid w:val="00AF5D49"/>
    <w:rsid w:val="00AF75EB"/>
    <w:rsid w:val="00AF76C9"/>
    <w:rsid w:val="00B00159"/>
    <w:rsid w:val="00B00341"/>
    <w:rsid w:val="00B0081C"/>
    <w:rsid w:val="00B009A7"/>
    <w:rsid w:val="00B01EF0"/>
    <w:rsid w:val="00B02FFE"/>
    <w:rsid w:val="00B03234"/>
    <w:rsid w:val="00B03BC2"/>
    <w:rsid w:val="00B045AB"/>
    <w:rsid w:val="00B05C00"/>
    <w:rsid w:val="00B06487"/>
    <w:rsid w:val="00B075EE"/>
    <w:rsid w:val="00B07B70"/>
    <w:rsid w:val="00B1050E"/>
    <w:rsid w:val="00B1524B"/>
    <w:rsid w:val="00B156DC"/>
    <w:rsid w:val="00B16EEB"/>
    <w:rsid w:val="00B1748A"/>
    <w:rsid w:val="00B17B95"/>
    <w:rsid w:val="00B212F3"/>
    <w:rsid w:val="00B219D6"/>
    <w:rsid w:val="00B21FE7"/>
    <w:rsid w:val="00B22AEA"/>
    <w:rsid w:val="00B238C0"/>
    <w:rsid w:val="00B24A19"/>
    <w:rsid w:val="00B27186"/>
    <w:rsid w:val="00B31039"/>
    <w:rsid w:val="00B31661"/>
    <w:rsid w:val="00B31E97"/>
    <w:rsid w:val="00B3202D"/>
    <w:rsid w:val="00B339F5"/>
    <w:rsid w:val="00B34F52"/>
    <w:rsid w:val="00B35DEE"/>
    <w:rsid w:val="00B35E2C"/>
    <w:rsid w:val="00B36BBC"/>
    <w:rsid w:val="00B36ED5"/>
    <w:rsid w:val="00B376FD"/>
    <w:rsid w:val="00B41A1D"/>
    <w:rsid w:val="00B42C24"/>
    <w:rsid w:val="00B449DA"/>
    <w:rsid w:val="00B44B9C"/>
    <w:rsid w:val="00B44C6A"/>
    <w:rsid w:val="00B44FC3"/>
    <w:rsid w:val="00B47980"/>
    <w:rsid w:val="00B5136B"/>
    <w:rsid w:val="00B5221B"/>
    <w:rsid w:val="00B525FC"/>
    <w:rsid w:val="00B52EC3"/>
    <w:rsid w:val="00B5480C"/>
    <w:rsid w:val="00B54819"/>
    <w:rsid w:val="00B55D51"/>
    <w:rsid w:val="00B56E5D"/>
    <w:rsid w:val="00B60638"/>
    <w:rsid w:val="00B61921"/>
    <w:rsid w:val="00B61A73"/>
    <w:rsid w:val="00B622C3"/>
    <w:rsid w:val="00B6316A"/>
    <w:rsid w:val="00B632EE"/>
    <w:rsid w:val="00B642BC"/>
    <w:rsid w:val="00B65F19"/>
    <w:rsid w:val="00B71AAC"/>
    <w:rsid w:val="00B721A4"/>
    <w:rsid w:val="00B7321B"/>
    <w:rsid w:val="00B73598"/>
    <w:rsid w:val="00B73DAA"/>
    <w:rsid w:val="00B74117"/>
    <w:rsid w:val="00B74529"/>
    <w:rsid w:val="00B746DB"/>
    <w:rsid w:val="00B757C3"/>
    <w:rsid w:val="00B75A53"/>
    <w:rsid w:val="00B7646D"/>
    <w:rsid w:val="00B76F04"/>
    <w:rsid w:val="00B775F1"/>
    <w:rsid w:val="00B77694"/>
    <w:rsid w:val="00B779EB"/>
    <w:rsid w:val="00B80DB8"/>
    <w:rsid w:val="00B82504"/>
    <w:rsid w:val="00B82717"/>
    <w:rsid w:val="00B86901"/>
    <w:rsid w:val="00B912BE"/>
    <w:rsid w:val="00B916E3"/>
    <w:rsid w:val="00B954F2"/>
    <w:rsid w:val="00B9569D"/>
    <w:rsid w:val="00B95C76"/>
    <w:rsid w:val="00B95ED3"/>
    <w:rsid w:val="00B96094"/>
    <w:rsid w:val="00B96B89"/>
    <w:rsid w:val="00BA05C6"/>
    <w:rsid w:val="00BA1A40"/>
    <w:rsid w:val="00BA22B9"/>
    <w:rsid w:val="00BA4498"/>
    <w:rsid w:val="00BA4892"/>
    <w:rsid w:val="00BA5786"/>
    <w:rsid w:val="00BA5DAF"/>
    <w:rsid w:val="00BA733C"/>
    <w:rsid w:val="00BA79E9"/>
    <w:rsid w:val="00BB1590"/>
    <w:rsid w:val="00BB1BEC"/>
    <w:rsid w:val="00BB4940"/>
    <w:rsid w:val="00BB4A16"/>
    <w:rsid w:val="00BB54D1"/>
    <w:rsid w:val="00BB6291"/>
    <w:rsid w:val="00BB6583"/>
    <w:rsid w:val="00BB6F5A"/>
    <w:rsid w:val="00BB7605"/>
    <w:rsid w:val="00BC06DA"/>
    <w:rsid w:val="00BC11E8"/>
    <w:rsid w:val="00BC2226"/>
    <w:rsid w:val="00BC26A6"/>
    <w:rsid w:val="00BC27FF"/>
    <w:rsid w:val="00BC29C3"/>
    <w:rsid w:val="00BC4384"/>
    <w:rsid w:val="00BC4661"/>
    <w:rsid w:val="00BC4795"/>
    <w:rsid w:val="00BC4BFA"/>
    <w:rsid w:val="00BC4CFC"/>
    <w:rsid w:val="00BC548F"/>
    <w:rsid w:val="00BC5663"/>
    <w:rsid w:val="00BC57E5"/>
    <w:rsid w:val="00BC681D"/>
    <w:rsid w:val="00BC6DFD"/>
    <w:rsid w:val="00BC70D7"/>
    <w:rsid w:val="00BC7B9E"/>
    <w:rsid w:val="00BD0E13"/>
    <w:rsid w:val="00BD4593"/>
    <w:rsid w:val="00BD5C8C"/>
    <w:rsid w:val="00BD5D99"/>
    <w:rsid w:val="00BD6372"/>
    <w:rsid w:val="00BD685D"/>
    <w:rsid w:val="00BD6D30"/>
    <w:rsid w:val="00BE069A"/>
    <w:rsid w:val="00BE13EB"/>
    <w:rsid w:val="00BE1BA9"/>
    <w:rsid w:val="00BE1E1A"/>
    <w:rsid w:val="00BE3C46"/>
    <w:rsid w:val="00BF102C"/>
    <w:rsid w:val="00BF27BA"/>
    <w:rsid w:val="00BF553A"/>
    <w:rsid w:val="00BF56A6"/>
    <w:rsid w:val="00BF7672"/>
    <w:rsid w:val="00C00D18"/>
    <w:rsid w:val="00C02FA7"/>
    <w:rsid w:val="00C038F5"/>
    <w:rsid w:val="00C06150"/>
    <w:rsid w:val="00C061A3"/>
    <w:rsid w:val="00C074D4"/>
    <w:rsid w:val="00C119A8"/>
    <w:rsid w:val="00C11C4F"/>
    <w:rsid w:val="00C11E2D"/>
    <w:rsid w:val="00C12744"/>
    <w:rsid w:val="00C13D1F"/>
    <w:rsid w:val="00C157CA"/>
    <w:rsid w:val="00C15E46"/>
    <w:rsid w:val="00C160C9"/>
    <w:rsid w:val="00C16C1F"/>
    <w:rsid w:val="00C1773C"/>
    <w:rsid w:val="00C214E7"/>
    <w:rsid w:val="00C219FC"/>
    <w:rsid w:val="00C22DF0"/>
    <w:rsid w:val="00C23A59"/>
    <w:rsid w:val="00C24061"/>
    <w:rsid w:val="00C24825"/>
    <w:rsid w:val="00C2731F"/>
    <w:rsid w:val="00C30918"/>
    <w:rsid w:val="00C3207B"/>
    <w:rsid w:val="00C325BB"/>
    <w:rsid w:val="00C34020"/>
    <w:rsid w:val="00C341E1"/>
    <w:rsid w:val="00C35D10"/>
    <w:rsid w:val="00C37BF5"/>
    <w:rsid w:val="00C41D63"/>
    <w:rsid w:val="00C4269E"/>
    <w:rsid w:val="00C426C2"/>
    <w:rsid w:val="00C44229"/>
    <w:rsid w:val="00C44CFA"/>
    <w:rsid w:val="00C455BB"/>
    <w:rsid w:val="00C46569"/>
    <w:rsid w:val="00C465A3"/>
    <w:rsid w:val="00C510A8"/>
    <w:rsid w:val="00C515A5"/>
    <w:rsid w:val="00C51D3D"/>
    <w:rsid w:val="00C54739"/>
    <w:rsid w:val="00C568E1"/>
    <w:rsid w:val="00C57FA5"/>
    <w:rsid w:val="00C630EF"/>
    <w:rsid w:val="00C63ABC"/>
    <w:rsid w:val="00C63EE0"/>
    <w:rsid w:val="00C6450E"/>
    <w:rsid w:val="00C6531C"/>
    <w:rsid w:val="00C65D91"/>
    <w:rsid w:val="00C66ACF"/>
    <w:rsid w:val="00C66F35"/>
    <w:rsid w:val="00C700EC"/>
    <w:rsid w:val="00C70B7C"/>
    <w:rsid w:val="00C70C78"/>
    <w:rsid w:val="00C70C96"/>
    <w:rsid w:val="00C7267F"/>
    <w:rsid w:val="00C7429E"/>
    <w:rsid w:val="00C74943"/>
    <w:rsid w:val="00C75A51"/>
    <w:rsid w:val="00C77B30"/>
    <w:rsid w:val="00C77F7C"/>
    <w:rsid w:val="00C801B0"/>
    <w:rsid w:val="00C80382"/>
    <w:rsid w:val="00C808F7"/>
    <w:rsid w:val="00C82464"/>
    <w:rsid w:val="00C82546"/>
    <w:rsid w:val="00C83BA4"/>
    <w:rsid w:val="00C83FED"/>
    <w:rsid w:val="00C86EBC"/>
    <w:rsid w:val="00C8719C"/>
    <w:rsid w:val="00C9020A"/>
    <w:rsid w:val="00C90B9A"/>
    <w:rsid w:val="00C93956"/>
    <w:rsid w:val="00C93B46"/>
    <w:rsid w:val="00C94152"/>
    <w:rsid w:val="00C954DF"/>
    <w:rsid w:val="00CA0E4C"/>
    <w:rsid w:val="00CA1426"/>
    <w:rsid w:val="00CA21E1"/>
    <w:rsid w:val="00CA35FC"/>
    <w:rsid w:val="00CA7F50"/>
    <w:rsid w:val="00CB074B"/>
    <w:rsid w:val="00CB091E"/>
    <w:rsid w:val="00CB19F5"/>
    <w:rsid w:val="00CB2811"/>
    <w:rsid w:val="00CB2C42"/>
    <w:rsid w:val="00CB39B7"/>
    <w:rsid w:val="00CB56A2"/>
    <w:rsid w:val="00CB59FF"/>
    <w:rsid w:val="00CB5A9E"/>
    <w:rsid w:val="00CB784C"/>
    <w:rsid w:val="00CC09EE"/>
    <w:rsid w:val="00CC1264"/>
    <w:rsid w:val="00CC1F67"/>
    <w:rsid w:val="00CC3445"/>
    <w:rsid w:val="00CC3A08"/>
    <w:rsid w:val="00CC44C4"/>
    <w:rsid w:val="00CC5E77"/>
    <w:rsid w:val="00CC79DB"/>
    <w:rsid w:val="00CD036F"/>
    <w:rsid w:val="00CD2DF1"/>
    <w:rsid w:val="00CD2DF2"/>
    <w:rsid w:val="00CD37A2"/>
    <w:rsid w:val="00CD4128"/>
    <w:rsid w:val="00CD58D2"/>
    <w:rsid w:val="00CD6B39"/>
    <w:rsid w:val="00CD7D1A"/>
    <w:rsid w:val="00CE066E"/>
    <w:rsid w:val="00CE0830"/>
    <w:rsid w:val="00CE1C3F"/>
    <w:rsid w:val="00CE2A81"/>
    <w:rsid w:val="00CE2AC3"/>
    <w:rsid w:val="00CE2C1E"/>
    <w:rsid w:val="00CE2CBD"/>
    <w:rsid w:val="00CE3B1F"/>
    <w:rsid w:val="00CE4009"/>
    <w:rsid w:val="00CE43BB"/>
    <w:rsid w:val="00CE5E91"/>
    <w:rsid w:val="00CE7FA7"/>
    <w:rsid w:val="00CF03EC"/>
    <w:rsid w:val="00CF0F9F"/>
    <w:rsid w:val="00CF175B"/>
    <w:rsid w:val="00CF1BE6"/>
    <w:rsid w:val="00CF3994"/>
    <w:rsid w:val="00CF3A4A"/>
    <w:rsid w:val="00CF40B4"/>
    <w:rsid w:val="00CF49F6"/>
    <w:rsid w:val="00CF74B0"/>
    <w:rsid w:val="00CF7676"/>
    <w:rsid w:val="00CF78B7"/>
    <w:rsid w:val="00CF7F9C"/>
    <w:rsid w:val="00D0018E"/>
    <w:rsid w:val="00D04015"/>
    <w:rsid w:val="00D079DC"/>
    <w:rsid w:val="00D07F2C"/>
    <w:rsid w:val="00D107E8"/>
    <w:rsid w:val="00D13809"/>
    <w:rsid w:val="00D13BCB"/>
    <w:rsid w:val="00D14962"/>
    <w:rsid w:val="00D14A6F"/>
    <w:rsid w:val="00D152F1"/>
    <w:rsid w:val="00D15446"/>
    <w:rsid w:val="00D169AA"/>
    <w:rsid w:val="00D16EA8"/>
    <w:rsid w:val="00D17E76"/>
    <w:rsid w:val="00D200D4"/>
    <w:rsid w:val="00D212B2"/>
    <w:rsid w:val="00D2190F"/>
    <w:rsid w:val="00D2239F"/>
    <w:rsid w:val="00D2272D"/>
    <w:rsid w:val="00D23A3C"/>
    <w:rsid w:val="00D24F9C"/>
    <w:rsid w:val="00D26F43"/>
    <w:rsid w:val="00D27AD7"/>
    <w:rsid w:val="00D3088A"/>
    <w:rsid w:val="00D318EE"/>
    <w:rsid w:val="00D32610"/>
    <w:rsid w:val="00D335BD"/>
    <w:rsid w:val="00D35B81"/>
    <w:rsid w:val="00D35E72"/>
    <w:rsid w:val="00D36098"/>
    <w:rsid w:val="00D3733C"/>
    <w:rsid w:val="00D4061B"/>
    <w:rsid w:val="00D411E2"/>
    <w:rsid w:val="00D41F2E"/>
    <w:rsid w:val="00D42A2D"/>
    <w:rsid w:val="00D42D8A"/>
    <w:rsid w:val="00D42E07"/>
    <w:rsid w:val="00D42EA6"/>
    <w:rsid w:val="00D444A3"/>
    <w:rsid w:val="00D44870"/>
    <w:rsid w:val="00D47518"/>
    <w:rsid w:val="00D50A27"/>
    <w:rsid w:val="00D50AE8"/>
    <w:rsid w:val="00D50C9F"/>
    <w:rsid w:val="00D511CE"/>
    <w:rsid w:val="00D5254E"/>
    <w:rsid w:val="00D54064"/>
    <w:rsid w:val="00D543A5"/>
    <w:rsid w:val="00D54DCA"/>
    <w:rsid w:val="00D55D21"/>
    <w:rsid w:val="00D563D9"/>
    <w:rsid w:val="00D57BA7"/>
    <w:rsid w:val="00D61389"/>
    <w:rsid w:val="00D61B90"/>
    <w:rsid w:val="00D6245B"/>
    <w:rsid w:val="00D625FC"/>
    <w:rsid w:val="00D63128"/>
    <w:rsid w:val="00D63711"/>
    <w:rsid w:val="00D63F78"/>
    <w:rsid w:val="00D64649"/>
    <w:rsid w:val="00D652A1"/>
    <w:rsid w:val="00D66680"/>
    <w:rsid w:val="00D70E3B"/>
    <w:rsid w:val="00D71AAB"/>
    <w:rsid w:val="00D73F61"/>
    <w:rsid w:val="00D74C88"/>
    <w:rsid w:val="00D804FA"/>
    <w:rsid w:val="00D808FB"/>
    <w:rsid w:val="00D828A3"/>
    <w:rsid w:val="00D82BB5"/>
    <w:rsid w:val="00D83C35"/>
    <w:rsid w:val="00D83F63"/>
    <w:rsid w:val="00D84630"/>
    <w:rsid w:val="00D86FB2"/>
    <w:rsid w:val="00D87648"/>
    <w:rsid w:val="00D90BA6"/>
    <w:rsid w:val="00D91BFB"/>
    <w:rsid w:val="00D9215F"/>
    <w:rsid w:val="00D9228D"/>
    <w:rsid w:val="00D92A8B"/>
    <w:rsid w:val="00D941D6"/>
    <w:rsid w:val="00D95950"/>
    <w:rsid w:val="00D95DD4"/>
    <w:rsid w:val="00D97787"/>
    <w:rsid w:val="00DA0159"/>
    <w:rsid w:val="00DA1731"/>
    <w:rsid w:val="00DA17E2"/>
    <w:rsid w:val="00DA1B86"/>
    <w:rsid w:val="00DA4519"/>
    <w:rsid w:val="00DA50C1"/>
    <w:rsid w:val="00DB263E"/>
    <w:rsid w:val="00DB4CD1"/>
    <w:rsid w:val="00DB5193"/>
    <w:rsid w:val="00DC0CF0"/>
    <w:rsid w:val="00DC12FE"/>
    <w:rsid w:val="00DC26AB"/>
    <w:rsid w:val="00DC270C"/>
    <w:rsid w:val="00DC43C7"/>
    <w:rsid w:val="00DC4593"/>
    <w:rsid w:val="00DC7D79"/>
    <w:rsid w:val="00DD1FB7"/>
    <w:rsid w:val="00DD2542"/>
    <w:rsid w:val="00DD29C4"/>
    <w:rsid w:val="00DD3AE1"/>
    <w:rsid w:val="00DD3C49"/>
    <w:rsid w:val="00DD480F"/>
    <w:rsid w:val="00DD622E"/>
    <w:rsid w:val="00DD65ED"/>
    <w:rsid w:val="00DD705C"/>
    <w:rsid w:val="00DD74E5"/>
    <w:rsid w:val="00DD7B1C"/>
    <w:rsid w:val="00DE170B"/>
    <w:rsid w:val="00DE1C5D"/>
    <w:rsid w:val="00DE2112"/>
    <w:rsid w:val="00DE21EE"/>
    <w:rsid w:val="00DE26FE"/>
    <w:rsid w:val="00DE384C"/>
    <w:rsid w:val="00DE4DF0"/>
    <w:rsid w:val="00DE533C"/>
    <w:rsid w:val="00DE546B"/>
    <w:rsid w:val="00DE58A8"/>
    <w:rsid w:val="00DE611D"/>
    <w:rsid w:val="00DE6811"/>
    <w:rsid w:val="00DF0087"/>
    <w:rsid w:val="00DF0D38"/>
    <w:rsid w:val="00DF2B24"/>
    <w:rsid w:val="00DF4974"/>
    <w:rsid w:val="00DF4FF8"/>
    <w:rsid w:val="00DF53DD"/>
    <w:rsid w:val="00DF7D23"/>
    <w:rsid w:val="00E004B5"/>
    <w:rsid w:val="00E00E1D"/>
    <w:rsid w:val="00E02369"/>
    <w:rsid w:val="00E02EFD"/>
    <w:rsid w:val="00E03304"/>
    <w:rsid w:val="00E03535"/>
    <w:rsid w:val="00E03E9E"/>
    <w:rsid w:val="00E04592"/>
    <w:rsid w:val="00E049CC"/>
    <w:rsid w:val="00E07317"/>
    <w:rsid w:val="00E0765E"/>
    <w:rsid w:val="00E0787F"/>
    <w:rsid w:val="00E07CAF"/>
    <w:rsid w:val="00E10436"/>
    <w:rsid w:val="00E109EA"/>
    <w:rsid w:val="00E1210A"/>
    <w:rsid w:val="00E12837"/>
    <w:rsid w:val="00E13725"/>
    <w:rsid w:val="00E156D6"/>
    <w:rsid w:val="00E2005E"/>
    <w:rsid w:val="00E20220"/>
    <w:rsid w:val="00E22D8F"/>
    <w:rsid w:val="00E237FE"/>
    <w:rsid w:val="00E24F76"/>
    <w:rsid w:val="00E25F5A"/>
    <w:rsid w:val="00E262AA"/>
    <w:rsid w:val="00E277A6"/>
    <w:rsid w:val="00E27C58"/>
    <w:rsid w:val="00E27D2C"/>
    <w:rsid w:val="00E27D84"/>
    <w:rsid w:val="00E3108C"/>
    <w:rsid w:val="00E32396"/>
    <w:rsid w:val="00E3330A"/>
    <w:rsid w:val="00E33DE7"/>
    <w:rsid w:val="00E3502A"/>
    <w:rsid w:val="00E352AE"/>
    <w:rsid w:val="00E359B0"/>
    <w:rsid w:val="00E36215"/>
    <w:rsid w:val="00E3709E"/>
    <w:rsid w:val="00E4062C"/>
    <w:rsid w:val="00E40F52"/>
    <w:rsid w:val="00E41496"/>
    <w:rsid w:val="00E421AB"/>
    <w:rsid w:val="00E425EE"/>
    <w:rsid w:val="00E43648"/>
    <w:rsid w:val="00E43F63"/>
    <w:rsid w:val="00E44817"/>
    <w:rsid w:val="00E459CF"/>
    <w:rsid w:val="00E45AA5"/>
    <w:rsid w:val="00E4780C"/>
    <w:rsid w:val="00E5055A"/>
    <w:rsid w:val="00E50591"/>
    <w:rsid w:val="00E507B2"/>
    <w:rsid w:val="00E50A90"/>
    <w:rsid w:val="00E5156C"/>
    <w:rsid w:val="00E52999"/>
    <w:rsid w:val="00E529D8"/>
    <w:rsid w:val="00E53D2C"/>
    <w:rsid w:val="00E54614"/>
    <w:rsid w:val="00E54636"/>
    <w:rsid w:val="00E5597A"/>
    <w:rsid w:val="00E5698E"/>
    <w:rsid w:val="00E5739E"/>
    <w:rsid w:val="00E57874"/>
    <w:rsid w:val="00E613B3"/>
    <w:rsid w:val="00E615CF"/>
    <w:rsid w:val="00E64291"/>
    <w:rsid w:val="00E64419"/>
    <w:rsid w:val="00E64443"/>
    <w:rsid w:val="00E64544"/>
    <w:rsid w:val="00E64825"/>
    <w:rsid w:val="00E6536C"/>
    <w:rsid w:val="00E661E8"/>
    <w:rsid w:val="00E662DE"/>
    <w:rsid w:val="00E66358"/>
    <w:rsid w:val="00E66EB7"/>
    <w:rsid w:val="00E705B9"/>
    <w:rsid w:val="00E70E54"/>
    <w:rsid w:val="00E73B70"/>
    <w:rsid w:val="00E73DB3"/>
    <w:rsid w:val="00E73ED0"/>
    <w:rsid w:val="00E7425A"/>
    <w:rsid w:val="00E75002"/>
    <w:rsid w:val="00E75F9F"/>
    <w:rsid w:val="00E768B1"/>
    <w:rsid w:val="00E76988"/>
    <w:rsid w:val="00E76EF9"/>
    <w:rsid w:val="00E82437"/>
    <w:rsid w:val="00E83327"/>
    <w:rsid w:val="00E86356"/>
    <w:rsid w:val="00E9138A"/>
    <w:rsid w:val="00E91CA8"/>
    <w:rsid w:val="00E93CF7"/>
    <w:rsid w:val="00E93ED6"/>
    <w:rsid w:val="00E956FC"/>
    <w:rsid w:val="00EA4DB6"/>
    <w:rsid w:val="00EA566D"/>
    <w:rsid w:val="00EA5EAB"/>
    <w:rsid w:val="00EA60E7"/>
    <w:rsid w:val="00EA768E"/>
    <w:rsid w:val="00EA7C09"/>
    <w:rsid w:val="00EB07B6"/>
    <w:rsid w:val="00EB0C32"/>
    <w:rsid w:val="00EB1500"/>
    <w:rsid w:val="00EB2231"/>
    <w:rsid w:val="00EB34C1"/>
    <w:rsid w:val="00EB3559"/>
    <w:rsid w:val="00EB35AC"/>
    <w:rsid w:val="00EB388F"/>
    <w:rsid w:val="00EB454A"/>
    <w:rsid w:val="00EB4866"/>
    <w:rsid w:val="00EB67CC"/>
    <w:rsid w:val="00EB6F8A"/>
    <w:rsid w:val="00EB7F0C"/>
    <w:rsid w:val="00EC0948"/>
    <w:rsid w:val="00EC259E"/>
    <w:rsid w:val="00EC2ACA"/>
    <w:rsid w:val="00EC474A"/>
    <w:rsid w:val="00EC5BEC"/>
    <w:rsid w:val="00EC6060"/>
    <w:rsid w:val="00EC6CEA"/>
    <w:rsid w:val="00EC7072"/>
    <w:rsid w:val="00EC7499"/>
    <w:rsid w:val="00EC74DE"/>
    <w:rsid w:val="00ED02C7"/>
    <w:rsid w:val="00ED0DF4"/>
    <w:rsid w:val="00ED1825"/>
    <w:rsid w:val="00ED1E07"/>
    <w:rsid w:val="00ED21B2"/>
    <w:rsid w:val="00ED2CBC"/>
    <w:rsid w:val="00ED43CD"/>
    <w:rsid w:val="00ED48B1"/>
    <w:rsid w:val="00ED605B"/>
    <w:rsid w:val="00ED701D"/>
    <w:rsid w:val="00EE068B"/>
    <w:rsid w:val="00EE20E1"/>
    <w:rsid w:val="00EE2C85"/>
    <w:rsid w:val="00EE31F7"/>
    <w:rsid w:val="00EE35C7"/>
    <w:rsid w:val="00EE3FBB"/>
    <w:rsid w:val="00EE431B"/>
    <w:rsid w:val="00EE4D79"/>
    <w:rsid w:val="00EE4E87"/>
    <w:rsid w:val="00EE6B1B"/>
    <w:rsid w:val="00EE7FC4"/>
    <w:rsid w:val="00EF1767"/>
    <w:rsid w:val="00EF1A41"/>
    <w:rsid w:val="00EF4845"/>
    <w:rsid w:val="00EF4CBD"/>
    <w:rsid w:val="00EF5C93"/>
    <w:rsid w:val="00EF6EDD"/>
    <w:rsid w:val="00EF79AA"/>
    <w:rsid w:val="00EF7AEA"/>
    <w:rsid w:val="00F000B7"/>
    <w:rsid w:val="00F01041"/>
    <w:rsid w:val="00F017DE"/>
    <w:rsid w:val="00F04403"/>
    <w:rsid w:val="00F047E1"/>
    <w:rsid w:val="00F04DFD"/>
    <w:rsid w:val="00F057F3"/>
    <w:rsid w:val="00F06A46"/>
    <w:rsid w:val="00F07DC7"/>
    <w:rsid w:val="00F101A2"/>
    <w:rsid w:val="00F10B01"/>
    <w:rsid w:val="00F10F58"/>
    <w:rsid w:val="00F12417"/>
    <w:rsid w:val="00F12486"/>
    <w:rsid w:val="00F13D38"/>
    <w:rsid w:val="00F13E9A"/>
    <w:rsid w:val="00F148F3"/>
    <w:rsid w:val="00F14F27"/>
    <w:rsid w:val="00F17687"/>
    <w:rsid w:val="00F212A1"/>
    <w:rsid w:val="00F22992"/>
    <w:rsid w:val="00F22E8F"/>
    <w:rsid w:val="00F241A4"/>
    <w:rsid w:val="00F25409"/>
    <w:rsid w:val="00F257BA"/>
    <w:rsid w:val="00F25E70"/>
    <w:rsid w:val="00F30343"/>
    <w:rsid w:val="00F308E2"/>
    <w:rsid w:val="00F31AE5"/>
    <w:rsid w:val="00F33CDC"/>
    <w:rsid w:val="00F37089"/>
    <w:rsid w:val="00F374C2"/>
    <w:rsid w:val="00F3750D"/>
    <w:rsid w:val="00F377F5"/>
    <w:rsid w:val="00F37D7D"/>
    <w:rsid w:val="00F415E5"/>
    <w:rsid w:val="00F45799"/>
    <w:rsid w:val="00F4673B"/>
    <w:rsid w:val="00F47385"/>
    <w:rsid w:val="00F51920"/>
    <w:rsid w:val="00F528E1"/>
    <w:rsid w:val="00F53373"/>
    <w:rsid w:val="00F547C4"/>
    <w:rsid w:val="00F54E96"/>
    <w:rsid w:val="00F55651"/>
    <w:rsid w:val="00F56E64"/>
    <w:rsid w:val="00F57679"/>
    <w:rsid w:val="00F57B1F"/>
    <w:rsid w:val="00F61363"/>
    <w:rsid w:val="00F61960"/>
    <w:rsid w:val="00F61D2B"/>
    <w:rsid w:val="00F61F84"/>
    <w:rsid w:val="00F63337"/>
    <w:rsid w:val="00F63AB5"/>
    <w:rsid w:val="00F65CB1"/>
    <w:rsid w:val="00F676E9"/>
    <w:rsid w:val="00F70618"/>
    <w:rsid w:val="00F70FE4"/>
    <w:rsid w:val="00F71030"/>
    <w:rsid w:val="00F71508"/>
    <w:rsid w:val="00F72178"/>
    <w:rsid w:val="00F72251"/>
    <w:rsid w:val="00F724B7"/>
    <w:rsid w:val="00F77811"/>
    <w:rsid w:val="00F80980"/>
    <w:rsid w:val="00F80E7C"/>
    <w:rsid w:val="00F82A80"/>
    <w:rsid w:val="00F82F3C"/>
    <w:rsid w:val="00F83FCE"/>
    <w:rsid w:val="00F84083"/>
    <w:rsid w:val="00F845A6"/>
    <w:rsid w:val="00F85D05"/>
    <w:rsid w:val="00F85EF0"/>
    <w:rsid w:val="00F870FD"/>
    <w:rsid w:val="00F90856"/>
    <w:rsid w:val="00F91825"/>
    <w:rsid w:val="00F91B98"/>
    <w:rsid w:val="00F92F3A"/>
    <w:rsid w:val="00F933EC"/>
    <w:rsid w:val="00F93841"/>
    <w:rsid w:val="00F93C52"/>
    <w:rsid w:val="00F94760"/>
    <w:rsid w:val="00F9517C"/>
    <w:rsid w:val="00F951DC"/>
    <w:rsid w:val="00F95B6E"/>
    <w:rsid w:val="00F95F3D"/>
    <w:rsid w:val="00F96281"/>
    <w:rsid w:val="00F9798F"/>
    <w:rsid w:val="00F97EC3"/>
    <w:rsid w:val="00FA01DA"/>
    <w:rsid w:val="00FA034E"/>
    <w:rsid w:val="00FA0578"/>
    <w:rsid w:val="00FA1589"/>
    <w:rsid w:val="00FA165D"/>
    <w:rsid w:val="00FA204B"/>
    <w:rsid w:val="00FA3BA3"/>
    <w:rsid w:val="00FA40ED"/>
    <w:rsid w:val="00FA416A"/>
    <w:rsid w:val="00FA560B"/>
    <w:rsid w:val="00FA7352"/>
    <w:rsid w:val="00FA7985"/>
    <w:rsid w:val="00FB0670"/>
    <w:rsid w:val="00FB1594"/>
    <w:rsid w:val="00FB25AA"/>
    <w:rsid w:val="00FB4005"/>
    <w:rsid w:val="00FB4FAC"/>
    <w:rsid w:val="00FB6114"/>
    <w:rsid w:val="00FB63EF"/>
    <w:rsid w:val="00FB671C"/>
    <w:rsid w:val="00FB6B57"/>
    <w:rsid w:val="00FB6EC3"/>
    <w:rsid w:val="00FB74DD"/>
    <w:rsid w:val="00FC146A"/>
    <w:rsid w:val="00FC15F5"/>
    <w:rsid w:val="00FC2D3E"/>
    <w:rsid w:val="00FC3C18"/>
    <w:rsid w:val="00FC42A6"/>
    <w:rsid w:val="00FC4430"/>
    <w:rsid w:val="00FC5806"/>
    <w:rsid w:val="00FC58AC"/>
    <w:rsid w:val="00FC5A13"/>
    <w:rsid w:val="00FC5B46"/>
    <w:rsid w:val="00FC5D88"/>
    <w:rsid w:val="00FC6596"/>
    <w:rsid w:val="00FC69CA"/>
    <w:rsid w:val="00FC72B7"/>
    <w:rsid w:val="00FD03A4"/>
    <w:rsid w:val="00FD0535"/>
    <w:rsid w:val="00FD13ED"/>
    <w:rsid w:val="00FD285B"/>
    <w:rsid w:val="00FD3FB0"/>
    <w:rsid w:val="00FD42EA"/>
    <w:rsid w:val="00FD6A32"/>
    <w:rsid w:val="00FE0083"/>
    <w:rsid w:val="00FE22DC"/>
    <w:rsid w:val="00FE2979"/>
    <w:rsid w:val="00FE467F"/>
    <w:rsid w:val="00FE50FF"/>
    <w:rsid w:val="00FE7036"/>
    <w:rsid w:val="00FF040C"/>
    <w:rsid w:val="00FF0C5F"/>
    <w:rsid w:val="00FF111E"/>
    <w:rsid w:val="00FF28B3"/>
    <w:rsid w:val="00FF3415"/>
    <w:rsid w:val="00FF36E1"/>
    <w:rsid w:val="00FF441D"/>
    <w:rsid w:val="00FF4F9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0B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uiPriority="0" w:qFormat="1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nhideWhenUsed="0" w:qFormat="1"/>
    <w:lsdException w:name="Default Paragraph Font" w:uiPriority="1"/>
    <w:lsdException w:name="Body Text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6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E07317"/>
    <w:rPr>
      <w:lang w:val="cs-CZ"/>
    </w:rPr>
  </w:style>
  <w:style w:type="paragraph" w:styleId="Nadpis1">
    <w:name w:val="heading 1"/>
    <w:basedOn w:val="Normln"/>
    <w:next w:val="Nadpis2"/>
    <w:link w:val="Nadpis1Char1"/>
    <w:uiPriority w:val="99"/>
    <w:qFormat/>
    <w:rsid w:val="00450F21"/>
    <w:pPr>
      <w:keepNext/>
      <w:keepLines/>
      <w:numPr>
        <w:numId w:val="7"/>
      </w:numPr>
      <w:spacing w:after="480" w:line="600" w:lineRule="atLeast"/>
      <w:ind w:left="567" w:hanging="567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Nadpis2">
    <w:name w:val="heading 2"/>
    <w:basedOn w:val="Normln"/>
    <w:next w:val="Zkladntext"/>
    <w:link w:val="Nadpis2Char1"/>
    <w:uiPriority w:val="99"/>
    <w:unhideWhenUsed/>
    <w:qFormat/>
    <w:rsid w:val="00A11021"/>
    <w:pPr>
      <w:keepNext/>
      <w:keepLines/>
      <w:numPr>
        <w:ilvl w:val="1"/>
        <w:numId w:val="7"/>
      </w:numPr>
      <w:spacing w:before="360" w:line="240" w:lineRule="auto"/>
      <w:ind w:left="1418" w:hanging="1134"/>
      <w:jc w:val="both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Nadpis3">
    <w:name w:val="heading 3"/>
    <w:basedOn w:val="Normln"/>
    <w:next w:val="Zkladntext"/>
    <w:link w:val="Nadpis3Char1"/>
    <w:uiPriority w:val="99"/>
    <w:unhideWhenUsed/>
    <w:qFormat/>
    <w:rsid w:val="007732AE"/>
    <w:pPr>
      <w:keepNext/>
      <w:keepLines/>
      <w:numPr>
        <w:ilvl w:val="2"/>
        <w:numId w:val="7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Nadpis4">
    <w:name w:val="heading 4"/>
    <w:basedOn w:val="Normln"/>
    <w:next w:val="Zkladntext"/>
    <w:link w:val="Nadpis4Char1"/>
    <w:uiPriority w:val="99"/>
    <w:unhideWhenUsed/>
    <w:qFormat/>
    <w:rsid w:val="007732AE"/>
    <w:pPr>
      <w:keepNext/>
      <w:keepLines/>
      <w:numPr>
        <w:ilvl w:val="3"/>
        <w:numId w:val="7"/>
      </w:numPr>
      <w:spacing w:after="120" w:line="240" w:lineRule="auto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Nadpis5">
    <w:name w:val="heading 5"/>
    <w:basedOn w:val="Normln"/>
    <w:next w:val="Zkladntext"/>
    <w:link w:val="Nadpis5Char1"/>
    <w:uiPriority w:val="99"/>
    <w:unhideWhenUsed/>
    <w:qFormat/>
    <w:rsid w:val="000D1F6B"/>
    <w:pPr>
      <w:keepNext/>
      <w:keepLines/>
      <w:numPr>
        <w:ilvl w:val="4"/>
        <w:numId w:val="7"/>
      </w:numPr>
      <w:spacing w:after="12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Nadpis6">
    <w:name w:val="heading 6"/>
    <w:basedOn w:val="Normln"/>
    <w:next w:val="Normln"/>
    <w:link w:val="Nadpis6Char1"/>
    <w:uiPriority w:val="99"/>
    <w:unhideWhenUsed/>
    <w:qFormat/>
    <w:rsid w:val="00E07317"/>
    <w:pPr>
      <w:keepNext/>
      <w:keepLines/>
      <w:numPr>
        <w:ilvl w:val="5"/>
        <w:numId w:val="7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7">
    <w:name w:val="heading 7"/>
    <w:basedOn w:val="Normln"/>
    <w:next w:val="Normln"/>
    <w:link w:val="Nadpis7Char1"/>
    <w:uiPriority w:val="99"/>
    <w:unhideWhenUsed/>
    <w:qFormat/>
    <w:rsid w:val="00E07317"/>
    <w:pPr>
      <w:keepNext/>
      <w:keepLines/>
      <w:numPr>
        <w:ilvl w:val="6"/>
        <w:numId w:val="7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8">
    <w:name w:val="heading 8"/>
    <w:basedOn w:val="Normln"/>
    <w:next w:val="Normln"/>
    <w:link w:val="Nadpis8Char1"/>
    <w:uiPriority w:val="99"/>
    <w:unhideWhenUsed/>
    <w:qFormat/>
    <w:rsid w:val="00E07317"/>
    <w:pPr>
      <w:keepNext/>
      <w:keepLines/>
      <w:numPr>
        <w:ilvl w:val="7"/>
        <w:numId w:val="7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Nadpis9">
    <w:name w:val="heading 9"/>
    <w:basedOn w:val="Normln"/>
    <w:next w:val="Normln"/>
    <w:link w:val="Nadpis9Char1"/>
    <w:uiPriority w:val="99"/>
    <w:unhideWhenUsed/>
    <w:qFormat/>
    <w:rsid w:val="00E07317"/>
    <w:pPr>
      <w:keepNext/>
      <w:keepLines/>
      <w:numPr>
        <w:ilvl w:val="8"/>
        <w:numId w:val="7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unhideWhenUsed/>
    <w:qFormat/>
    <w:rsid w:val="00B80DB8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B80DB8"/>
    <w:rPr>
      <w:lang w:val="cs-CZ"/>
    </w:rPr>
  </w:style>
  <w:style w:type="paragraph" w:customStyle="1" w:styleId="BodySingle">
    <w:name w:val="Body Single"/>
    <w:basedOn w:val="Zkladntext"/>
    <w:link w:val="BodySingleChar"/>
    <w:uiPriority w:val="1"/>
    <w:qFormat/>
    <w:rsid w:val="00E07317"/>
  </w:style>
  <w:style w:type="paragraph" w:styleId="Zhlav">
    <w:name w:val="header"/>
    <w:basedOn w:val="Normln"/>
    <w:link w:val="Zhlav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ZkladntextChar1"/>
    <w:link w:val="BodySingle"/>
    <w:uiPriority w:val="1"/>
    <w:rsid w:val="00E07317"/>
    <w:rPr>
      <w:lang w:val="cs-CZ"/>
    </w:rPr>
  </w:style>
  <w:style w:type="character" w:customStyle="1" w:styleId="ZhlavChar1">
    <w:name w:val="Záhlaví Char1"/>
    <w:basedOn w:val="Standardnpsmoodstavce"/>
    <w:link w:val="Zhlav"/>
    <w:uiPriority w:val="99"/>
    <w:rsid w:val="00E07317"/>
    <w:rPr>
      <w:rFonts w:asciiTheme="minorHAnsi" w:hAnsiTheme="minorHAnsi"/>
      <w:sz w:val="19"/>
    </w:rPr>
  </w:style>
  <w:style w:type="paragraph" w:styleId="Zpat">
    <w:name w:val="footer"/>
    <w:basedOn w:val="Normln"/>
    <w:link w:val="Zpat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ZpatChar1">
    <w:name w:val="Zápatí Char1"/>
    <w:basedOn w:val="Standardnpsmoodstavce"/>
    <w:link w:val="Zpat"/>
    <w:uiPriority w:val="99"/>
    <w:rsid w:val="00E07317"/>
    <w:rPr>
      <w:rFonts w:asciiTheme="minorHAnsi" w:hAnsiTheme="minorHAnsi"/>
      <w:sz w:val="19"/>
    </w:rPr>
  </w:style>
  <w:style w:type="character" w:customStyle="1" w:styleId="Nadpis1Char1">
    <w:name w:val="Nadpis 1 Char1"/>
    <w:basedOn w:val="Standardnpsmoodstavce"/>
    <w:link w:val="Nadpis1"/>
    <w:uiPriority w:val="99"/>
    <w:rsid w:val="00450F21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2Char1">
    <w:name w:val="Nadpis 2 Char1"/>
    <w:basedOn w:val="Standardnpsmoodstavce"/>
    <w:link w:val="Nadpis2"/>
    <w:uiPriority w:val="99"/>
    <w:rsid w:val="00A11021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  <w:lang w:val="cs-CZ"/>
    </w:rPr>
  </w:style>
  <w:style w:type="character" w:customStyle="1" w:styleId="Nadpis3Char1">
    <w:name w:val="Nadpis 3 Char1"/>
    <w:basedOn w:val="Standardnpsmoodstavce"/>
    <w:link w:val="Nadpis3"/>
    <w:uiPriority w:val="99"/>
    <w:rsid w:val="007732AE"/>
    <w:rPr>
      <w:rFonts w:asciiTheme="majorHAnsi" w:eastAsiaTheme="majorEastAsia" w:hAnsiTheme="majorHAnsi" w:cstheme="majorBidi"/>
      <w:bCs/>
      <w:i/>
      <w:color w:val="DC6900" w:themeColor="text2"/>
      <w:sz w:val="32"/>
      <w:lang w:val="cs-CZ"/>
    </w:rPr>
  </w:style>
  <w:style w:type="character" w:customStyle="1" w:styleId="Nadpis4Char1">
    <w:name w:val="Nadpis 4 Char1"/>
    <w:basedOn w:val="Standardnpsmoodstavce"/>
    <w:link w:val="Nadpis4"/>
    <w:uiPriority w:val="99"/>
    <w:rsid w:val="007732AE"/>
    <w:rPr>
      <w:rFonts w:asciiTheme="majorHAnsi" w:eastAsiaTheme="majorEastAsia" w:hAnsiTheme="majorHAnsi" w:cstheme="majorBidi"/>
      <w:bCs/>
      <w:iCs/>
      <w:color w:val="DC6900" w:themeColor="text2"/>
      <w:sz w:val="32"/>
      <w:lang w:val="cs-CZ"/>
    </w:rPr>
  </w:style>
  <w:style w:type="character" w:customStyle="1" w:styleId="Nadpis5Char1">
    <w:name w:val="Nadpis 5 Char1"/>
    <w:basedOn w:val="Standardnpsmoodstavce"/>
    <w:link w:val="Nadpis5"/>
    <w:uiPriority w:val="99"/>
    <w:rsid w:val="000D1F6B"/>
    <w:rPr>
      <w:rFonts w:asciiTheme="majorHAnsi" w:eastAsiaTheme="majorEastAsia" w:hAnsiTheme="majorHAnsi" w:cstheme="majorBidi"/>
      <w:color w:val="DC6900" w:themeColor="text2"/>
      <w:lang w:val="cs-CZ"/>
    </w:rPr>
  </w:style>
  <w:style w:type="paragraph" w:styleId="Nzev">
    <w:name w:val="Title"/>
    <w:basedOn w:val="Normln"/>
    <w:next w:val="Podtitul"/>
    <w:link w:val="NzevChar1"/>
    <w:uiPriority w:val="99"/>
    <w:qFormat/>
    <w:rsid w:val="00E0731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NzevChar1">
    <w:name w:val="Název Char1"/>
    <w:basedOn w:val="Standardnpsmoodstavce"/>
    <w:link w:val="Nzev"/>
    <w:uiPriority w:val="99"/>
    <w:rsid w:val="00E07317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E07317"/>
    <w:pPr>
      <w:outlineLvl w:val="9"/>
    </w:pPr>
    <w:rPr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731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317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07317"/>
    <w:pPr>
      <w:pBdr>
        <w:top w:val="single" w:sz="8" w:space="4" w:color="DC6900" w:themeColor="text2"/>
      </w:pBdr>
      <w:spacing w:before="120" w:after="120"/>
      <w:ind w:left="284" w:hanging="284"/>
    </w:pPr>
  </w:style>
  <w:style w:type="paragraph" w:styleId="Obsah2">
    <w:name w:val="toc 2"/>
    <w:basedOn w:val="Normln"/>
    <w:next w:val="Normln"/>
    <w:autoRedefine/>
    <w:uiPriority w:val="39"/>
    <w:unhideWhenUsed/>
    <w:rsid w:val="00E07317"/>
    <w:pPr>
      <w:pBdr>
        <w:top w:val="dotted" w:sz="8" w:space="4" w:color="DC6900" w:themeColor="text2"/>
      </w:pBdr>
      <w:spacing w:before="120" w:after="120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E07317"/>
    <w:pPr>
      <w:spacing w:before="120" w:after="120"/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E073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1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13"/>
    <w:unhideWhenUsed/>
    <w:qFormat/>
    <w:rsid w:val="00046C07"/>
    <w:pPr>
      <w:numPr>
        <w:numId w:val="4"/>
      </w:numPr>
      <w:spacing w:after="120"/>
    </w:pPr>
  </w:style>
  <w:style w:type="numbering" w:customStyle="1" w:styleId="PwCListBullets1">
    <w:name w:val="PwC List Bullets 1"/>
    <w:uiPriority w:val="99"/>
    <w:rsid w:val="00E07317"/>
    <w:pPr>
      <w:numPr>
        <w:numId w:val="1"/>
      </w:numPr>
    </w:pPr>
  </w:style>
  <w:style w:type="numbering" w:customStyle="1" w:styleId="PwCListNumbers1">
    <w:name w:val="PwC List Numbers 1"/>
    <w:uiPriority w:val="99"/>
    <w:rsid w:val="00E07317"/>
    <w:pPr>
      <w:numPr>
        <w:numId w:val="2"/>
      </w:numPr>
    </w:pPr>
  </w:style>
  <w:style w:type="paragraph" w:styleId="slovanseznam">
    <w:name w:val="List Number"/>
    <w:basedOn w:val="Normln"/>
    <w:uiPriority w:val="13"/>
    <w:unhideWhenUsed/>
    <w:qFormat/>
    <w:rsid w:val="00E07317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13"/>
    <w:unhideWhenUsed/>
    <w:qFormat/>
    <w:rsid w:val="001B2AE1"/>
    <w:pPr>
      <w:numPr>
        <w:ilvl w:val="1"/>
        <w:numId w:val="4"/>
      </w:numPr>
      <w:ind w:left="992" w:hanging="425"/>
      <w:contextualSpacing/>
    </w:pPr>
  </w:style>
  <w:style w:type="paragraph" w:styleId="Seznamsodrkami3">
    <w:name w:val="List Bullet 3"/>
    <w:basedOn w:val="Normln"/>
    <w:uiPriority w:val="13"/>
    <w:unhideWhenUsed/>
    <w:qFormat/>
    <w:rsid w:val="00E07317"/>
    <w:pPr>
      <w:numPr>
        <w:ilvl w:val="2"/>
        <w:numId w:val="4"/>
      </w:numPr>
      <w:contextualSpacing/>
    </w:pPr>
  </w:style>
  <w:style w:type="paragraph" w:styleId="Seznamsodrkami4">
    <w:name w:val="List Bullet 4"/>
    <w:basedOn w:val="Normln"/>
    <w:uiPriority w:val="13"/>
    <w:unhideWhenUsed/>
    <w:rsid w:val="00E07317"/>
    <w:pPr>
      <w:numPr>
        <w:ilvl w:val="3"/>
        <w:numId w:val="4"/>
      </w:numPr>
      <w:contextualSpacing/>
    </w:pPr>
  </w:style>
  <w:style w:type="paragraph" w:styleId="Seznamsodrkami5">
    <w:name w:val="List Bullet 5"/>
    <w:basedOn w:val="Normln"/>
    <w:uiPriority w:val="13"/>
    <w:unhideWhenUsed/>
    <w:rsid w:val="00E07317"/>
    <w:pPr>
      <w:numPr>
        <w:ilvl w:val="4"/>
        <w:numId w:val="4"/>
      </w:numPr>
      <w:contextualSpacing/>
    </w:pPr>
  </w:style>
  <w:style w:type="paragraph" w:styleId="slovanseznam2">
    <w:name w:val="List Number 2"/>
    <w:basedOn w:val="Normln"/>
    <w:uiPriority w:val="13"/>
    <w:unhideWhenUsed/>
    <w:qFormat/>
    <w:rsid w:val="00E07317"/>
    <w:pPr>
      <w:numPr>
        <w:ilvl w:val="1"/>
        <w:numId w:val="3"/>
      </w:numPr>
      <w:contextualSpacing/>
    </w:pPr>
  </w:style>
  <w:style w:type="paragraph" w:styleId="slovanseznam3">
    <w:name w:val="List Number 3"/>
    <w:basedOn w:val="Normln"/>
    <w:uiPriority w:val="13"/>
    <w:unhideWhenUsed/>
    <w:qFormat/>
    <w:rsid w:val="00E07317"/>
    <w:pPr>
      <w:numPr>
        <w:ilvl w:val="2"/>
        <w:numId w:val="3"/>
      </w:numPr>
      <w:contextualSpacing/>
    </w:pPr>
  </w:style>
  <w:style w:type="paragraph" w:styleId="slovanseznam4">
    <w:name w:val="List Number 4"/>
    <w:basedOn w:val="Normln"/>
    <w:uiPriority w:val="13"/>
    <w:unhideWhenUsed/>
    <w:rsid w:val="00E07317"/>
    <w:pPr>
      <w:numPr>
        <w:ilvl w:val="3"/>
        <w:numId w:val="3"/>
      </w:numPr>
      <w:contextualSpacing/>
    </w:pPr>
  </w:style>
  <w:style w:type="paragraph" w:styleId="slovanseznam5">
    <w:name w:val="List Number 5"/>
    <w:basedOn w:val="Normln"/>
    <w:uiPriority w:val="13"/>
    <w:unhideWhenUsed/>
    <w:rsid w:val="00E07317"/>
    <w:pPr>
      <w:numPr>
        <w:ilvl w:val="4"/>
        <w:numId w:val="3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E07317"/>
    <w:pPr>
      <w:ind w:left="567" w:hanging="567"/>
      <w:contextualSpacing/>
    </w:pPr>
  </w:style>
  <w:style w:type="paragraph" w:styleId="Seznam2">
    <w:name w:val="List 2"/>
    <w:basedOn w:val="Normln"/>
    <w:uiPriority w:val="99"/>
    <w:semiHidden/>
    <w:unhideWhenUsed/>
    <w:rsid w:val="00E07317"/>
    <w:pPr>
      <w:ind w:left="1134" w:hanging="567"/>
      <w:contextualSpacing/>
    </w:pPr>
  </w:style>
  <w:style w:type="paragraph" w:styleId="Pokraovnseznamu">
    <w:name w:val="List Continue"/>
    <w:basedOn w:val="Normln"/>
    <w:uiPriority w:val="14"/>
    <w:unhideWhenUsed/>
    <w:qFormat/>
    <w:rsid w:val="00E07317"/>
    <w:pPr>
      <w:spacing w:after="120"/>
      <w:ind w:left="567"/>
      <w:contextualSpacing/>
    </w:pPr>
  </w:style>
  <w:style w:type="paragraph" w:styleId="Pokraovnseznamu2">
    <w:name w:val="List Continue 2"/>
    <w:basedOn w:val="Normln"/>
    <w:uiPriority w:val="14"/>
    <w:unhideWhenUsed/>
    <w:qFormat/>
    <w:rsid w:val="00E07317"/>
    <w:pPr>
      <w:spacing w:after="120"/>
      <w:ind w:left="1134"/>
      <w:contextualSpacing/>
    </w:pPr>
  </w:style>
  <w:style w:type="paragraph" w:styleId="Pokraovnseznamu3">
    <w:name w:val="List Continue 3"/>
    <w:basedOn w:val="Normln"/>
    <w:uiPriority w:val="14"/>
    <w:unhideWhenUsed/>
    <w:qFormat/>
    <w:rsid w:val="00E07317"/>
    <w:pPr>
      <w:spacing w:after="120"/>
      <w:ind w:left="1701"/>
      <w:contextualSpacing/>
    </w:pPr>
  </w:style>
  <w:style w:type="paragraph" w:styleId="Pokraovnseznamu4">
    <w:name w:val="List Continue 4"/>
    <w:basedOn w:val="Normln"/>
    <w:uiPriority w:val="14"/>
    <w:semiHidden/>
    <w:unhideWhenUsed/>
    <w:rsid w:val="00E07317"/>
    <w:pPr>
      <w:spacing w:after="120"/>
      <w:ind w:left="2268"/>
      <w:contextualSpacing/>
    </w:pPr>
  </w:style>
  <w:style w:type="paragraph" w:styleId="Pokraovnseznamu5">
    <w:name w:val="List Continue 5"/>
    <w:basedOn w:val="Normln"/>
    <w:uiPriority w:val="14"/>
    <w:semiHidden/>
    <w:unhideWhenUsed/>
    <w:rsid w:val="00E07317"/>
    <w:pPr>
      <w:spacing w:after="120"/>
      <w:ind w:left="2835"/>
      <w:contextualSpacing/>
    </w:pPr>
  </w:style>
  <w:style w:type="paragraph" w:styleId="Seznam3">
    <w:name w:val="List 3"/>
    <w:basedOn w:val="Normln"/>
    <w:uiPriority w:val="99"/>
    <w:semiHidden/>
    <w:unhideWhenUsed/>
    <w:rsid w:val="00E07317"/>
    <w:pPr>
      <w:ind w:left="1701" w:hanging="567"/>
      <w:contextualSpacing/>
    </w:pPr>
  </w:style>
  <w:style w:type="paragraph" w:styleId="Seznam4">
    <w:name w:val="List 4"/>
    <w:basedOn w:val="Normln"/>
    <w:uiPriority w:val="99"/>
    <w:semiHidden/>
    <w:unhideWhenUsed/>
    <w:rsid w:val="00E07317"/>
    <w:pPr>
      <w:ind w:left="2268" w:hanging="567"/>
      <w:contextualSpacing/>
    </w:pPr>
  </w:style>
  <w:style w:type="paragraph" w:styleId="Seznam5">
    <w:name w:val="List 5"/>
    <w:basedOn w:val="Normln"/>
    <w:uiPriority w:val="99"/>
    <w:semiHidden/>
    <w:unhideWhenUsed/>
    <w:rsid w:val="00E07317"/>
    <w:pPr>
      <w:ind w:left="2835" w:hanging="567"/>
      <w:contextualSpacing/>
    </w:pPr>
  </w:style>
  <w:style w:type="table" w:styleId="Mkatabulky">
    <w:name w:val="Table Grid"/>
    <w:basedOn w:val="Normlntabulka"/>
    <w:uiPriority w:val="59"/>
    <w:rsid w:val="00E0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Normlntabulka"/>
    <w:uiPriority w:val="99"/>
    <w:qFormat/>
    <w:rsid w:val="00E07317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Normlntabulka"/>
    <w:uiPriority w:val="99"/>
    <w:qFormat/>
    <w:rsid w:val="00E07317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dpis1"/>
    <w:uiPriority w:val="99"/>
    <w:qFormat/>
    <w:rsid w:val="00E07317"/>
    <w:rPr>
      <w:b w:val="0"/>
      <w:i w:val="0"/>
    </w:rPr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qFormat/>
    <w:rsid w:val="00750457"/>
  </w:style>
  <w:style w:type="character" w:customStyle="1" w:styleId="Heading1NoSpacingChar">
    <w:name w:val="Heading 1 No Spacing Char"/>
    <w:basedOn w:val="Nadpis1Char1"/>
    <w:link w:val="Heading1NoSpacing"/>
    <w:uiPriority w:val="9"/>
    <w:rsid w:val="00750457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6Char1">
    <w:name w:val="Nadpis 6 Char1"/>
    <w:basedOn w:val="Standardnpsmoodstavce"/>
    <w:link w:val="Nadpis6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7Char1">
    <w:name w:val="Nadpis 7 Char1"/>
    <w:basedOn w:val="Standardnpsmoodstavce"/>
    <w:link w:val="Nadpis7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8Char1">
    <w:name w:val="Nadpis 8 Char1"/>
    <w:basedOn w:val="Standardnpsmoodstavce"/>
    <w:link w:val="Nadpis8"/>
    <w:uiPriority w:val="99"/>
    <w:rsid w:val="00E07317"/>
    <w:rPr>
      <w:rFonts w:asciiTheme="majorHAnsi" w:eastAsiaTheme="majorEastAsia" w:hAnsiTheme="majorHAnsi" w:cstheme="majorBidi"/>
      <w:color w:val="DC6900" w:themeColor="text2"/>
      <w:lang w:val="cs-CZ"/>
    </w:rPr>
  </w:style>
  <w:style w:type="character" w:customStyle="1" w:styleId="Nadpis9Char1">
    <w:name w:val="Nadpis 9 Char1"/>
    <w:basedOn w:val="Standardnpsmoodstavce"/>
    <w:link w:val="Nadpis9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paragraph" w:styleId="Obsah4">
    <w:name w:val="toc 4"/>
    <w:basedOn w:val="Normln"/>
    <w:next w:val="Normln"/>
    <w:autoRedefine/>
    <w:uiPriority w:val="99"/>
    <w:unhideWhenUsed/>
    <w:rsid w:val="00E07317"/>
    <w:pPr>
      <w:spacing w:after="120"/>
      <w:ind w:left="851" w:hanging="284"/>
    </w:pPr>
  </w:style>
  <w:style w:type="paragraph" w:styleId="Obsah5">
    <w:name w:val="toc 5"/>
    <w:basedOn w:val="Normln"/>
    <w:next w:val="Normln"/>
    <w:autoRedefine/>
    <w:uiPriority w:val="99"/>
    <w:unhideWhenUsed/>
    <w:rsid w:val="00E07317"/>
    <w:pPr>
      <w:spacing w:after="120"/>
      <w:ind w:left="1135" w:hanging="284"/>
    </w:pPr>
  </w:style>
  <w:style w:type="paragraph" w:styleId="Obsah6">
    <w:name w:val="toc 6"/>
    <w:basedOn w:val="Normln"/>
    <w:next w:val="Normln"/>
    <w:autoRedefine/>
    <w:uiPriority w:val="99"/>
    <w:unhideWhenUsed/>
    <w:rsid w:val="00E07317"/>
    <w:pPr>
      <w:spacing w:after="120"/>
      <w:ind w:left="1418" w:hanging="284"/>
    </w:pPr>
  </w:style>
  <w:style w:type="paragraph" w:styleId="Obsah7">
    <w:name w:val="toc 7"/>
    <w:basedOn w:val="Normln"/>
    <w:next w:val="Normln"/>
    <w:autoRedefine/>
    <w:uiPriority w:val="99"/>
    <w:unhideWhenUsed/>
    <w:rsid w:val="00E07317"/>
    <w:pPr>
      <w:spacing w:after="120"/>
      <w:ind w:left="1702" w:hanging="284"/>
    </w:pPr>
  </w:style>
  <w:style w:type="paragraph" w:styleId="Obsah8">
    <w:name w:val="toc 8"/>
    <w:basedOn w:val="Normln"/>
    <w:next w:val="Normln"/>
    <w:autoRedefine/>
    <w:uiPriority w:val="99"/>
    <w:unhideWhenUsed/>
    <w:rsid w:val="00E07317"/>
    <w:pPr>
      <w:spacing w:after="120"/>
      <w:ind w:left="1985" w:hanging="284"/>
    </w:pPr>
  </w:style>
  <w:style w:type="paragraph" w:styleId="Obsah9">
    <w:name w:val="toc 9"/>
    <w:basedOn w:val="Normln"/>
    <w:next w:val="Normln"/>
    <w:autoRedefine/>
    <w:uiPriority w:val="99"/>
    <w:unhideWhenUsed/>
    <w:rsid w:val="00E07317"/>
    <w:pPr>
      <w:spacing w:after="120"/>
      <w:ind w:left="2269" w:hanging="284"/>
    </w:pPr>
  </w:style>
  <w:style w:type="character" w:styleId="Zvraznn">
    <w:name w:val="Emphasis"/>
    <w:basedOn w:val="Standardnpsmoodstavce"/>
    <w:uiPriority w:val="99"/>
    <w:qFormat/>
    <w:rsid w:val="00E0731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073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07317"/>
    <w:rPr>
      <w:i/>
      <w:iCs/>
      <w:color w:val="000000" w:themeColor="text1"/>
    </w:rPr>
  </w:style>
  <w:style w:type="paragraph" w:styleId="Textvbloku">
    <w:name w:val="Block Text"/>
    <w:basedOn w:val="Normln"/>
    <w:next w:val="Zkladntext3"/>
    <w:uiPriority w:val="99"/>
    <w:unhideWhenUsed/>
    <w:qFormat/>
    <w:rsid w:val="00E07317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ln"/>
    <w:uiPriority w:val="99"/>
    <w:qFormat/>
    <w:rsid w:val="00E07317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vbloku"/>
    <w:uiPriority w:val="99"/>
    <w:qFormat/>
    <w:rsid w:val="00E07317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Zkladntext3">
    <w:name w:val="Body Text 3"/>
    <w:basedOn w:val="Normln"/>
    <w:link w:val="Zkladntext3Char1"/>
    <w:uiPriority w:val="99"/>
    <w:unhideWhenUsed/>
    <w:rsid w:val="00E0731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E07317"/>
    <w:rPr>
      <w:sz w:val="16"/>
      <w:szCs w:val="16"/>
    </w:rPr>
  </w:style>
  <w:style w:type="paragraph" w:customStyle="1" w:styleId="Disclaimer">
    <w:name w:val="Disclaimer"/>
    <w:link w:val="DisclaimerChar"/>
    <w:qFormat/>
    <w:rsid w:val="001E4CB2"/>
    <w:pPr>
      <w:spacing w:after="60" w:line="240" w:lineRule="auto"/>
    </w:pPr>
    <w:rPr>
      <w:rFonts w:ascii="Arial" w:eastAsia="Times New Roman" w:hAnsi="Arial" w:cs="Times New Roman"/>
      <w:noProof/>
      <w:sz w:val="12"/>
      <w:lang w:val="en-US"/>
    </w:rPr>
  </w:style>
  <w:style w:type="paragraph" w:styleId="Odstavecseseznamem">
    <w:name w:val="List Paragraph"/>
    <w:aliases w:val="Table of contents numbered"/>
    <w:basedOn w:val="Normln"/>
    <w:link w:val="OdstavecseseznamemChar"/>
    <w:uiPriority w:val="34"/>
    <w:unhideWhenUsed/>
    <w:qFormat/>
    <w:rsid w:val="001133EF"/>
    <w:pPr>
      <w:ind w:left="720"/>
      <w:contextualSpacing/>
    </w:pPr>
  </w:style>
  <w:style w:type="character" w:customStyle="1" w:styleId="OdstavecseseznamemChar">
    <w:name w:val="Odstavec se seznamem Char"/>
    <w:aliases w:val="Table of contents numbered Char"/>
    <w:basedOn w:val="Standardnpsmoodstavce"/>
    <w:link w:val="Odstavecseseznamem"/>
    <w:uiPriority w:val="34"/>
    <w:rsid w:val="001133EF"/>
    <w:rPr>
      <w:lang w:val="cs-CZ"/>
    </w:rPr>
  </w:style>
  <w:style w:type="paragraph" w:styleId="Titulek">
    <w:name w:val="caption"/>
    <w:basedOn w:val="Normln"/>
    <w:next w:val="Normln"/>
    <w:unhideWhenUsed/>
    <w:qFormat/>
    <w:rsid w:val="00EA768E"/>
    <w:pPr>
      <w:spacing w:before="240" w:after="200" w:line="240" w:lineRule="auto"/>
    </w:pPr>
    <w:rPr>
      <w:b/>
      <w:bCs/>
      <w:color w:val="DC6900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7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7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77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728"/>
    <w:rPr>
      <w:b/>
      <w:bCs/>
    </w:rPr>
  </w:style>
  <w:style w:type="paragraph" w:styleId="Textpoznpodarou">
    <w:name w:val="footnote text"/>
    <w:aliases w:val="Text poznámky pod čiarou 007,Footnote,fn,Footnotes,Footnote ak,fn Char,footnote text Char,Footnotes Char,Footnote ak Char,ft,fn cafc,Footnotes Char Char,Footnote Text Char Char,fn Char Char,footnote text Char Char Char Ch,fn1"/>
    <w:basedOn w:val="Normln"/>
    <w:link w:val="TextpoznpodarouChar"/>
    <w:uiPriority w:val="99"/>
    <w:unhideWhenUsed/>
    <w:qFormat/>
    <w:rsid w:val="00917769"/>
    <w:pPr>
      <w:spacing w:after="0" w:line="240" w:lineRule="auto"/>
    </w:pPr>
    <w:rPr>
      <w:rFonts w:eastAsia="Arial" w:cs="Times New Roman"/>
    </w:rPr>
  </w:style>
  <w:style w:type="character" w:customStyle="1" w:styleId="TextpoznpodarouChar">
    <w:name w:val="Text pozn. pod čarou Char"/>
    <w:aliases w:val="Text poznámky pod čiarou 007 Char,Footnote Char,fn Char1,Footnotes Char1,Footnote ak Char1,fn Char Char1,footnote text Char Char,Footnotes Char Char1,Footnote ak Char Char,ft Char,fn cafc Char,Footnotes Char Char Char,fn1 Char"/>
    <w:basedOn w:val="Standardnpsmoodstavce"/>
    <w:link w:val="Textpoznpodarou"/>
    <w:uiPriority w:val="99"/>
    <w:rsid w:val="00917769"/>
    <w:rPr>
      <w:rFonts w:eastAsia="Arial" w:cs="Times New Roman"/>
      <w:lang w:val="cs-CZ"/>
    </w:rPr>
  </w:style>
  <w:style w:type="character" w:styleId="Znakapoznpodarou">
    <w:name w:val="footnote reference"/>
    <w:aliases w:val="Ref,de nota al pie,Ref1,de nota al pie1,Ref2,de nota al pie2,Ref11,de nota al pie11, BVI fnr,BVI fnr,Footnote symbol,Footnote reference number,Times 10 Point,Exposant 3 Point,note TESI,SUPERS,EN Footnote text,number,E F,no..."/>
    <w:basedOn w:val="Standardnpsmoodstavce"/>
    <w:uiPriority w:val="99"/>
    <w:unhideWhenUsed/>
    <w:rsid w:val="00917769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17769"/>
    <w:rPr>
      <w:b/>
      <w:bCs/>
      <w:i/>
      <w:iCs/>
      <w:color w:val="DC6900" w:themeColor="accent1"/>
    </w:rPr>
  </w:style>
  <w:style w:type="paragraph" w:customStyle="1" w:styleId="Appendix">
    <w:name w:val="Appendix"/>
    <w:basedOn w:val="Nadpis1"/>
    <w:next w:val="Normln"/>
    <w:uiPriority w:val="99"/>
    <w:qFormat/>
    <w:rsid w:val="00B219D6"/>
    <w:pPr>
      <w:numPr>
        <w:numId w:val="6"/>
      </w:numPr>
      <w:spacing w:after="240"/>
    </w:pPr>
  </w:style>
  <w:style w:type="numbering" w:customStyle="1" w:styleId="PwCAppendixList1">
    <w:name w:val="PwC Appendix List 1"/>
    <w:uiPriority w:val="99"/>
    <w:rsid w:val="00B219D6"/>
    <w:pPr>
      <w:numPr>
        <w:numId w:val="5"/>
      </w:numPr>
    </w:pPr>
  </w:style>
  <w:style w:type="table" w:styleId="Svtlmkazvraznn2">
    <w:name w:val="Light Grid Accent 2"/>
    <w:basedOn w:val="Normlntabulka"/>
    <w:uiPriority w:val="62"/>
    <w:rsid w:val="00060566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Svtlseznamzvraznn6">
    <w:name w:val="Light List Accent 6"/>
    <w:basedOn w:val="Normlntabulka"/>
    <w:uiPriority w:val="66"/>
    <w:rsid w:val="008A60E6"/>
    <w:pPr>
      <w:spacing w:after="0" w:line="240" w:lineRule="auto"/>
    </w:pPr>
    <w:rPr>
      <w:rFonts w:eastAsia="Arial" w:cs="Times New Roman"/>
      <w:lang w:eastAsia="en-GB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6C2E"/>
    <w:rPr>
      <w:color w:val="0000FF" w:themeColor="followedHyperlink"/>
      <w:u w:val="single"/>
    </w:rPr>
  </w:style>
  <w:style w:type="paragraph" w:customStyle="1" w:styleId="TOCHeading1">
    <w:name w:val="TOC Heading1"/>
    <w:basedOn w:val="Nadpis1"/>
    <w:next w:val="Normln"/>
    <w:uiPriority w:val="39"/>
    <w:unhideWhenUsed/>
    <w:qFormat/>
    <w:rsid w:val="005957A0"/>
    <w:pPr>
      <w:numPr>
        <w:numId w:val="0"/>
      </w:numPr>
      <w:outlineLvl w:val="9"/>
    </w:pPr>
    <w:rPr>
      <w:rFonts w:ascii="Georgia" w:eastAsia="Times New Roman" w:hAnsi="Georgia" w:cs="Times New Roman"/>
      <w:lang w:val="en-US"/>
    </w:r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5957A0"/>
    <w:rPr>
      <w:rFonts w:eastAsia="Arial" w:cs="Times New Roman"/>
      <w:i/>
      <w:iCs/>
      <w:color w:val="000000"/>
    </w:rPr>
  </w:style>
  <w:style w:type="character" w:customStyle="1" w:styleId="ColorfulGrid-Accent1Char">
    <w:name w:val="Colorful Grid - Accent 1 Char"/>
    <w:basedOn w:val="Standardnpsmoodstavce"/>
    <w:link w:val="ColorfulGrid-Accent11"/>
    <w:uiPriority w:val="29"/>
    <w:rsid w:val="005957A0"/>
    <w:rPr>
      <w:rFonts w:eastAsia="Arial" w:cs="Times New Roman"/>
      <w:i/>
      <w:iCs/>
      <w:color w:val="000000"/>
      <w:lang w:val="cs-CZ"/>
    </w:rPr>
  </w:style>
  <w:style w:type="character" w:customStyle="1" w:styleId="DisclaimerChar">
    <w:name w:val="Disclaimer Char"/>
    <w:basedOn w:val="Standardnpsmoodstavce"/>
    <w:link w:val="Disclaimer"/>
    <w:rsid w:val="005957A0"/>
    <w:rPr>
      <w:rFonts w:ascii="Arial" w:eastAsia="Times New Roman" w:hAnsi="Arial" w:cs="Times New Roman"/>
      <w:noProof/>
      <w:sz w:val="12"/>
      <w:lang w:val="en-US"/>
    </w:rPr>
  </w:style>
  <w:style w:type="paragraph" w:customStyle="1" w:styleId="PwCAddress">
    <w:name w:val="PwC Address"/>
    <w:basedOn w:val="Normln"/>
    <w:link w:val="PwCAddressChar"/>
    <w:qFormat/>
    <w:rsid w:val="005957A0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5957A0"/>
    <w:rPr>
      <w:i/>
      <w:noProof/>
      <w:sz w:val="18"/>
      <w:szCs w:val="22"/>
      <w:lang w:val="cs-CZ" w:eastAsia="en-GB"/>
    </w:rPr>
  </w:style>
  <w:style w:type="character" w:customStyle="1" w:styleId="AddressChar">
    <w:name w:val="Address Char"/>
    <w:basedOn w:val="Standardnpsmoodstavce"/>
    <w:link w:val="Address"/>
    <w:locked/>
    <w:rsid w:val="005957A0"/>
    <w:rPr>
      <w:i/>
      <w:noProof/>
      <w:sz w:val="18"/>
      <w:szCs w:val="22"/>
    </w:rPr>
  </w:style>
  <w:style w:type="paragraph" w:customStyle="1" w:styleId="Address">
    <w:name w:val="Address"/>
    <w:basedOn w:val="Normln"/>
    <w:link w:val="AddressChar"/>
    <w:qFormat/>
    <w:rsid w:val="005957A0"/>
    <w:pPr>
      <w:spacing w:after="0" w:line="200" w:lineRule="atLeast"/>
    </w:pPr>
    <w:rPr>
      <w:i/>
      <w:noProof/>
      <w:sz w:val="18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57A0"/>
    <w:pPr>
      <w:spacing w:after="0" w:line="240" w:lineRule="auto"/>
    </w:pPr>
    <w:rPr>
      <w:rFonts w:eastAsia="Arial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57A0"/>
    <w:rPr>
      <w:rFonts w:eastAsia="Arial" w:cs="Times New Roman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957A0"/>
    <w:rPr>
      <w:vertAlign w:val="superscript"/>
    </w:rPr>
  </w:style>
  <w:style w:type="paragraph" w:styleId="Revize">
    <w:name w:val="Revision"/>
    <w:hidden/>
    <w:uiPriority w:val="71"/>
    <w:rsid w:val="005957A0"/>
    <w:pPr>
      <w:spacing w:after="0" w:line="240" w:lineRule="auto"/>
    </w:pPr>
    <w:rPr>
      <w:rFonts w:eastAsia="Arial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FF6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Barevntabulkasmkou7zvraznn61">
    <w:name w:val="Barevná tabulka s mřížkou 7 – zvýraznění 61"/>
    <w:basedOn w:val="Normlntabulka"/>
    <w:uiPriority w:val="52"/>
    <w:rsid w:val="00817B86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4" w:space="0" w:color="EC8277" w:themeColor="accent6" w:themeTint="99"/>
        <w:left w:val="single" w:sz="4" w:space="0" w:color="EC8277" w:themeColor="accent6" w:themeTint="99"/>
        <w:bottom w:val="single" w:sz="4" w:space="0" w:color="EC8277" w:themeColor="accent6" w:themeTint="99"/>
        <w:right w:val="single" w:sz="4" w:space="0" w:color="EC8277" w:themeColor="accent6" w:themeTint="99"/>
        <w:insideH w:val="single" w:sz="4" w:space="0" w:color="EC8277" w:themeColor="accent6" w:themeTint="99"/>
        <w:insideV w:val="single" w:sz="4" w:space="0" w:color="EC82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1" w:themeFill="accent6" w:themeFillTint="33"/>
      </w:tcPr>
    </w:tblStylePr>
    <w:tblStylePr w:type="band1Horz">
      <w:tblPr/>
      <w:tcPr>
        <w:shd w:val="clear" w:color="auto" w:fill="F9D5D1" w:themeFill="accent6" w:themeFillTint="33"/>
      </w:tcPr>
    </w:tblStylePr>
    <w:tblStylePr w:type="neCell">
      <w:tblPr/>
      <w:tcPr>
        <w:tcBorders>
          <w:bottom w:val="single" w:sz="4" w:space="0" w:color="EC8277" w:themeColor="accent6" w:themeTint="99"/>
        </w:tcBorders>
      </w:tcPr>
    </w:tblStylePr>
    <w:tblStylePr w:type="nwCell">
      <w:tblPr/>
      <w:tcPr>
        <w:tcBorders>
          <w:bottom w:val="single" w:sz="4" w:space="0" w:color="EC8277" w:themeColor="accent6" w:themeTint="99"/>
        </w:tcBorders>
      </w:tcPr>
    </w:tblStylePr>
    <w:tblStylePr w:type="seCell">
      <w:tblPr/>
      <w:tcPr>
        <w:tcBorders>
          <w:top w:val="single" w:sz="4" w:space="0" w:color="EC8277" w:themeColor="accent6" w:themeTint="99"/>
        </w:tcBorders>
      </w:tcPr>
    </w:tblStylePr>
    <w:tblStylePr w:type="swCell">
      <w:tblPr/>
      <w:tcPr>
        <w:tcBorders>
          <w:top w:val="single" w:sz="4" w:space="0" w:color="EC8277" w:themeColor="accent6" w:themeTint="99"/>
        </w:tcBorders>
      </w:tcPr>
    </w:tblStylePr>
  </w:style>
  <w:style w:type="paragraph" w:customStyle="1" w:styleId="NumberedList">
    <w:name w:val="Number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styleId="Zkladntext2">
    <w:name w:val="Body Text 2"/>
    <w:basedOn w:val="Normln"/>
    <w:next w:val="Normln"/>
    <w:link w:val="Zkladntext2Char1"/>
    <w:uiPriority w:val="99"/>
    <w:rsid w:val="001157B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157B1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paragraph" w:styleId="Nadpispoznmky">
    <w:name w:val="Note Heading"/>
    <w:basedOn w:val="Normln"/>
    <w:next w:val="Normln"/>
    <w:link w:val="Nadpispoznmky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character" w:customStyle="1" w:styleId="NadpispoznmkyChar1">
    <w:name w:val="Nadpis poznámky Char1"/>
    <w:basedOn w:val="Standardnpsmoodstavce"/>
    <w:link w:val="Nadpispoznmky"/>
    <w:uiPriority w:val="99"/>
    <w:rsid w:val="001157B1"/>
    <w:rPr>
      <w:rFonts w:ascii="Times New Roman" w:eastAsiaTheme="minorEastAsia" w:hAnsi="Times New Roman" w:cs="Times New Roman"/>
      <w:color w:val="000000"/>
      <w:lang w:val="en-AU"/>
    </w:rPr>
  </w:style>
  <w:style w:type="paragraph" w:styleId="Prosttext">
    <w:name w:val="Plain Text"/>
    <w:basedOn w:val="Normln"/>
    <w:next w:val="Normln"/>
    <w:link w:val="Prosttext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hd w:val="clear" w:color="auto" w:fill="FFFFFF"/>
      <w:lang w:val="en-AU"/>
    </w:rPr>
  </w:style>
  <w:style w:type="character" w:customStyle="1" w:styleId="ProsttextChar1">
    <w:name w:val="Prostý text Char1"/>
    <w:basedOn w:val="Standardnpsmoodstavce"/>
    <w:link w:val="Prosttext"/>
    <w:uiPriority w:val="99"/>
    <w:rsid w:val="001157B1"/>
    <w:rPr>
      <w:rFonts w:ascii="Courier New" w:eastAsiaTheme="minorEastAsia" w:hAnsi="Courier New" w:cs="Courier New"/>
      <w:color w:val="000000"/>
      <w:lang w:val="en-AU"/>
    </w:rPr>
  </w:style>
  <w:style w:type="character" w:styleId="Siln">
    <w:name w:val="Strong"/>
    <w:basedOn w:val="Standardnpsmoodstavce"/>
    <w:uiPriority w:val="99"/>
    <w:qFormat/>
    <w:rsid w:val="001157B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de">
    <w:name w:val="Code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1157B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1157B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1157B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1157B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SSTemplateField">
    <w:name w:val="SSTemplateField"/>
    <w:uiPriority w:val="99"/>
    <w:rsid w:val="001157B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Nadpis1Char">
    <w:name w:val="Nadpis 1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Nadpis2Char">
    <w:name w:val="Nadpis 2 Char"/>
    <w:uiPriority w:val="99"/>
    <w:rsid w:val="001157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uiPriority w:val="99"/>
    <w:rsid w:val="001157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uiPriority w:val="99"/>
    <w:rsid w:val="001157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uiPriority w:val="99"/>
    <w:rsid w:val="001157B1"/>
    <w:rPr>
      <w:rFonts w:ascii="Times New Roman" w:hAnsi="Times New Roman" w:cs="Times New Roman"/>
      <w:b/>
      <w:bCs/>
      <w:color w:val="000000"/>
    </w:rPr>
  </w:style>
  <w:style w:type="character" w:customStyle="1" w:styleId="Nadpis7Char">
    <w:name w:val="Nadpis 7 Char"/>
    <w:uiPriority w:val="99"/>
    <w:rsid w:val="001157B1"/>
    <w:rPr>
      <w:rFonts w:ascii="Times New Roman" w:hAnsi="Times New Roman" w:cs="Times New Roman"/>
      <w:color w:val="000000"/>
    </w:rPr>
  </w:style>
  <w:style w:type="character" w:customStyle="1" w:styleId="Nadpis8Char">
    <w:name w:val="Nadpis 8 Char"/>
    <w:uiPriority w:val="99"/>
    <w:rsid w:val="001157B1"/>
    <w:rPr>
      <w:rFonts w:ascii="Times New Roman" w:hAnsi="Times New Roman" w:cs="Times New Roman"/>
      <w:i/>
      <w:iCs/>
      <w:color w:val="000000"/>
    </w:rPr>
  </w:style>
  <w:style w:type="character" w:customStyle="1" w:styleId="Nadpis9Char">
    <w:name w:val="Nadpis 9 Char"/>
    <w:uiPriority w:val="99"/>
    <w:rsid w:val="001157B1"/>
    <w:rPr>
      <w:rFonts w:ascii="Cambria" w:hAnsi="Cambria" w:cs="Cambria"/>
      <w:color w:val="000000"/>
    </w:rPr>
  </w:style>
  <w:style w:type="character" w:customStyle="1" w:styleId="NzevChar">
    <w:name w:val="Název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ZkladntextChar">
    <w:name w:val="Základní text Char"/>
    <w:uiPriority w:val="99"/>
    <w:rsid w:val="001157B1"/>
    <w:rPr>
      <w:color w:val="000000"/>
      <w:sz w:val="20"/>
      <w:szCs w:val="20"/>
    </w:rPr>
  </w:style>
  <w:style w:type="character" w:customStyle="1" w:styleId="Zkladntext2Char">
    <w:name w:val="Základní text 2 Char"/>
    <w:uiPriority w:val="99"/>
    <w:rsid w:val="001157B1"/>
    <w:rPr>
      <w:color w:val="000000"/>
      <w:sz w:val="20"/>
      <w:szCs w:val="20"/>
    </w:rPr>
  </w:style>
  <w:style w:type="character" w:customStyle="1" w:styleId="Zkladntext3Char">
    <w:name w:val="Základní text 3 Char"/>
    <w:uiPriority w:val="99"/>
    <w:rsid w:val="001157B1"/>
    <w:rPr>
      <w:color w:val="000000"/>
      <w:sz w:val="16"/>
      <w:szCs w:val="16"/>
    </w:rPr>
  </w:style>
  <w:style w:type="character" w:customStyle="1" w:styleId="NadpispoznmkyChar">
    <w:name w:val="Nadpis poznámky Char"/>
    <w:uiPriority w:val="99"/>
    <w:rsid w:val="001157B1"/>
    <w:rPr>
      <w:color w:val="000000"/>
      <w:sz w:val="20"/>
      <w:szCs w:val="20"/>
    </w:rPr>
  </w:style>
  <w:style w:type="character" w:customStyle="1" w:styleId="ProsttextChar">
    <w:name w:val="Prostý text Char"/>
    <w:uiPriority w:val="99"/>
    <w:rsid w:val="001157B1"/>
    <w:rPr>
      <w:rFonts w:ascii="Courier New" w:hAnsi="Courier New" w:cs="Courier New"/>
      <w:color w:val="000000"/>
      <w:sz w:val="20"/>
      <w:szCs w:val="20"/>
    </w:rPr>
  </w:style>
  <w:style w:type="character" w:customStyle="1" w:styleId="ZpatChar">
    <w:name w:val="Zápatí Char"/>
    <w:uiPriority w:val="99"/>
    <w:rsid w:val="001157B1"/>
    <w:rPr>
      <w:color w:val="000000"/>
      <w:sz w:val="20"/>
      <w:szCs w:val="20"/>
    </w:rPr>
  </w:style>
  <w:style w:type="character" w:customStyle="1" w:styleId="ZhlavChar">
    <w:name w:val="Záhlaví Char"/>
    <w:uiPriority w:val="99"/>
    <w:rsid w:val="001157B1"/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1157B1"/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vrendokumentuChar">
    <w:name w:val="Rozvržení dokumentu Char"/>
    <w:uiPriority w:val="99"/>
    <w:rsid w:val="001157B1"/>
    <w:rPr>
      <w:rFonts w:ascii="Tahoma" w:hAnsi="Tahoma" w:cs="Tahoma"/>
      <w:color w:val="000000"/>
      <w:sz w:val="16"/>
      <w:szCs w:val="16"/>
    </w:rPr>
  </w:style>
  <w:style w:type="table" w:styleId="Svtlseznamzvraznn1">
    <w:name w:val="Light List Accent 1"/>
    <w:basedOn w:val="Normlntabulka"/>
    <w:uiPriority w:val="61"/>
    <w:rsid w:val="001157B1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Svtlseznam">
    <w:name w:val="Light List"/>
    <w:basedOn w:val="Normlntabulka"/>
    <w:uiPriority w:val="61"/>
    <w:rsid w:val="00601B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02tempparagheading">
    <w:name w:val="02_temp_parag_heading"/>
    <w:basedOn w:val="Normln"/>
    <w:link w:val="02tempparagheadingChar"/>
    <w:uiPriority w:val="99"/>
    <w:qFormat/>
    <w:rsid w:val="00FA165D"/>
    <w:pPr>
      <w:spacing w:before="240" w:after="120"/>
    </w:pPr>
    <w:rPr>
      <w:b/>
      <w:i/>
      <w:sz w:val="22"/>
      <w:szCs w:val="22"/>
    </w:rPr>
  </w:style>
  <w:style w:type="character" w:customStyle="1" w:styleId="02tempparagheadingChar">
    <w:name w:val="02_temp_parag_heading Char"/>
    <w:basedOn w:val="Standardnpsmoodstavce"/>
    <w:link w:val="02tempparagheading"/>
    <w:uiPriority w:val="99"/>
    <w:rsid w:val="00FA165D"/>
    <w:rPr>
      <w:b/>
      <w:i/>
      <w:sz w:val="22"/>
      <w:szCs w:val="22"/>
      <w:lang w:val="cs-CZ"/>
    </w:rPr>
  </w:style>
  <w:style w:type="character" w:customStyle="1" w:styleId="BodyTextChar1">
    <w:name w:val="Body Text Char1"/>
    <w:basedOn w:val="Standardnpsmoodstavce"/>
    <w:uiPriority w:val="99"/>
    <w:rsid w:val="004B3499"/>
  </w:style>
  <w:style w:type="character" w:customStyle="1" w:styleId="HeaderChar1">
    <w:name w:val="Head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FooterChar1">
    <w:name w:val="Foot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Heading1Char1">
    <w:name w:val="Heading 1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1">
    <w:name w:val="Heading 2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1">
    <w:name w:val="Heading 3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1">
    <w:name w:val="Heading 4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1">
    <w:name w:val="Heading 5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TitleChar1">
    <w:name w:val="Title Char1"/>
    <w:basedOn w:val="Standardnpsmoodstavce"/>
    <w:uiPriority w:val="99"/>
    <w:rsid w:val="004B3499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Heading6Char1">
    <w:name w:val="Heading 6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1">
    <w:name w:val="Heading 7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1">
    <w:name w:val="Heading 8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1">
    <w:name w:val="Heading 9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BodyText3Char1">
    <w:name w:val="Body Text 3 Char1"/>
    <w:basedOn w:val="Standardnpsmoodstavce"/>
    <w:uiPriority w:val="99"/>
    <w:rsid w:val="004B3499"/>
    <w:rPr>
      <w:sz w:val="16"/>
      <w:szCs w:val="16"/>
    </w:rPr>
  </w:style>
  <w:style w:type="character" w:customStyle="1" w:styleId="BodyText2Char1">
    <w:name w:val="Body Text 2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character" w:customStyle="1" w:styleId="NoteHeadingChar1">
    <w:name w:val="Note Heading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lang w:val="en-AU"/>
    </w:rPr>
  </w:style>
  <w:style w:type="character" w:customStyle="1" w:styleId="PlainTextChar1">
    <w:name w:val="Plain Text Char1"/>
    <w:basedOn w:val="Standardnpsmoodstavce"/>
    <w:uiPriority w:val="99"/>
    <w:rsid w:val="004B3499"/>
    <w:rPr>
      <w:rFonts w:ascii="Courier New" w:eastAsiaTheme="minorEastAsia" w:hAnsi="Courier New" w:cs="Courier New"/>
      <w:color w:val="000000"/>
      <w:lang w:val="en-AU"/>
    </w:rPr>
  </w:style>
  <w:style w:type="character" w:customStyle="1" w:styleId="DocumentMapChar1">
    <w:name w:val="Document Map Char1"/>
    <w:basedOn w:val="Standardnpsmoodstavce"/>
    <w:uiPriority w:val="99"/>
    <w:rsid w:val="004B3499"/>
    <w:rPr>
      <w:rFonts w:ascii="Tahoma" w:eastAsiaTheme="minorEastAsia" w:hAnsi="Tahoma" w:cs="Tahoma"/>
      <w:color w:val="000000"/>
      <w:sz w:val="16"/>
      <w:szCs w:val="16"/>
      <w:lang w:val="en-AU"/>
    </w:rPr>
  </w:style>
  <w:style w:type="paragraph" w:styleId="Seznamobrzk">
    <w:name w:val="table of figures"/>
    <w:basedOn w:val="Normln"/>
    <w:next w:val="Normln"/>
    <w:uiPriority w:val="99"/>
    <w:unhideWhenUsed/>
    <w:rsid w:val="00345CFB"/>
    <w:pPr>
      <w:spacing w:after="0"/>
    </w:pPr>
  </w:style>
  <w:style w:type="character" w:customStyle="1" w:styleId="Heading1Char">
    <w:name w:val="Heading 1 Char"/>
    <w:uiPriority w:val="99"/>
    <w:rsid w:val="006042AA"/>
    <w:rPr>
      <w:rFonts w:ascii="Verdana" w:hAnsi="Verdana" w:cs="Verdana"/>
      <w:color w:val="004080"/>
      <w:sz w:val="32"/>
      <w:szCs w:val="32"/>
    </w:rPr>
  </w:style>
  <w:style w:type="character" w:customStyle="1" w:styleId="Heading2Char">
    <w:name w:val="Heading 2 Char"/>
    <w:uiPriority w:val="99"/>
    <w:rsid w:val="006042AA"/>
    <w:rPr>
      <w:rFonts w:ascii="Verdana" w:hAnsi="Verdana" w:cs="Verdana"/>
      <w:color w:val="0000B0"/>
      <w:sz w:val="30"/>
      <w:szCs w:val="30"/>
    </w:rPr>
  </w:style>
  <w:style w:type="character" w:customStyle="1" w:styleId="Heading3Char">
    <w:name w:val="Heading 3 Char"/>
    <w:uiPriority w:val="99"/>
    <w:rsid w:val="006042AA"/>
    <w:rPr>
      <w:rFonts w:ascii="Verdana" w:hAnsi="Verdana" w:cs="Verdana"/>
      <w:color w:val="1F497D"/>
      <w:sz w:val="28"/>
      <w:szCs w:val="28"/>
    </w:rPr>
  </w:style>
  <w:style w:type="character" w:customStyle="1" w:styleId="Heading4Char">
    <w:name w:val="Heading 4 Char"/>
    <w:uiPriority w:val="99"/>
    <w:rsid w:val="006042AA"/>
    <w:rPr>
      <w:rFonts w:ascii="Verdana" w:hAnsi="Verdana" w:cs="Verdana"/>
      <w:color w:val="004080"/>
    </w:rPr>
  </w:style>
  <w:style w:type="character" w:customStyle="1" w:styleId="Heading5Char">
    <w:name w:val="Heading 5 Char"/>
    <w:uiPriority w:val="99"/>
    <w:rsid w:val="006042AA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uiPriority w:val="99"/>
    <w:rsid w:val="006042AA"/>
    <w:rPr>
      <w:b/>
      <w:bCs/>
      <w:color w:val="000000"/>
    </w:rPr>
  </w:style>
  <w:style w:type="character" w:customStyle="1" w:styleId="Heading7Char">
    <w:name w:val="Heading 7 Char"/>
    <w:uiPriority w:val="99"/>
    <w:rsid w:val="006042AA"/>
    <w:rPr>
      <w:color w:val="000000"/>
    </w:rPr>
  </w:style>
  <w:style w:type="character" w:customStyle="1" w:styleId="Heading8Char">
    <w:name w:val="Heading 8 Char"/>
    <w:uiPriority w:val="99"/>
    <w:rsid w:val="006042AA"/>
    <w:rPr>
      <w:i/>
      <w:iCs/>
      <w:color w:val="000000"/>
    </w:rPr>
  </w:style>
  <w:style w:type="character" w:customStyle="1" w:styleId="Heading9Char">
    <w:name w:val="Heading 9 Char"/>
    <w:uiPriority w:val="99"/>
    <w:rsid w:val="006042AA"/>
    <w:rPr>
      <w:rFonts w:ascii="Cambria" w:hAnsi="Cambria" w:cs="Cambria"/>
      <w:color w:val="000000"/>
    </w:rPr>
  </w:style>
  <w:style w:type="character" w:customStyle="1" w:styleId="TitleChar">
    <w:name w:val="Title Char"/>
    <w:uiPriority w:val="99"/>
    <w:rsid w:val="006042AA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BodyTextChar">
    <w:name w:val="Body Text Char"/>
    <w:uiPriority w:val="99"/>
    <w:rsid w:val="006042AA"/>
    <w:rPr>
      <w:color w:val="000000"/>
      <w:sz w:val="20"/>
      <w:szCs w:val="20"/>
    </w:rPr>
  </w:style>
  <w:style w:type="character" w:customStyle="1" w:styleId="BodyText2Char">
    <w:name w:val="Body Text 2 Char"/>
    <w:uiPriority w:val="99"/>
    <w:rsid w:val="006042AA"/>
    <w:rPr>
      <w:color w:val="000000"/>
      <w:sz w:val="20"/>
      <w:szCs w:val="20"/>
    </w:rPr>
  </w:style>
  <w:style w:type="character" w:customStyle="1" w:styleId="BodyText3Char">
    <w:name w:val="Body Text 3 Char"/>
    <w:uiPriority w:val="99"/>
    <w:rsid w:val="006042AA"/>
    <w:rPr>
      <w:color w:val="000000"/>
      <w:sz w:val="16"/>
      <w:szCs w:val="16"/>
    </w:rPr>
  </w:style>
  <w:style w:type="character" w:customStyle="1" w:styleId="NoteHeadingChar">
    <w:name w:val="Note Heading Char"/>
    <w:uiPriority w:val="99"/>
    <w:rsid w:val="006042AA"/>
    <w:rPr>
      <w:color w:val="000000"/>
      <w:sz w:val="20"/>
      <w:szCs w:val="20"/>
    </w:rPr>
  </w:style>
  <w:style w:type="character" w:customStyle="1" w:styleId="PlainTextChar">
    <w:name w:val="Plain Text Char"/>
    <w:uiPriority w:val="99"/>
    <w:rsid w:val="006042AA"/>
    <w:rPr>
      <w:rFonts w:ascii="Courier New" w:hAnsi="Courier New" w:cs="Courier New"/>
      <w:color w:val="000000"/>
      <w:sz w:val="20"/>
      <w:szCs w:val="20"/>
    </w:rPr>
  </w:style>
  <w:style w:type="character" w:customStyle="1" w:styleId="FooterChar">
    <w:name w:val="Footer Char"/>
    <w:uiPriority w:val="99"/>
    <w:rsid w:val="006042AA"/>
    <w:rPr>
      <w:color w:val="000000"/>
      <w:sz w:val="20"/>
      <w:szCs w:val="20"/>
    </w:rPr>
  </w:style>
  <w:style w:type="character" w:customStyle="1" w:styleId="HeaderChar">
    <w:name w:val="Header Char"/>
    <w:uiPriority w:val="99"/>
    <w:rsid w:val="006042AA"/>
    <w:rPr>
      <w:color w:val="000000"/>
      <w:sz w:val="20"/>
      <w:szCs w:val="20"/>
    </w:rPr>
  </w:style>
  <w:style w:type="character" w:customStyle="1" w:styleId="DocumentMapChar">
    <w:name w:val="Document Map Char"/>
    <w:uiPriority w:val="99"/>
    <w:rsid w:val="006042AA"/>
    <w:rPr>
      <w:rFonts w:ascii="Tahoma" w:hAnsi="Tahoma" w:cs="Tahoma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unhideWhenUsed/>
    <w:rsid w:val="001B7DBB"/>
    <w:pPr>
      <w:spacing w:after="0"/>
      <w:ind w:left="200" w:hanging="200"/>
    </w:pPr>
    <w:rPr>
      <w:rFonts w:asciiTheme="minorHAnsi" w:hAnsiTheme="minorHAnsi" w:cstheme="minorHAnsi"/>
      <w:sz w:val="18"/>
      <w:szCs w:val="21"/>
    </w:rPr>
  </w:style>
  <w:style w:type="paragraph" w:styleId="Rejstk2">
    <w:name w:val="index 2"/>
    <w:basedOn w:val="Normln"/>
    <w:next w:val="Normln"/>
    <w:autoRedefine/>
    <w:uiPriority w:val="99"/>
    <w:unhideWhenUsed/>
    <w:rsid w:val="001B7DBB"/>
    <w:pPr>
      <w:spacing w:after="0"/>
      <w:ind w:left="400" w:hanging="200"/>
    </w:pPr>
    <w:rPr>
      <w:rFonts w:asciiTheme="minorHAnsi" w:hAnsiTheme="minorHAnsi" w:cstheme="minorHAnsi"/>
      <w:sz w:val="18"/>
      <w:szCs w:val="21"/>
    </w:rPr>
  </w:style>
  <w:style w:type="paragraph" w:styleId="Rejstk3">
    <w:name w:val="index 3"/>
    <w:basedOn w:val="Normln"/>
    <w:next w:val="Normln"/>
    <w:autoRedefine/>
    <w:uiPriority w:val="99"/>
    <w:unhideWhenUsed/>
    <w:rsid w:val="001B7DBB"/>
    <w:pPr>
      <w:spacing w:after="0"/>
      <w:ind w:left="600" w:hanging="200"/>
    </w:pPr>
    <w:rPr>
      <w:rFonts w:asciiTheme="minorHAnsi" w:hAnsiTheme="minorHAnsi" w:cstheme="minorHAnsi"/>
      <w:sz w:val="18"/>
      <w:szCs w:val="21"/>
    </w:rPr>
  </w:style>
  <w:style w:type="paragraph" w:styleId="Rejstk4">
    <w:name w:val="index 4"/>
    <w:basedOn w:val="Normln"/>
    <w:next w:val="Normln"/>
    <w:autoRedefine/>
    <w:uiPriority w:val="99"/>
    <w:unhideWhenUsed/>
    <w:rsid w:val="001B7DBB"/>
    <w:pPr>
      <w:spacing w:after="0"/>
      <w:ind w:left="800" w:hanging="200"/>
    </w:pPr>
    <w:rPr>
      <w:rFonts w:asciiTheme="minorHAnsi" w:hAnsiTheme="minorHAnsi" w:cstheme="minorHAnsi"/>
      <w:sz w:val="18"/>
      <w:szCs w:val="21"/>
    </w:rPr>
  </w:style>
  <w:style w:type="paragraph" w:styleId="Rejstk5">
    <w:name w:val="index 5"/>
    <w:basedOn w:val="Normln"/>
    <w:next w:val="Normln"/>
    <w:autoRedefine/>
    <w:uiPriority w:val="99"/>
    <w:unhideWhenUsed/>
    <w:rsid w:val="001B7DBB"/>
    <w:pPr>
      <w:spacing w:after="0"/>
      <w:ind w:left="1000" w:hanging="200"/>
    </w:pPr>
    <w:rPr>
      <w:rFonts w:asciiTheme="minorHAnsi" w:hAnsiTheme="minorHAnsi" w:cstheme="minorHAnsi"/>
      <w:sz w:val="18"/>
      <w:szCs w:val="21"/>
    </w:rPr>
  </w:style>
  <w:style w:type="paragraph" w:styleId="Rejstk6">
    <w:name w:val="index 6"/>
    <w:basedOn w:val="Normln"/>
    <w:next w:val="Normln"/>
    <w:autoRedefine/>
    <w:uiPriority w:val="99"/>
    <w:unhideWhenUsed/>
    <w:rsid w:val="001B7DBB"/>
    <w:pPr>
      <w:spacing w:after="0"/>
      <w:ind w:left="1200" w:hanging="200"/>
    </w:pPr>
    <w:rPr>
      <w:rFonts w:asciiTheme="minorHAnsi" w:hAnsiTheme="minorHAnsi" w:cstheme="minorHAnsi"/>
      <w:sz w:val="18"/>
      <w:szCs w:val="21"/>
    </w:rPr>
  </w:style>
  <w:style w:type="paragraph" w:styleId="Rejstk7">
    <w:name w:val="index 7"/>
    <w:basedOn w:val="Normln"/>
    <w:next w:val="Normln"/>
    <w:autoRedefine/>
    <w:uiPriority w:val="99"/>
    <w:unhideWhenUsed/>
    <w:rsid w:val="001B7DBB"/>
    <w:pPr>
      <w:spacing w:after="0"/>
      <w:ind w:left="1400" w:hanging="200"/>
    </w:pPr>
    <w:rPr>
      <w:rFonts w:asciiTheme="minorHAnsi" w:hAnsiTheme="minorHAnsi" w:cstheme="minorHAnsi"/>
      <w:sz w:val="18"/>
      <w:szCs w:val="21"/>
    </w:rPr>
  </w:style>
  <w:style w:type="paragraph" w:styleId="Rejstk8">
    <w:name w:val="index 8"/>
    <w:basedOn w:val="Normln"/>
    <w:next w:val="Normln"/>
    <w:autoRedefine/>
    <w:uiPriority w:val="99"/>
    <w:unhideWhenUsed/>
    <w:rsid w:val="001B7DBB"/>
    <w:pPr>
      <w:spacing w:after="0"/>
      <w:ind w:left="1600" w:hanging="200"/>
    </w:pPr>
    <w:rPr>
      <w:rFonts w:asciiTheme="minorHAnsi" w:hAnsiTheme="minorHAnsi" w:cstheme="minorHAnsi"/>
      <w:sz w:val="18"/>
      <w:szCs w:val="21"/>
    </w:rPr>
  </w:style>
  <w:style w:type="paragraph" w:styleId="Rejstk9">
    <w:name w:val="index 9"/>
    <w:basedOn w:val="Normln"/>
    <w:next w:val="Normln"/>
    <w:autoRedefine/>
    <w:uiPriority w:val="99"/>
    <w:unhideWhenUsed/>
    <w:rsid w:val="001B7DBB"/>
    <w:pPr>
      <w:spacing w:after="0"/>
      <w:ind w:left="1800" w:hanging="200"/>
    </w:pPr>
    <w:rPr>
      <w:rFonts w:asciiTheme="minorHAnsi" w:hAnsiTheme="minorHAnsi" w:cstheme="minorHAnsi"/>
      <w:sz w:val="18"/>
      <w:szCs w:val="21"/>
    </w:rPr>
  </w:style>
  <w:style w:type="paragraph" w:styleId="Hlavikarejstku">
    <w:name w:val="index heading"/>
    <w:basedOn w:val="Normln"/>
    <w:next w:val="Rejstk1"/>
    <w:uiPriority w:val="99"/>
    <w:unhideWhenUsed/>
    <w:rsid w:val="001B7DBB"/>
    <w:pPr>
      <w:pBdr>
        <w:top w:val="single" w:sz="12" w:space="0" w:color="auto"/>
      </w:pBdr>
      <w:spacing w:before="360"/>
    </w:pPr>
    <w:rPr>
      <w:rFonts w:asciiTheme="minorHAnsi" w:hAnsiTheme="minorHAnsi" w:cstheme="minorHAnsi"/>
      <w:b/>
      <w:bCs/>
      <w:i/>
      <w:iCs/>
      <w:sz w:val="26"/>
      <w:szCs w:val="31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F2A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uiPriority="0" w:qFormat="1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nhideWhenUsed="0" w:qFormat="1"/>
    <w:lsdException w:name="Default Paragraph Font" w:uiPriority="1"/>
    <w:lsdException w:name="Body Text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6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E07317"/>
    <w:rPr>
      <w:lang w:val="cs-CZ"/>
    </w:rPr>
  </w:style>
  <w:style w:type="paragraph" w:styleId="Nadpis1">
    <w:name w:val="heading 1"/>
    <w:basedOn w:val="Normln"/>
    <w:next w:val="Nadpis2"/>
    <w:link w:val="Nadpis1Char1"/>
    <w:uiPriority w:val="99"/>
    <w:qFormat/>
    <w:rsid w:val="00450F21"/>
    <w:pPr>
      <w:keepNext/>
      <w:keepLines/>
      <w:numPr>
        <w:numId w:val="7"/>
      </w:numPr>
      <w:spacing w:after="480" w:line="600" w:lineRule="atLeast"/>
      <w:ind w:left="567" w:hanging="567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Nadpis2">
    <w:name w:val="heading 2"/>
    <w:basedOn w:val="Normln"/>
    <w:next w:val="Zkladntext"/>
    <w:link w:val="Nadpis2Char1"/>
    <w:uiPriority w:val="99"/>
    <w:unhideWhenUsed/>
    <w:qFormat/>
    <w:rsid w:val="00A11021"/>
    <w:pPr>
      <w:keepNext/>
      <w:keepLines/>
      <w:numPr>
        <w:ilvl w:val="1"/>
        <w:numId w:val="7"/>
      </w:numPr>
      <w:spacing w:before="360" w:line="240" w:lineRule="auto"/>
      <w:ind w:left="1418" w:hanging="1134"/>
      <w:jc w:val="both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Nadpis3">
    <w:name w:val="heading 3"/>
    <w:basedOn w:val="Normln"/>
    <w:next w:val="Zkladntext"/>
    <w:link w:val="Nadpis3Char1"/>
    <w:uiPriority w:val="99"/>
    <w:unhideWhenUsed/>
    <w:qFormat/>
    <w:rsid w:val="007732AE"/>
    <w:pPr>
      <w:keepNext/>
      <w:keepLines/>
      <w:numPr>
        <w:ilvl w:val="2"/>
        <w:numId w:val="7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Nadpis4">
    <w:name w:val="heading 4"/>
    <w:basedOn w:val="Normln"/>
    <w:next w:val="Zkladntext"/>
    <w:link w:val="Nadpis4Char1"/>
    <w:uiPriority w:val="99"/>
    <w:unhideWhenUsed/>
    <w:qFormat/>
    <w:rsid w:val="007732AE"/>
    <w:pPr>
      <w:keepNext/>
      <w:keepLines/>
      <w:numPr>
        <w:ilvl w:val="3"/>
        <w:numId w:val="7"/>
      </w:numPr>
      <w:spacing w:after="120" w:line="240" w:lineRule="auto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Nadpis5">
    <w:name w:val="heading 5"/>
    <w:basedOn w:val="Normln"/>
    <w:next w:val="Zkladntext"/>
    <w:link w:val="Nadpis5Char1"/>
    <w:uiPriority w:val="99"/>
    <w:unhideWhenUsed/>
    <w:qFormat/>
    <w:rsid w:val="000D1F6B"/>
    <w:pPr>
      <w:keepNext/>
      <w:keepLines/>
      <w:numPr>
        <w:ilvl w:val="4"/>
        <w:numId w:val="7"/>
      </w:numPr>
      <w:spacing w:after="12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Nadpis6">
    <w:name w:val="heading 6"/>
    <w:basedOn w:val="Normln"/>
    <w:next w:val="Normln"/>
    <w:link w:val="Nadpis6Char1"/>
    <w:uiPriority w:val="99"/>
    <w:unhideWhenUsed/>
    <w:qFormat/>
    <w:rsid w:val="00E07317"/>
    <w:pPr>
      <w:keepNext/>
      <w:keepLines/>
      <w:numPr>
        <w:ilvl w:val="5"/>
        <w:numId w:val="7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7">
    <w:name w:val="heading 7"/>
    <w:basedOn w:val="Normln"/>
    <w:next w:val="Normln"/>
    <w:link w:val="Nadpis7Char1"/>
    <w:uiPriority w:val="99"/>
    <w:unhideWhenUsed/>
    <w:qFormat/>
    <w:rsid w:val="00E07317"/>
    <w:pPr>
      <w:keepNext/>
      <w:keepLines/>
      <w:numPr>
        <w:ilvl w:val="6"/>
        <w:numId w:val="7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8">
    <w:name w:val="heading 8"/>
    <w:basedOn w:val="Normln"/>
    <w:next w:val="Normln"/>
    <w:link w:val="Nadpis8Char1"/>
    <w:uiPriority w:val="99"/>
    <w:unhideWhenUsed/>
    <w:qFormat/>
    <w:rsid w:val="00E07317"/>
    <w:pPr>
      <w:keepNext/>
      <w:keepLines/>
      <w:numPr>
        <w:ilvl w:val="7"/>
        <w:numId w:val="7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Nadpis9">
    <w:name w:val="heading 9"/>
    <w:basedOn w:val="Normln"/>
    <w:next w:val="Normln"/>
    <w:link w:val="Nadpis9Char1"/>
    <w:uiPriority w:val="99"/>
    <w:unhideWhenUsed/>
    <w:qFormat/>
    <w:rsid w:val="00E07317"/>
    <w:pPr>
      <w:keepNext/>
      <w:keepLines/>
      <w:numPr>
        <w:ilvl w:val="8"/>
        <w:numId w:val="7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unhideWhenUsed/>
    <w:qFormat/>
    <w:rsid w:val="00B80DB8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B80DB8"/>
    <w:rPr>
      <w:lang w:val="cs-CZ"/>
    </w:rPr>
  </w:style>
  <w:style w:type="paragraph" w:customStyle="1" w:styleId="BodySingle">
    <w:name w:val="Body Single"/>
    <w:basedOn w:val="Zkladntext"/>
    <w:link w:val="BodySingleChar"/>
    <w:uiPriority w:val="1"/>
    <w:qFormat/>
    <w:rsid w:val="00E07317"/>
  </w:style>
  <w:style w:type="paragraph" w:styleId="Zhlav">
    <w:name w:val="header"/>
    <w:basedOn w:val="Normln"/>
    <w:link w:val="Zhlav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ZkladntextChar1"/>
    <w:link w:val="BodySingle"/>
    <w:uiPriority w:val="1"/>
    <w:rsid w:val="00E07317"/>
    <w:rPr>
      <w:lang w:val="cs-CZ"/>
    </w:rPr>
  </w:style>
  <w:style w:type="character" w:customStyle="1" w:styleId="ZhlavChar1">
    <w:name w:val="Záhlaví Char1"/>
    <w:basedOn w:val="Standardnpsmoodstavce"/>
    <w:link w:val="Zhlav"/>
    <w:uiPriority w:val="99"/>
    <w:rsid w:val="00E07317"/>
    <w:rPr>
      <w:rFonts w:asciiTheme="minorHAnsi" w:hAnsiTheme="minorHAnsi"/>
      <w:sz w:val="19"/>
    </w:rPr>
  </w:style>
  <w:style w:type="paragraph" w:styleId="Zpat">
    <w:name w:val="footer"/>
    <w:basedOn w:val="Normln"/>
    <w:link w:val="Zpat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ZpatChar1">
    <w:name w:val="Zápatí Char1"/>
    <w:basedOn w:val="Standardnpsmoodstavce"/>
    <w:link w:val="Zpat"/>
    <w:uiPriority w:val="99"/>
    <w:rsid w:val="00E07317"/>
    <w:rPr>
      <w:rFonts w:asciiTheme="minorHAnsi" w:hAnsiTheme="minorHAnsi"/>
      <w:sz w:val="19"/>
    </w:rPr>
  </w:style>
  <w:style w:type="character" w:customStyle="1" w:styleId="Nadpis1Char1">
    <w:name w:val="Nadpis 1 Char1"/>
    <w:basedOn w:val="Standardnpsmoodstavce"/>
    <w:link w:val="Nadpis1"/>
    <w:uiPriority w:val="99"/>
    <w:rsid w:val="00450F21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2Char1">
    <w:name w:val="Nadpis 2 Char1"/>
    <w:basedOn w:val="Standardnpsmoodstavce"/>
    <w:link w:val="Nadpis2"/>
    <w:uiPriority w:val="99"/>
    <w:rsid w:val="00A11021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  <w:lang w:val="cs-CZ"/>
    </w:rPr>
  </w:style>
  <w:style w:type="character" w:customStyle="1" w:styleId="Nadpis3Char1">
    <w:name w:val="Nadpis 3 Char1"/>
    <w:basedOn w:val="Standardnpsmoodstavce"/>
    <w:link w:val="Nadpis3"/>
    <w:uiPriority w:val="99"/>
    <w:rsid w:val="007732AE"/>
    <w:rPr>
      <w:rFonts w:asciiTheme="majorHAnsi" w:eastAsiaTheme="majorEastAsia" w:hAnsiTheme="majorHAnsi" w:cstheme="majorBidi"/>
      <w:bCs/>
      <w:i/>
      <w:color w:val="DC6900" w:themeColor="text2"/>
      <w:sz w:val="32"/>
      <w:lang w:val="cs-CZ"/>
    </w:rPr>
  </w:style>
  <w:style w:type="character" w:customStyle="1" w:styleId="Nadpis4Char1">
    <w:name w:val="Nadpis 4 Char1"/>
    <w:basedOn w:val="Standardnpsmoodstavce"/>
    <w:link w:val="Nadpis4"/>
    <w:uiPriority w:val="99"/>
    <w:rsid w:val="007732AE"/>
    <w:rPr>
      <w:rFonts w:asciiTheme="majorHAnsi" w:eastAsiaTheme="majorEastAsia" w:hAnsiTheme="majorHAnsi" w:cstheme="majorBidi"/>
      <w:bCs/>
      <w:iCs/>
      <w:color w:val="DC6900" w:themeColor="text2"/>
      <w:sz w:val="32"/>
      <w:lang w:val="cs-CZ"/>
    </w:rPr>
  </w:style>
  <w:style w:type="character" w:customStyle="1" w:styleId="Nadpis5Char1">
    <w:name w:val="Nadpis 5 Char1"/>
    <w:basedOn w:val="Standardnpsmoodstavce"/>
    <w:link w:val="Nadpis5"/>
    <w:uiPriority w:val="99"/>
    <w:rsid w:val="000D1F6B"/>
    <w:rPr>
      <w:rFonts w:asciiTheme="majorHAnsi" w:eastAsiaTheme="majorEastAsia" w:hAnsiTheme="majorHAnsi" w:cstheme="majorBidi"/>
      <w:color w:val="DC6900" w:themeColor="text2"/>
      <w:lang w:val="cs-CZ"/>
    </w:rPr>
  </w:style>
  <w:style w:type="paragraph" w:styleId="Nzev">
    <w:name w:val="Title"/>
    <w:basedOn w:val="Normln"/>
    <w:next w:val="Podtitul"/>
    <w:link w:val="NzevChar1"/>
    <w:uiPriority w:val="99"/>
    <w:qFormat/>
    <w:rsid w:val="00E0731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NzevChar1">
    <w:name w:val="Název Char1"/>
    <w:basedOn w:val="Standardnpsmoodstavce"/>
    <w:link w:val="Nzev"/>
    <w:uiPriority w:val="99"/>
    <w:rsid w:val="00E07317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E07317"/>
    <w:pPr>
      <w:outlineLvl w:val="9"/>
    </w:pPr>
    <w:rPr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731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317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07317"/>
    <w:pPr>
      <w:pBdr>
        <w:top w:val="single" w:sz="8" w:space="4" w:color="DC6900" w:themeColor="text2"/>
      </w:pBdr>
      <w:spacing w:before="120" w:after="120"/>
      <w:ind w:left="284" w:hanging="284"/>
    </w:pPr>
  </w:style>
  <w:style w:type="paragraph" w:styleId="Obsah2">
    <w:name w:val="toc 2"/>
    <w:basedOn w:val="Normln"/>
    <w:next w:val="Normln"/>
    <w:autoRedefine/>
    <w:uiPriority w:val="39"/>
    <w:unhideWhenUsed/>
    <w:rsid w:val="00E07317"/>
    <w:pPr>
      <w:pBdr>
        <w:top w:val="dotted" w:sz="8" w:space="4" w:color="DC6900" w:themeColor="text2"/>
      </w:pBdr>
      <w:spacing w:before="120" w:after="120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E07317"/>
    <w:pPr>
      <w:spacing w:before="120" w:after="120"/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E073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1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13"/>
    <w:unhideWhenUsed/>
    <w:qFormat/>
    <w:rsid w:val="00046C07"/>
    <w:pPr>
      <w:numPr>
        <w:numId w:val="4"/>
      </w:numPr>
      <w:spacing w:after="120"/>
    </w:pPr>
  </w:style>
  <w:style w:type="numbering" w:customStyle="1" w:styleId="PwCListBullets1">
    <w:name w:val="PwC List Bullets 1"/>
    <w:uiPriority w:val="99"/>
    <w:rsid w:val="00E07317"/>
    <w:pPr>
      <w:numPr>
        <w:numId w:val="1"/>
      </w:numPr>
    </w:pPr>
  </w:style>
  <w:style w:type="numbering" w:customStyle="1" w:styleId="PwCListNumbers1">
    <w:name w:val="PwC List Numbers 1"/>
    <w:uiPriority w:val="99"/>
    <w:rsid w:val="00E07317"/>
    <w:pPr>
      <w:numPr>
        <w:numId w:val="2"/>
      </w:numPr>
    </w:pPr>
  </w:style>
  <w:style w:type="paragraph" w:styleId="slovanseznam">
    <w:name w:val="List Number"/>
    <w:basedOn w:val="Normln"/>
    <w:uiPriority w:val="13"/>
    <w:unhideWhenUsed/>
    <w:qFormat/>
    <w:rsid w:val="00E07317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13"/>
    <w:unhideWhenUsed/>
    <w:qFormat/>
    <w:rsid w:val="001B2AE1"/>
    <w:pPr>
      <w:numPr>
        <w:ilvl w:val="1"/>
        <w:numId w:val="4"/>
      </w:numPr>
      <w:ind w:left="992" w:hanging="425"/>
      <w:contextualSpacing/>
    </w:pPr>
  </w:style>
  <w:style w:type="paragraph" w:styleId="Seznamsodrkami3">
    <w:name w:val="List Bullet 3"/>
    <w:basedOn w:val="Normln"/>
    <w:uiPriority w:val="13"/>
    <w:unhideWhenUsed/>
    <w:qFormat/>
    <w:rsid w:val="00E07317"/>
    <w:pPr>
      <w:numPr>
        <w:ilvl w:val="2"/>
        <w:numId w:val="4"/>
      </w:numPr>
      <w:contextualSpacing/>
    </w:pPr>
  </w:style>
  <w:style w:type="paragraph" w:styleId="Seznamsodrkami4">
    <w:name w:val="List Bullet 4"/>
    <w:basedOn w:val="Normln"/>
    <w:uiPriority w:val="13"/>
    <w:unhideWhenUsed/>
    <w:rsid w:val="00E07317"/>
    <w:pPr>
      <w:numPr>
        <w:ilvl w:val="3"/>
        <w:numId w:val="4"/>
      </w:numPr>
      <w:contextualSpacing/>
    </w:pPr>
  </w:style>
  <w:style w:type="paragraph" w:styleId="Seznamsodrkami5">
    <w:name w:val="List Bullet 5"/>
    <w:basedOn w:val="Normln"/>
    <w:uiPriority w:val="13"/>
    <w:unhideWhenUsed/>
    <w:rsid w:val="00E07317"/>
    <w:pPr>
      <w:numPr>
        <w:ilvl w:val="4"/>
        <w:numId w:val="4"/>
      </w:numPr>
      <w:contextualSpacing/>
    </w:pPr>
  </w:style>
  <w:style w:type="paragraph" w:styleId="slovanseznam2">
    <w:name w:val="List Number 2"/>
    <w:basedOn w:val="Normln"/>
    <w:uiPriority w:val="13"/>
    <w:unhideWhenUsed/>
    <w:qFormat/>
    <w:rsid w:val="00E07317"/>
    <w:pPr>
      <w:numPr>
        <w:ilvl w:val="1"/>
        <w:numId w:val="3"/>
      </w:numPr>
      <w:contextualSpacing/>
    </w:pPr>
  </w:style>
  <w:style w:type="paragraph" w:styleId="slovanseznam3">
    <w:name w:val="List Number 3"/>
    <w:basedOn w:val="Normln"/>
    <w:uiPriority w:val="13"/>
    <w:unhideWhenUsed/>
    <w:qFormat/>
    <w:rsid w:val="00E07317"/>
    <w:pPr>
      <w:numPr>
        <w:ilvl w:val="2"/>
        <w:numId w:val="3"/>
      </w:numPr>
      <w:contextualSpacing/>
    </w:pPr>
  </w:style>
  <w:style w:type="paragraph" w:styleId="slovanseznam4">
    <w:name w:val="List Number 4"/>
    <w:basedOn w:val="Normln"/>
    <w:uiPriority w:val="13"/>
    <w:unhideWhenUsed/>
    <w:rsid w:val="00E07317"/>
    <w:pPr>
      <w:numPr>
        <w:ilvl w:val="3"/>
        <w:numId w:val="3"/>
      </w:numPr>
      <w:contextualSpacing/>
    </w:pPr>
  </w:style>
  <w:style w:type="paragraph" w:styleId="slovanseznam5">
    <w:name w:val="List Number 5"/>
    <w:basedOn w:val="Normln"/>
    <w:uiPriority w:val="13"/>
    <w:unhideWhenUsed/>
    <w:rsid w:val="00E07317"/>
    <w:pPr>
      <w:numPr>
        <w:ilvl w:val="4"/>
        <w:numId w:val="3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E07317"/>
    <w:pPr>
      <w:ind w:left="567" w:hanging="567"/>
      <w:contextualSpacing/>
    </w:pPr>
  </w:style>
  <w:style w:type="paragraph" w:styleId="Seznam2">
    <w:name w:val="List 2"/>
    <w:basedOn w:val="Normln"/>
    <w:uiPriority w:val="99"/>
    <w:semiHidden/>
    <w:unhideWhenUsed/>
    <w:rsid w:val="00E07317"/>
    <w:pPr>
      <w:ind w:left="1134" w:hanging="567"/>
      <w:contextualSpacing/>
    </w:pPr>
  </w:style>
  <w:style w:type="paragraph" w:styleId="Pokraovnseznamu">
    <w:name w:val="List Continue"/>
    <w:basedOn w:val="Normln"/>
    <w:uiPriority w:val="14"/>
    <w:unhideWhenUsed/>
    <w:qFormat/>
    <w:rsid w:val="00E07317"/>
    <w:pPr>
      <w:spacing w:after="120"/>
      <w:ind w:left="567"/>
      <w:contextualSpacing/>
    </w:pPr>
  </w:style>
  <w:style w:type="paragraph" w:styleId="Pokraovnseznamu2">
    <w:name w:val="List Continue 2"/>
    <w:basedOn w:val="Normln"/>
    <w:uiPriority w:val="14"/>
    <w:unhideWhenUsed/>
    <w:qFormat/>
    <w:rsid w:val="00E07317"/>
    <w:pPr>
      <w:spacing w:after="120"/>
      <w:ind w:left="1134"/>
      <w:contextualSpacing/>
    </w:pPr>
  </w:style>
  <w:style w:type="paragraph" w:styleId="Pokraovnseznamu3">
    <w:name w:val="List Continue 3"/>
    <w:basedOn w:val="Normln"/>
    <w:uiPriority w:val="14"/>
    <w:unhideWhenUsed/>
    <w:qFormat/>
    <w:rsid w:val="00E07317"/>
    <w:pPr>
      <w:spacing w:after="120"/>
      <w:ind w:left="1701"/>
      <w:contextualSpacing/>
    </w:pPr>
  </w:style>
  <w:style w:type="paragraph" w:styleId="Pokraovnseznamu4">
    <w:name w:val="List Continue 4"/>
    <w:basedOn w:val="Normln"/>
    <w:uiPriority w:val="14"/>
    <w:semiHidden/>
    <w:unhideWhenUsed/>
    <w:rsid w:val="00E07317"/>
    <w:pPr>
      <w:spacing w:after="120"/>
      <w:ind w:left="2268"/>
      <w:contextualSpacing/>
    </w:pPr>
  </w:style>
  <w:style w:type="paragraph" w:styleId="Pokraovnseznamu5">
    <w:name w:val="List Continue 5"/>
    <w:basedOn w:val="Normln"/>
    <w:uiPriority w:val="14"/>
    <w:semiHidden/>
    <w:unhideWhenUsed/>
    <w:rsid w:val="00E07317"/>
    <w:pPr>
      <w:spacing w:after="120"/>
      <w:ind w:left="2835"/>
      <w:contextualSpacing/>
    </w:pPr>
  </w:style>
  <w:style w:type="paragraph" w:styleId="Seznam3">
    <w:name w:val="List 3"/>
    <w:basedOn w:val="Normln"/>
    <w:uiPriority w:val="99"/>
    <w:semiHidden/>
    <w:unhideWhenUsed/>
    <w:rsid w:val="00E07317"/>
    <w:pPr>
      <w:ind w:left="1701" w:hanging="567"/>
      <w:contextualSpacing/>
    </w:pPr>
  </w:style>
  <w:style w:type="paragraph" w:styleId="Seznam4">
    <w:name w:val="List 4"/>
    <w:basedOn w:val="Normln"/>
    <w:uiPriority w:val="99"/>
    <w:semiHidden/>
    <w:unhideWhenUsed/>
    <w:rsid w:val="00E07317"/>
    <w:pPr>
      <w:ind w:left="2268" w:hanging="567"/>
      <w:contextualSpacing/>
    </w:pPr>
  </w:style>
  <w:style w:type="paragraph" w:styleId="Seznam5">
    <w:name w:val="List 5"/>
    <w:basedOn w:val="Normln"/>
    <w:uiPriority w:val="99"/>
    <w:semiHidden/>
    <w:unhideWhenUsed/>
    <w:rsid w:val="00E07317"/>
    <w:pPr>
      <w:ind w:left="2835" w:hanging="567"/>
      <w:contextualSpacing/>
    </w:pPr>
  </w:style>
  <w:style w:type="table" w:styleId="Mkatabulky">
    <w:name w:val="Table Grid"/>
    <w:basedOn w:val="Normlntabulka"/>
    <w:uiPriority w:val="59"/>
    <w:rsid w:val="00E0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Normlntabulka"/>
    <w:uiPriority w:val="99"/>
    <w:qFormat/>
    <w:rsid w:val="00E07317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Normlntabulka"/>
    <w:uiPriority w:val="99"/>
    <w:qFormat/>
    <w:rsid w:val="00E07317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dpis1"/>
    <w:uiPriority w:val="99"/>
    <w:qFormat/>
    <w:rsid w:val="00E07317"/>
    <w:rPr>
      <w:b w:val="0"/>
      <w:i w:val="0"/>
    </w:rPr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qFormat/>
    <w:rsid w:val="00750457"/>
  </w:style>
  <w:style w:type="character" w:customStyle="1" w:styleId="Heading1NoSpacingChar">
    <w:name w:val="Heading 1 No Spacing Char"/>
    <w:basedOn w:val="Nadpis1Char1"/>
    <w:link w:val="Heading1NoSpacing"/>
    <w:uiPriority w:val="9"/>
    <w:rsid w:val="00750457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6Char1">
    <w:name w:val="Nadpis 6 Char1"/>
    <w:basedOn w:val="Standardnpsmoodstavce"/>
    <w:link w:val="Nadpis6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7Char1">
    <w:name w:val="Nadpis 7 Char1"/>
    <w:basedOn w:val="Standardnpsmoodstavce"/>
    <w:link w:val="Nadpis7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8Char1">
    <w:name w:val="Nadpis 8 Char1"/>
    <w:basedOn w:val="Standardnpsmoodstavce"/>
    <w:link w:val="Nadpis8"/>
    <w:uiPriority w:val="99"/>
    <w:rsid w:val="00E07317"/>
    <w:rPr>
      <w:rFonts w:asciiTheme="majorHAnsi" w:eastAsiaTheme="majorEastAsia" w:hAnsiTheme="majorHAnsi" w:cstheme="majorBidi"/>
      <w:color w:val="DC6900" w:themeColor="text2"/>
      <w:lang w:val="cs-CZ"/>
    </w:rPr>
  </w:style>
  <w:style w:type="character" w:customStyle="1" w:styleId="Nadpis9Char1">
    <w:name w:val="Nadpis 9 Char1"/>
    <w:basedOn w:val="Standardnpsmoodstavce"/>
    <w:link w:val="Nadpis9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paragraph" w:styleId="Obsah4">
    <w:name w:val="toc 4"/>
    <w:basedOn w:val="Normln"/>
    <w:next w:val="Normln"/>
    <w:autoRedefine/>
    <w:uiPriority w:val="99"/>
    <w:unhideWhenUsed/>
    <w:rsid w:val="00E07317"/>
    <w:pPr>
      <w:spacing w:after="120"/>
      <w:ind w:left="851" w:hanging="284"/>
    </w:pPr>
  </w:style>
  <w:style w:type="paragraph" w:styleId="Obsah5">
    <w:name w:val="toc 5"/>
    <w:basedOn w:val="Normln"/>
    <w:next w:val="Normln"/>
    <w:autoRedefine/>
    <w:uiPriority w:val="99"/>
    <w:unhideWhenUsed/>
    <w:rsid w:val="00E07317"/>
    <w:pPr>
      <w:spacing w:after="120"/>
      <w:ind w:left="1135" w:hanging="284"/>
    </w:pPr>
  </w:style>
  <w:style w:type="paragraph" w:styleId="Obsah6">
    <w:name w:val="toc 6"/>
    <w:basedOn w:val="Normln"/>
    <w:next w:val="Normln"/>
    <w:autoRedefine/>
    <w:uiPriority w:val="99"/>
    <w:unhideWhenUsed/>
    <w:rsid w:val="00E07317"/>
    <w:pPr>
      <w:spacing w:after="120"/>
      <w:ind w:left="1418" w:hanging="284"/>
    </w:pPr>
  </w:style>
  <w:style w:type="paragraph" w:styleId="Obsah7">
    <w:name w:val="toc 7"/>
    <w:basedOn w:val="Normln"/>
    <w:next w:val="Normln"/>
    <w:autoRedefine/>
    <w:uiPriority w:val="99"/>
    <w:unhideWhenUsed/>
    <w:rsid w:val="00E07317"/>
    <w:pPr>
      <w:spacing w:after="120"/>
      <w:ind w:left="1702" w:hanging="284"/>
    </w:pPr>
  </w:style>
  <w:style w:type="paragraph" w:styleId="Obsah8">
    <w:name w:val="toc 8"/>
    <w:basedOn w:val="Normln"/>
    <w:next w:val="Normln"/>
    <w:autoRedefine/>
    <w:uiPriority w:val="99"/>
    <w:unhideWhenUsed/>
    <w:rsid w:val="00E07317"/>
    <w:pPr>
      <w:spacing w:after="120"/>
      <w:ind w:left="1985" w:hanging="284"/>
    </w:pPr>
  </w:style>
  <w:style w:type="paragraph" w:styleId="Obsah9">
    <w:name w:val="toc 9"/>
    <w:basedOn w:val="Normln"/>
    <w:next w:val="Normln"/>
    <w:autoRedefine/>
    <w:uiPriority w:val="99"/>
    <w:unhideWhenUsed/>
    <w:rsid w:val="00E07317"/>
    <w:pPr>
      <w:spacing w:after="120"/>
      <w:ind w:left="2269" w:hanging="284"/>
    </w:pPr>
  </w:style>
  <w:style w:type="character" w:styleId="Zvraznn">
    <w:name w:val="Emphasis"/>
    <w:basedOn w:val="Standardnpsmoodstavce"/>
    <w:uiPriority w:val="99"/>
    <w:qFormat/>
    <w:rsid w:val="00E0731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073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07317"/>
    <w:rPr>
      <w:i/>
      <w:iCs/>
      <w:color w:val="000000" w:themeColor="text1"/>
    </w:rPr>
  </w:style>
  <w:style w:type="paragraph" w:styleId="Textvbloku">
    <w:name w:val="Block Text"/>
    <w:basedOn w:val="Normln"/>
    <w:next w:val="Zkladntext3"/>
    <w:uiPriority w:val="99"/>
    <w:unhideWhenUsed/>
    <w:qFormat/>
    <w:rsid w:val="00E07317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ln"/>
    <w:uiPriority w:val="99"/>
    <w:qFormat/>
    <w:rsid w:val="00E07317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vbloku"/>
    <w:uiPriority w:val="99"/>
    <w:qFormat/>
    <w:rsid w:val="00E07317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Zkladntext3">
    <w:name w:val="Body Text 3"/>
    <w:basedOn w:val="Normln"/>
    <w:link w:val="Zkladntext3Char1"/>
    <w:uiPriority w:val="99"/>
    <w:unhideWhenUsed/>
    <w:rsid w:val="00E0731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E07317"/>
    <w:rPr>
      <w:sz w:val="16"/>
      <w:szCs w:val="16"/>
    </w:rPr>
  </w:style>
  <w:style w:type="paragraph" w:customStyle="1" w:styleId="Disclaimer">
    <w:name w:val="Disclaimer"/>
    <w:link w:val="DisclaimerChar"/>
    <w:qFormat/>
    <w:rsid w:val="001E4CB2"/>
    <w:pPr>
      <w:spacing w:after="60" w:line="240" w:lineRule="auto"/>
    </w:pPr>
    <w:rPr>
      <w:rFonts w:ascii="Arial" w:eastAsia="Times New Roman" w:hAnsi="Arial" w:cs="Times New Roman"/>
      <w:noProof/>
      <w:sz w:val="12"/>
      <w:lang w:val="en-US"/>
    </w:rPr>
  </w:style>
  <w:style w:type="paragraph" w:styleId="Odstavecseseznamem">
    <w:name w:val="List Paragraph"/>
    <w:aliases w:val="Table of contents numbered"/>
    <w:basedOn w:val="Normln"/>
    <w:link w:val="OdstavecseseznamemChar"/>
    <w:uiPriority w:val="34"/>
    <w:unhideWhenUsed/>
    <w:qFormat/>
    <w:rsid w:val="001133EF"/>
    <w:pPr>
      <w:ind w:left="720"/>
      <w:contextualSpacing/>
    </w:pPr>
  </w:style>
  <w:style w:type="character" w:customStyle="1" w:styleId="OdstavecseseznamemChar">
    <w:name w:val="Odstavec se seznamem Char"/>
    <w:aliases w:val="Table of contents numbered Char"/>
    <w:basedOn w:val="Standardnpsmoodstavce"/>
    <w:link w:val="Odstavecseseznamem"/>
    <w:uiPriority w:val="34"/>
    <w:rsid w:val="001133EF"/>
    <w:rPr>
      <w:lang w:val="cs-CZ"/>
    </w:rPr>
  </w:style>
  <w:style w:type="paragraph" w:styleId="Titulek">
    <w:name w:val="caption"/>
    <w:basedOn w:val="Normln"/>
    <w:next w:val="Normln"/>
    <w:unhideWhenUsed/>
    <w:qFormat/>
    <w:rsid w:val="00EA768E"/>
    <w:pPr>
      <w:spacing w:before="240" w:after="200" w:line="240" w:lineRule="auto"/>
    </w:pPr>
    <w:rPr>
      <w:b/>
      <w:bCs/>
      <w:color w:val="DC6900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7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7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77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728"/>
    <w:rPr>
      <w:b/>
      <w:bCs/>
    </w:rPr>
  </w:style>
  <w:style w:type="paragraph" w:styleId="Textpoznpodarou">
    <w:name w:val="footnote text"/>
    <w:aliases w:val="Text poznámky pod čiarou 007,Footnote,fn,Footnotes,Footnote ak,fn Char,footnote text Char,Footnotes Char,Footnote ak Char,ft,fn cafc,Footnotes Char Char,Footnote Text Char Char,fn Char Char,footnote text Char Char Char Ch,fn1"/>
    <w:basedOn w:val="Normln"/>
    <w:link w:val="TextpoznpodarouChar"/>
    <w:uiPriority w:val="99"/>
    <w:unhideWhenUsed/>
    <w:qFormat/>
    <w:rsid w:val="00917769"/>
    <w:pPr>
      <w:spacing w:after="0" w:line="240" w:lineRule="auto"/>
    </w:pPr>
    <w:rPr>
      <w:rFonts w:eastAsia="Arial" w:cs="Times New Roman"/>
    </w:rPr>
  </w:style>
  <w:style w:type="character" w:customStyle="1" w:styleId="TextpoznpodarouChar">
    <w:name w:val="Text pozn. pod čarou Char"/>
    <w:aliases w:val="Text poznámky pod čiarou 007 Char,Footnote Char,fn Char1,Footnotes Char1,Footnote ak Char1,fn Char Char1,footnote text Char Char,Footnotes Char Char1,Footnote ak Char Char,ft Char,fn cafc Char,Footnotes Char Char Char,fn1 Char"/>
    <w:basedOn w:val="Standardnpsmoodstavce"/>
    <w:link w:val="Textpoznpodarou"/>
    <w:uiPriority w:val="99"/>
    <w:rsid w:val="00917769"/>
    <w:rPr>
      <w:rFonts w:eastAsia="Arial" w:cs="Times New Roman"/>
      <w:lang w:val="cs-CZ"/>
    </w:rPr>
  </w:style>
  <w:style w:type="character" w:styleId="Znakapoznpodarou">
    <w:name w:val="footnote reference"/>
    <w:aliases w:val="Ref,de nota al pie,Ref1,de nota al pie1,Ref2,de nota al pie2,Ref11,de nota al pie11, BVI fnr,BVI fnr,Footnote symbol,Footnote reference number,Times 10 Point,Exposant 3 Point,note TESI,SUPERS,EN Footnote text,number,E F,no..."/>
    <w:basedOn w:val="Standardnpsmoodstavce"/>
    <w:uiPriority w:val="99"/>
    <w:unhideWhenUsed/>
    <w:rsid w:val="00917769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17769"/>
    <w:rPr>
      <w:b/>
      <w:bCs/>
      <w:i/>
      <w:iCs/>
      <w:color w:val="DC6900" w:themeColor="accent1"/>
    </w:rPr>
  </w:style>
  <w:style w:type="paragraph" w:customStyle="1" w:styleId="Appendix">
    <w:name w:val="Appendix"/>
    <w:basedOn w:val="Nadpis1"/>
    <w:next w:val="Normln"/>
    <w:uiPriority w:val="99"/>
    <w:qFormat/>
    <w:rsid w:val="00B219D6"/>
    <w:pPr>
      <w:numPr>
        <w:numId w:val="6"/>
      </w:numPr>
      <w:spacing w:after="240"/>
    </w:pPr>
  </w:style>
  <w:style w:type="numbering" w:customStyle="1" w:styleId="PwCAppendixList1">
    <w:name w:val="PwC Appendix List 1"/>
    <w:uiPriority w:val="99"/>
    <w:rsid w:val="00B219D6"/>
    <w:pPr>
      <w:numPr>
        <w:numId w:val="5"/>
      </w:numPr>
    </w:pPr>
  </w:style>
  <w:style w:type="table" w:styleId="Svtlmkazvraznn2">
    <w:name w:val="Light Grid Accent 2"/>
    <w:basedOn w:val="Normlntabulka"/>
    <w:uiPriority w:val="62"/>
    <w:rsid w:val="00060566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Svtlseznamzvraznn6">
    <w:name w:val="Light List Accent 6"/>
    <w:basedOn w:val="Normlntabulka"/>
    <w:uiPriority w:val="66"/>
    <w:rsid w:val="008A60E6"/>
    <w:pPr>
      <w:spacing w:after="0" w:line="240" w:lineRule="auto"/>
    </w:pPr>
    <w:rPr>
      <w:rFonts w:eastAsia="Arial" w:cs="Times New Roman"/>
      <w:lang w:eastAsia="en-GB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6C2E"/>
    <w:rPr>
      <w:color w:val="0000FF" w:themeColor="followedHyperlink"/>
      <w:u w:val="single"/>
    </w:rPr>
  </w:style>
  <w:style w:type="paragraph" w:customStyle="1" w:styleId="TOCHeading1">
    <w:name w:val="TOC Heading1"/>
    <w:basedOn w:val="Nadpis1"/>
    <w:next w:val="Normln"/>
    <w:uiPriority w:val="39"/>
    <w:unhideWhenUsed/>
    <w:qFormat/>
    <w:rsid w:val="005957A0"/>
    <w:pPr>
      <w:numPr>
        <w:numId w:val="0"/>
      </w:numPr>
      <w:outlineLvl w:val="9"/>
    </w:pPr>
    <w:rPr>
      <w:rFonts w:ascii="Georgia" w:eastAsia="Times New Roman" w:hAnsi="Georgia" w:cs="Times New Roman"/>
      <w:lang w:val="en-US"/>
    </w:r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5957A0"/>
    <w:rPr>
      <w:rFonts w:eastAsia="Arial" w:cs="Times New Roman"/>
      <w:i/>
      <w:iCs/>
      <w:color w:val="000000"/>
    </w:rPr>
  </w:style>
  <w:style w:type="character" w:customStyle="1" w:styleId="ColorfulGrid-Accent1Char">
    <w:name w:val="Colorful Grid - Accent 1 Char"/>
    <w:basedOn w:val="Standardnpsmoodstavce"/>
    <w:link w:val="ColorfulGrid-Accent11"/>
    <w:uiPriority w:val="29"/>
    <w:rsid w:val="005957A0"/>
    <w:rPr>
      <w:rFonts w:eastAsia="Arial" w:cs="Times New Roman"/>
      <w:i/>
      <w:iCs/>
      <w:color w:val="000000"/>
      <w:lang w:val="cs-CZ"/>
    </w:rPr>
  </w:style>
  <w:style w:type="character" w:customStyle="1" w:styleId="DisclaimerChar">
    <w:name w:val="Disclaimer Char"/>
    <w:basedOn w:val="Standardnpsmoodstavce"/>
    <w:link w:val="Disclaimer"/>
    <w:rsid w:val="005957A0"/>
    <w:rPr>
      <w:rFonts w:ascii="Arial" w:eastAsia="Times New Roman" w:hAnsi="Arial" w:cs="Times New Roman"/>
      <w:noProof/>
      <w:sz w:val="12"/>
      <w:lang w:val="en-US"/>
    </w:rPr>
  </w:style>
  <w:style w:type="paragraph" w:customStyle="1" w:styleId="PwCAddress">
    <w:name w:val="PwC Address"/>
    <w:basedOn w:val="Normln"/>
    <w:link w:val="PwCAddressChar"/>
    <w:qFormat/>
    <w:rsid w:val="005957A0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5957A0"/>
    <w:rPr>
      <w:i/>
      <w:noProof/>
      <w:sz w:val="18"/>
      <w:szCs w:val="22"/>
      <w:lang w:val="cs-CZ" w:eastAsia="en-GB"/>
    </w:rPr>
  </w:style>
  <w:style w:type="character" w:customStyle="1" w:styleId="AddressChar">
    <w:name w:val="Address Char"/>
    <w:basedOn w:val="Standardnpsmoodstavce"/>
    <w:link w:val="Address"/>
    <w:locked/>
    <w:rsid w:val="005957A0"/>
    <w:rPr>
      <w:i/>
      <w:noProof/>
      <w:sz w:val="18"/>
      <w:szCs w:val="22"/>
    </w:rPr>
  </w:style>
  <w:style w:type="paragraph" w:customStyle="1" w:styleId="Address">
    <w:name w:val="Address"/>
    <w:basedOn w:val="Normln"/>
    <w:link w:val="AddressChar"/>
    <w:qFormat/>
    <w:rsid w:val="005957A0"/>
    <w:pPr>
      <w:spacing w:after="0" w:line="200" w:lineRule="atLeast"/>
    </w:pPr>
    <w:rPr>
      <w:i/>
      <w:noProof/>
      <w:sz w:val="18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57A0"/>
    <w:pPr>
      <w:spacing w:after="0" w:line="240" w:lineRule="auto"/>
    </w:pPr>
    <w:rPr>
      <w:rFonts w:eastAsia="Arial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57A0"/>
    <w:rPr>
      <w:rFonts w:eastAsia="Arial" w:cs="Times New Roman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957A0"/>
    <w:rPr>
      <w:vertAlign w:val="superscript"/>
    </w:rPr>
  </w:style>
  <w:style w:type="paragraph" w:styleId="Revize">
    <w:name w:val="Revision"/>
    <w:hidden/>
    <w:uiPriority w:val="71"/>
    <w:rsid w:val="005957A0"/>
    <w:pPr>
      <w:spacing w:after="0" w:line="240" w:lineRule="auto"/>
    </w:pPr>
    <w:rPr>
      <w:rFonts w:eastAsia="Arial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FF6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Barevntabulkasmkou7zvraznn61">
    <w:name w:val="Barevná tabulka s mřížkou 7 – zvýraznění 61"/>
    <w:basedOn w:val="Normlntabulka"/>
    <w:uiPriority w:val="52"/>
    <w:rsid w:val="00817B86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4" w:space="0" w:color="EC8277" w:themeColor="accent6" w:themeTint="99"/>
        <w:left w:val="single" w:sz="4" w:space="0" w:color="EC8277" w:themeColor="accent6" w:themeTint="99"/>
        <w:bottom w:val="single" w:sz="4" w:space="0" w:color="EC8277" w:themeColor="accent6" w:themeTint="99"/>
        <w:right w:val="single" w:sz="4" w:space="0" w:color="EC8277" w:themeColor="accent6" w:themeTint="99"/>
        <w:insideH w:val="single" w:sz="4" w:space="0" w:color="EC8277" w:themeColor="accent6" w:themeTint="99"/>
        <w:insideV w:val="single" w:sz="4" w:space="0" w:color="EC82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1" w:themeFill="accent6" w:themeFillTint="33"/>
      </w:tcPr>
    </w:tblStylePr>
    <w:tblStylePr w:type="band1Horz">
      <w:tblPr/>
      <w:tcPr>
        <w:shd w:val="clear" w:color="auto" w:fill="F9D5D1" w:themeFill="accent6" w:themeFillTint="33"/>
      </w:tcPr>
    </w:tblStylePr>
    <w:tblStylePr w:type="neCell">
      <w:tblPr/>
      <w:tcPr>
        <w:tcBorders>
          <w:bottom w:val="single" w:sz="4" w:space="0" w:color="EC8277" w:themeColor="accent6" w:themeTint="99"/>
        </w:tcBorders>
      </w:tcPr>
    </w:tblStylePr>
    <w:tblStylePr w:type="nwCell">
      <w:tblPr/>
      <w:tcPr>
        <w:tcBorders>
          <w:bottom w:val="single" w:sz="4" w:space="0" w:color="EC8277" w:themeColor="accent6" w:themeTint="99"/>
        </w:tcBorders>
      </w:tcPr>
    </w:tblStylePr>
    <w:tblStylePr w:type="seCell">
      <w:tblPr/>
      <w:tcPr>
        <w:tcBorders>
          <w:top w:val="single" w:sz="4" w:space="0" w:color="EC8277" w:themeColor="accent6" w:themeTint="99"/>
        </w:tcBorders>
      </w:tcPr>
    </w:tblStylePr>
    <w:tblStylePr w:type="swCell">
      <w:tblPr/>
      <w:tcPr>
        <w:tcBorders>
          <w:top w:val="single" w:sz="4" w:space="0" w:color="EC8277" w:themeColor="accent6" w:themeTint="99"/>
        </w:tcBorders>
      </w:tcPr>
    </w:tblStylePr>
  </w:style>
  <w:style w:type="paragraph" w:customStyle="1" w:styleId="NumberedList">
    <w:name w:val="Number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styleId="Zkladntext2">
    <w:name w:val="Body Text 2"/>
    <w:basedOn w:val="Normln"/>
    <w:next w:val="Normln"/>
    <w:link w:val="Zkladntext2Char1"/>
    <w:uiPriority w:val="99"/>
    <w:rsid w:val="001157B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157B1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paragraph" w:styleId="Nadpispoznmky">
    <w:name w:val="Note Heading"/>
    <w:basedOn w:val="Normln"/>
    <w:next w:val="Normln"/>
    <w:link w:val="Nadpispoznmky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character" w:customStyle="1" w:styleId="NadpispoznmkyChar1">
    <w:name w:val="Nadpis poznámky Char1"/>
    <w:basedOn w:val="Standardnpsmoodstavce"/>
    <w:link w:val="Nadpispoznmky"/>
    <w:uiPriority w:val="99"/>
    <w:rsid w:val="001157B1"/>
    <w:rPr>
      <w:rFonts w:ascii="Times New Roman" w:eastAsiaTheme="minorEastAsia" w:hAnsi="Times New Roman" w:cs="Times New Roman"/>
      <w:color w:val="000000"/>
      <w:lang w:val="en-AU"/>
    </w:rPr>
  </w:style>
  <w:style w:type="paragraph" w:styleId="Prosttext">
    <w:name w:val="Plain Text"/>
    <w:basedOn w:val="Normln"/>
    <w:next w:val="Normln"/>
    <w:link w:val="Prosttext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hd w:val="clear" w:color="auto" w:fill="FFFFFF"/>
      <w:lang w:val="en-AU"/>
    </w:rPr>
  </w:style>
  <w:style w:type="character" w:customStyle="1" w:styleId="ProsttextChar1">
    <w:name w:val="Prostý text Char1"/>
    <w:basedOn w:val="Standardnpsmoodstavce"/>
    <w:link w:val="Prosttext"/>
    <w:uiPriority w:val="99"/>
    <w:rsid w:val="001157B1"/>
    <w:rPr>
      <w:rFonts w:ascii="Courier New" w:eastAsiaTheme="minorEastAsia" w:hAnsi="Courier New" w:cs="Courier New"/>
      <w:color w:val="000000"/>
      <w:lang w:val="en-AU"/>
    </w:rPr>
  </w:style>
  <w:style w:type="character" w:styleId="Siln">
    <w:name w:val="Strong"/>
    <w:basedOn w:val="Standardnpsmoodstavce"/>
    <w:uiPriority w:val="99"/>
    <w:qFormat/>
    <w:rsid w:val="001157B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de">
    <w:name w:val="Code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1157B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1157B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1157B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1157B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SSTemplateField">
    <w:name w:val="SSTemplateField"/>
    <w:uiPriority w:val="99"/>
    <w:rsid w:val="001157B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Nadpis1Char">
    <w:name w:val="Nadpis 1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Nadpis2Char">
    <w:name w:val="Nadpis 2 Char"/>
    <w:uiPriority w:val="99"/>
    <w:rsid w:val="001157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uiPriority w:val="99"/>
    <w:rsid w:val="001157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uiPriority w:val="99"/>
    <w:rsid w:val="001157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uiPriority w:val="99"/>
    <w:rsid w:val="001157B1"/>
    <w:rPr>
      <w:rFonts w:ascii="Times New Roman" w:hAnsi="Times New Roman" w:cs="Times New Roman"/>
      <w:b/>
      <w:bCs/>
      <w:color w:val="000000"/>
    </w:rPr>
  </w:style>
  <w:style w:type="character" w:customStyle="1" w:styleId="Nadpis7Char">
    <w:name w:val="Nadpis 7 Char"/>
    <w:uiPriority w:val="99"/>
    <w:rsid w:val="001157B1"/>
    <w:rPr>
      <w:rFonts w:ascii="Times New Roman" w:hAnsi="Times New Roman" w:cs="Times New Roman"/>
      <w:color w:val="000000"/>
    </w:rPr>
  </w:style>
  <w:style w:type="character" w:customStyle="1" w:styleId="Nadpis8Char">
    <w:name w:val="Nadpis 8 Char"/>
    <w:uiPriority w:val="99"/>
    <w:rsid w:val="001157B1"/>
    <w:rPr>
      <w:rFonts w:ascii="Times New Roman" w:hAnsi="Times New Roman" w:cs="Times New Roman"/>
      <w:i/>
      <w:iCs/>
      <w:color w:val="000000"/>
    </w:rPr>
  </w:style>
  <w:style w:type="character" w:customStyle="1" w:styleId="Nadpis9Char">
    <w:name w:val="Nadpis 9 Char"/>
    <w:uiPriority w:val="99"/>
    <w:rsid w:val="001157B1"/>
    <w:rPr>
      <w:rFonts w:ascii="Cambria" w:hAnsi="Cambria" w:cs="Cambria"/>
      <w:color w:val="000000"/>
    </w:rPr>
  </w:style>
  <w:style w:type="character" w:customStyle="1" w:styleId="NzevChar">
    <w:name w:val="Název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ZkladntextChar">
    <w:name w:val="Základní text Char"/>
    <w:uiPriority w:val="99"/>
    <w:rsid w:val="001157B1"/>
    <w:rPr>
      <w:color w:val="000000"/>
      <w:sz w:val="20"/>
      <w:szCs w:val="20"/>
    </w:rPr>
  </w:style>
  <w:style w:type="character" w:customStyle="1" w:styleId="Zkladntext2Char">
    <w:name w:val="Základní text 2 Char"/>
    <w:uiPriority w:val="99"/>
    <w:rsid w:val="001157B1"/>
    <w:rPr>
      <w:color w:val="000000"/>
      <w:sz w:val="20"/>
      <w:szCs w:val="20"/>
    </w:rPr>
  </w:style>
  <w:style w:type="character" w:customStyle="1" w:styleId="Zkladntext3Char">
    <w:name w:val="Základní text 3 Char"/>
    <w:uiPriority w:val="99"/>
    <w:rsid w:val="001157B1"/>
    <w:rPr>
      <w:color w:val="000000"/>
      <w:sz w:val="16"/>
      <w:szCs w:val="16"/>
    </w:rPr>
  </w:style>
  <w:style w:type="character" w:customStyle="1" w:styleId="NadpispoznmkyChar">
    <w:name w:val="Nadpis poznámky Char"/>
    <w:uiPriority w:val="99"/>
    <w:rsid w:val="001157B1"/>
    <w:rPr>
      <w:color w:val="000000"/>
      <w:sz w:val="20"/>
      <w:szCs w:val="20"/>
    </w:rPr>
  </w:style>
  <w:style w:type="character" w:customStyle="1" w:styleId="ProsttextChar">
    <w:name w:val="Prostý text Char"/>
    <w:uiPriority w:val="99"/>
    <w:rsid w:val="001157B1"/>
    <w:rPr>
      <w:rFonts w:ascii="Courier New" w:hAnsi="Courier New" w:cs="Courier New"/>
      <w:color w:val="000000"/>
      <w:sz w:val="20"/>
      <w:szCs w:val="20"/>
    </w:rPr>
  </w:style>
  <w:style w:type="character" w:customStyle="1" w:styleId="ZpatChar">
    <w:name w:val="Zápatí Char"/>
    <w:uiPriority w:val="99"/>
    <w:rsid w:val="001157B1"/>
    <w:rPr>
      <w:color w:val="000000"/>
      <w:sz w:val="20"/>
      <w:szCs w:val="20"/>
    </w:rPr>
  </w:style>
  <w:style w:type="character" w:customStyle="1" w:styleId="ZhlavChar">
    <w:name w:val="Záhlaví Char"/>
    <w:uiPriority w:val="99"/>
    <w:rsid w:val="001157B1"/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1157B1"/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vrendokumentuChar">
    <w:name w:val="Rozvržení dokumentu Char"/>
    <w:uiPriority w:val="99"/>
    <w:rsid w:val="001157B1"/>
    <w:rPr>
      <w:rFonts w:ascii="Tahoma" w:hAnsi="Tahoma" w:cs="Tahoma"/>
      <w:color w:val="000000"/>
      <w:sz w:val="16"/>
      <w:szCs w:val="16"/>
    </w:rPr>
  </w:style>
  <w:style w:type="table" w:styleId="Svtlseznamzvraznn1">
    <w:name w:val="Light List Accent 1"/>
    <w:basedOn w:val="Normlntabulka"/>
    <w:uiPriority w:val="61"/>
    <w:rsid w:val="001157B1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Svtlseznam">
    <w:name w:val="Light List"/>
    <w:basedOn w:val="Normlntabulka"/>
    <w:uiPriority w:val="61"/>
    <w:rsid w:val="00601B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02tempparagheading">
    <w:name w:val="02_temp_parag_heading"/>
    <w:basedOn w:val="Normln"/>
    <w:link w:val="02tempparagheadingChar"/>
    <w:uiPriority w:val="99"/>
    <w:qFormat/>
    <w:rsid w:val="00FA165D"/>
    <w:pPr>
      <w:spacing w:before="240" w:after="120"/>
    </w:pPr>
    <w:rPr>
      <w:b/>
      <w:i/>
      <w:sz w:val="22"/>
      <w:szCs w:val="22"/>
    </w:rPr>
  </w:style>
  <w:style w:type="character" w:customStyle="1" w:styleId="02tempparagheadingChar">
    <w:name w:val="02_temp_parag_heading Char"/>
    <w:basedOn w:val="Standardnpsmoodstavce"/>
    <w:link w:val="02tempparagheading"/>
    <w:uiPriority w:val="99"/>
    <w:rsid w:val="00FA165D"/>
    <w:rPr>
      <w:b/>
      <w:i/>
      <w:sz w:val="22"/>
      <w:szCs w:val="22"/>
      <w:lang w:val="cs-CZ"/>
    </w:rPr>
  </w:style>
  <w:style w:type="character" w:customStyle="1" w:styleId="BodyTextChar1">
    <w:name w:val="Body Text Char1"/>
    <w:basedOn w:val="Standardnpsmoodstavce"/>
    <w:uiPriority w:val="99"/>
    <w:rsid w:val="004B3499"/>
  </w:style>
  <w:style w:type="character" w:customStyle="1" w:styleId="HeaderChar1">
    <w:name w:val="Head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FooterChar1">
    <w:name w:val="Foot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Heading1Char1">
    <w:name w:val="Heading 1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1">
    <w:name w:val="Heading 2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1">
    <w:name w:val="Heading 3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1">
    <w:name w:val="Heading 4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1">
    <w:name w:val="Heading 5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TitleChar1">
    <w:name w:val="Title Char1"/>
    <w:basedOn w:val="Standardnpsmoodstavce"/>
    <w:uiPriority w:val="99"/>
    <w:rsid w:val="004B3499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Heading6Char1">
    <w:name w:val="Heading 6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1">
    <w:name w:val="Heading 7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1">
    <w:name w:val="Heading 8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1">
    <w:name w:val="Heading 9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BodyText3Char1">
    <w:name w:val="Body Text 3 Char1"/>
    <w:basedOn w:val="Standardnpsmoodstavce"/>
    <w:uiPriority w:val="99"/>
    <w:rsid w:val="004B3499"/>
    <w:rPr>
      <w:sz w:val="16"/>
      <w:szCs w:val="16"/>
    </w:rPr>
  </w:style>
  <w:style w:type="character" w:customStyle="1" w:styleId="BodyText2Char1">
    <w:name w:val="Body Text 2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character" w:customStyle="1" w:styleId="NoteHeadingChar1">
    <w:name w:val="Note Heading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lang w:val="en-AU"/>
    </w:rPr>
  </w:style>
  <w:style w:type="character" w:customStyle="1" w:styleId="PlainTextChar1">
    <w:name w:val="Plain Text Char1"/>
    <w:basedOn w:val="Standardnpsmoodstavce"/>
    <w:uiPriority w:val="99"/>
    <w:rsid w:val="004B3499"/>
    <w:rPr>
      <w:rFonts w:ascii="Courier New" w:eastAsiaTheme="minorEastAsia" w:hAnsi="Courier New" w:cs="Courier New"/>
      <w:color w:val="000000"/>
      <w:lang w:val="en-AU"/>
    </w:rPr>
  </w:style>
  <w:style w:type="character" w:customStyle="1" w:styleId="DocumentMapChar1">
    <w:name w:val="Document Map Char1"/>
    <w:basedOn w:val="Standardnpsmoodstavce"/>
    <w:uiPriority w:val="99"/>
    <w:rsid w:val="004B3499"/>
    <w:rPr>
      <w:rFonts w:ascii="Tahoma" w:eastAsiaTheme="minorEastAsia" w:hAnsi="Tahoma" w:cs="Tahoma"/>
      <w:color w:val="000000"/>
      <w:sz w:val="16"/>
      <w:szCs w:val="16"/>
      <w:lang w:val="en-AU"/>
    </w:rPr>
  </w:style>
  <w:style w:type="paragraph" w:styleId="Seznamobrzk">
    <w:name w:val="table of figures"/>
    <w:basedOn w:val="Normln"/>
    <w:next w:val="Normln"/>
    <w:uiPriority w:val="99"/>
    <w:unhideWhenUsed/>
    <w:rsid w:val="00345CFB"/>
    <w:pPr>
      <w:spacing w:after="0"/>
    </w:pPr>
  </w:style>
  <w:style w:type="character" w:customStyle="1" w:styleId="Heading1Char">
    <w:name w:val="Heading 1 Char"/>
    <w:uiPriority w:val="99"/>
    <w:rsid w:val="006042AA"/>
    <w:rPr>
      <w:rFonts w:ascii="Verdana" w:hAnsi="Verdana" w:cs="Verdana"/>
      <w:color w:val="004080"/>
      <w:sz w:val="32"/>
      <w:szCs w:val="32"/>
    </w:rPr>
  </w:style>
  <w:style w:type="character" w:customStyle="1" w:styleId="Heading2Char">
    <w:name w:val="Heading 2 Char"/>
    <w:uiPriority w:val="99"/>
    <w:rsid w:val="006042AA"/>
    <w:rPr>
      <w:rFonts w:ascii="Verdana" w:hAnsi="Verdana" w:cs="Verdana"/>
      <w:color w:val="0000B0"/>
      <w:sz w:val="30"/>
      <w:szCs w:val="30"/>
    </w:rPr>
  </w:style>
  <w:style w:type="character" w:customStyle="1" w:styleId="Heading3Char">
    <w:name w:val="Heading 3 Char"/>
    <w:uiPriority w:val="99"/>
    <w:rsid w:val="006042AA"/>
    <w:rPr>
      <w:rFonts w:ascii="Verdana" w:hAnsi="Verdana" w:cs="Verdana"/>
      <w:color w:val="1F497D"/>
      <w:sz w:val="28"/>
      <w:szCs w:val="28"/>
    </w:rPr>
  </w:style>
  <w:style w:type="character" w:customStyle="1" w:styleId="Heading4Char">
    <w:name w:val="Heading 4 Char"/>
    <w:uiPriority w:val="99"/>
    <w:rsid w:val="006042AA"/>
    <w:rPr>
      <w:rFonts w:ascii="Verdana" w:hAnsi="Verdana" w:cs="Verdana"/>
      <w:color w:val="004080"/>
    </w:rPr>
  </w:style>
  <w:style w:type="character" w:customStyle="1" w:styleId="Heading5Char">
    <w:name w:val="Heading 5 Char"/>
    <w:uiPriority w:val="99"/>
    <w:rsid w:val="006042AA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uiPriority w:val="99"/>
    <w:rsid w:val="006042AA"/>
    <w:rPr>
      <w:b/>
      <w:bCs/>
      <w:color w:val="000000"/>
    </w:rPr>
  </w:style>
  <w:style w:type="character" w:customStyle="1" w:styleId="Heading7Char">
    <w:name w:val="Heading 7 Char"/>
    <w:uiPriority w:val="99"/>
    <w:rsid w:val="006042AA"/>
    <w:rPr>
      <w:color w:val="000000"/>
    </w:rPr>
  </w:style>
  <w:style w:type="character" w:customStyle="1" w:styleId="Heading8Char">
    <w:name w:val="Heading 8 Char"/>
    <w:uiPriority w:val="99"/>
    <w:rsid w:val="006042AA"/>
    <w:rPr>
      <w:i/>
      <w:iCs/>
      <w:color w:val="000000"/>
    </w:rPr>
  </w:style>
  <w:style w:type="character" w:customStyle="1" w:styleId="Heading9Char">
    <w:name w:val="Heading 9 Char"/>
    <w:uiPriority w:val="99"/>
    <w:rsid w:val="006042AA"/>
    <w:rPr>
      <w:rFonts w:ascii="Cambria" w:hAnsi="Cambria" w:cs="Cambria"/>
      <w:color w:val="000000"/>
    </w:rPr>
  </w:style>
  <w:style w:type="character" w:customStyle="1" w:styleId="TitleChar">
    <w:name w:val="Title Char"/>
    <w:uiPriority w:val="99"/>
    <w:rsid w:val="006042AA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BodyTextChar">
    <w:name w:val="Body Text Char"/>
    <w:uiPriority w:val="99"/>
    <w:rsid w:val="006042AA"/>
    <w:rPr>
      <w:color w:val="000000"/>
      <w:sz w:val="20"/>
      <w:szCs w:val="20"/>
    </w:rPr>
  </w:style>
  <w:style w:type="character" w:customStyle="1" w:styleId="BodyText2Char">
    <w:name w:val="Body Text 2 Char"/>
    <w:uiPriority w:val="99"/>
    <w:rsid w:val="006042AA"/>
    <w:rPr>
      <w:color w:val="000000"/>
      <w:sz w:val="20"/>
      <w:szCs w:val="20"/>
    </w:rPr>
  </w:style>
  <w:style w:type="character" w:customStyle="1" w:styleId="BodyText3Char">
    <w:name w:val="Body Text 3 Char"/>
    <w:uiPriority w:val="99"/>
    <w:rsid w:val="006042AA"/>
    <w:rPr>
      <w:color w:val="000000"/>
      <w:sz w:val="16"/>
      <w:szCs w:val="16"/>
    </w:rPr>
  </w:style>
  <w:style w:type="character" w:customStyle="1" w:styleId="NoteHeadingChar">
    <w:name w:val="Note Heading Char"/>
    <w:uiPriority w:val="99"/>
    <w:rsid w:val="006042AA"/>
    <w:rPr>
      <w:color w:val="000000"/>
      <w:sz w:val="20"/>
      <w:szCs w:val="20"/>
    </w:rPr>
  </w:style>
  <w:style w:type="character" w:customStyle="1" w:styleId="PlainTextChar">
    <w:name w:val="Plain Text Char"/>
    <w:uiPriority w:val="99"/>
    <w:rsid w:val="006042AA"/>
    <w:rPr>
      <w:rFonts w:ascii="Courier New" w:hAnsi="Courier New" w:cs="Courier New"/>
      <w:color w:val="000000"/>
      <w:sz w:val="20"/>
      <w:szCs w:val="20"/>
    </w:rPr>
  </w:style>
  <w:style w:type="character" w:customStyle="1" w:styleId="FooterChar">
    <w:name w:val="Footer Char"/>
    <w:uiPriority w:val="99"/>
    <w:rsid w:val="006042AA"/>
    <w:rPr>
      <w:color w:val="000000"/>
      <w:sz w:val="20"/>
      <w:szCs w:val="20"/>
    </w:rPr>
  </w:style>
  <w:style w:type="character" w:customStyle="1" w:styleId="HeaderChar">
    <w:name w:val="Header Char"/>
    <w:uiPriority w:val="99"/>
    <w:rsid w:val="006042AA"/>
    <w:rPr>
      <w:color w:val="000000"/>
      <w:sz w:val="20"/>
      <w:szCs w:val="20"/>
    </w:rPr>
  </w:style>
  <w:style w:type="character" w:customStyle="1" w:styleId="DocumentMapChar">
    <w:name w:val="Document Map Char"/>
    <w:uiPriority w:val="99"/>
    <w:rsid w:val="006042AA"/>
    <w:rPr>
      <w:rFonts w:ascii="Tahoma" w:hAnsi="Tahoma" w:cs="Tahoma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unhideWhenUsed/>
    <w:rsid w:val="001B7DBB"/>
    <w:pPr>
      <w:spacing w:after="0"/>
      <w:ind w:left="200" w:hanging="200"/>
    </w:pPr>
    <w:rPr>
      <w:rFonts w:asciiTheme="minorHAnsi" w:hAnsiTheme="minorHAnsi" w:cstheme="minorHAnsi"/>
      <w:sz w:val="18"/>
      <w:szCs w:val="21"/>
    </w:rPr>
  </w:style>
  <w:style w:type="paragraph" w:styleId="Rejstk2">
    <w:name w:val="index 2"/>
    <w:basedOn w:val="Normln"/>
    <w:next w:val="Normln"/>
    <w:autoRedefine/>
    <w:uiPriority w:val="99"/>
    <w:unhideWhenUsed/>
    <w:rsid w:val="001B7DBB"/>
    <w:pPr>
      <w:spacing w:after="0"/>
      <w:ind w:left="400" w:hanging="200"/>
    </w:pPr>
    <w:rPr>
      <w:rFonts w:asciiTheme="minorHAnsi" w:hAnsiTheme="minorHAnsi" w:cstheme="minorHAnsi"/>
      <w:sz w:val="18"/>
      <w:szCs w:val="21"/>
    </w:rPr>
  </w:style>
  <w:style w:type="paragraph" w:styleId="Rejstk3">
    <w:name w:val="index 3"/>
    <w:basedOn w:val="Normln"/>
    <w:next w:val="Normln"/>
    <w:autoRedefine/>
    <w:uiPriority w:val="99"/>
    <w:unhideWhenUsed/>
    <w:rsid w:val="001B7DBB"/>
    <w:pPr>
      <w:spacing w:after="0"/>
      <w:ind w:left="600" w:hanging="200"/>
    </w:pPr>
    <w:rPr>
      <w:rFonts w:asciiTheme="minorHAnsi" w:hAnsiTheme="minorHAnsi" w:cstheme="minorHAnsi"/>
      <w:sz w:val="18"/>
      <w:szCs w:val="21"/>
    </w:rPr>
  </w:style>
  <w:style w:type="paragraph" w:styleId="Rejstk4">
    <w:name w:val="index 4"/>
    <w:basedOn w:val="Normln"/>
    <w:next w:val="Normln"/>
    <w:autoRedefine/>
    <w:uiPriority w:val="99"/>
    <w:unhideWhenUsed/>
    <w:rsid w:val="001B7DBB"/>
    <w:pPr>
      <w:spacing w:after="0"/>
      <w:ind w:left="800" w:hanging="200"/>
    </w:pPr>
    <w:rPr>
      <w:rFonts w:asciiTheme="minorHAnsi" w:hAnsiTheme="minorHAnsi" w:cstheme="minorHAnsi"/>
      <w:sz w:val="18"/>
      <w:szCs w:val="21"/>
    </w:rPr>
  </w:style>
  <w:style w:type="paragraph" w:styleId="Rejstk5">
    <w:name w:val="index 5"/>
    <w:basedOn w:val="Normln"/>
    <w:next w:val="Normln"/>
    <w:autoRedefine/>
    <w:uiPriority w:val="99"/>
    <w:unhideWhenUsed/>
    <w:rsid w:val="001B7DBB"/>
    <w:pPr>
      <w:spacing w:after="0"/>
      <w:ind w:left="1000" w:hanging="200"/>
    </w:pPr>
    <w:rPr>
      <w:rFonts w:asciiTheme="minorHAnsi" w:hAnsiTheme="minorHAnsi" w:cstheme="minorHAnsi"/>
      <w:sz w:val="18"/>
      <w:szCs w:val="21"/>
    </w:rPr>
  </w:style>
  <w:style w:type="paragraph" w:styleId="Rejstk6">
    <w:name w:val="index 6"/>
    <w:basedOn w:val="Normln"/>
    <w:next w:val="Normln"/>
    <w:autoRedefine/>
    <w:uiPriority w:val="99"/>
    <w:unhideWhenUsed/>
    <w:rsid w:val="001B7DBB"/>
    <w:pPr>
      <w:spacing w:after="0"/>
      <w:ind w:left="1200" w:hanging="200"/>
    </w:pPr>
    <w:rPr>
      <w:rFonts w:asciiTheme="minorHAnsi" w:hAnsiTheme="minorHAnsi" w:cstheme="minorHAnsi"/>
      <w:sz w:val="18"/>
      <w:szCs w:val="21"/>
    </w:rPr>
  </w:style>
  <w:style w:type="paragraph" w:styleId="Rejstk7">
    <w:name w:val="index 7"/>
    <w:basedOn w:val="Normln"/>
    <w:next w:val="Normln"/>
    <w:autoRedefine/>
    <w:uiPriority w:val="99"/>
    <w:unhideWhenUsed/>
    <w:rsid w:val="001B7DBB"/>
    <w:pPr>
      <w:spacing w:after="0"/>
      <w:ind w:left="1400" w:hanging="200"/>
    </w:pPr>
    <w:rPr>
      <w:rFonts w:asciiTheme="minorHAnsi" w:hAnsiTheme="minorHAnsi" w:cstheme="minorHAnsi"/>
      <w:sz w:val="18"/>
      <w:szCs w:val="21"/>
    </w:rPr>
  </w:style>
  <w:style w:type="paragraph" w:styleId="Rejstk8">
    <w:name w:val="index 8"/>
    <w:basedOn w:val="Normln"/>
    <w:next w:val="Normln"/>
    <w:autoRedefine/>
    <w:uiPriority w:val="99"/>
    <w:unhideWhenUsed/>
    <w:rsid w:val="001B7DBB"/>
    <w:pPr>
      <w:spacing w:after="0"/>
      <w:ind w:left="1600" w:hanging="200"/>
    </w:pPr>
    <w:rPr>
      <w:rFonts w:asciiTheme="minorHAnsi" w:hAnsiTheme="minorHAnsi" w:cstheme="minorHAnsi"/>
      <w:sz w:val="18"/>
      <w:szCs w:val="21"/>
    </w:rPr>
  </w:style>
  <w:style w:type="paragraph" w:styleId="Rejstk9">
    <w:name w:val="index 9"/>
    <w:basedOn w:val="Normln"/>
    <w:next w:val="Normln"/>
    <w:autoRedefine/>
    <w:uiPriority w:val="99"/>
    <w:unhideWhenUsed/>
    <w:rsid w:val="001B7DBB"/>
    <w:pPr>
      <w:spacing w:after="0"/>
      <w:ind w:left="1800" w:hanging="200"/>
    </w:pPr>
    <w:rPr>
      <w:rFonts w:asciiTheme="minorHAnsi" w:hAnsiTheme="minorHAnsi" w:cstheme="minorHAnsi"/>
      <w:sz w:val="18"/>
      <w:szCs w:val="21"/>
    </w:rPr>
  </w:style>
  <w:style w:type="paragraph" w:styleId="Hlavikarejstku">
    <w:name w:val="index heading"/>
    <w:basedOn w:val="Normln"/>
    <w:next w:val="Rejstk1"/>
    <w:uiPriority w:val="99"/>
    <w:unhideWhenUsed/>
    <w:rsid w:val="001B7DBB"/>
    <w:pPr>
      <w:pBdr>
        <w:top w:val="single" w:sz="12" w:space="0" w:color="auto"/>
      </w:pBdr>
      <w:spacing w:before="360"/>
    </w:pPr>
    <w:rPr>
      <w:rFonts w:asciiTheme="minorHAnsi" w:hAnsiTheme="minorHAnsi" w:cstheme="minorHAnsi"/>
      <w:b/>
      <w:bCs/>
      <w:i/>
      <w:iCs/>
      <w:sz w:val="26"/>
      <w:szCs w:val="31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F2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48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171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mvcr.cz/clanek/narodni-standard-pro-elektronicke-systemy-spisove-sluzby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vcr.cz/clanek/dokumentace-egsb.asp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AE2B-AD97-4E7B-8F31-CAB93F4D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9404</Words>
  <Characters>55485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2018-05-10T10:37:00Z</dcterms:created>
  <dcterms:modified xsi:type="dcterms:W3CDTF">2018-05-10T12:23:00Z</dcterms:modified>
</cp:coreProperties>
</file>