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75D14" w14:textId="77777777" w:rsidR="009425D8" w:rsidRPr="00F322E4" w:rsidRDefault="00B16DE0" w:rsidP="002A590A">
      <w:pPr>
        <w:pStyle w:val="Titulka"/>
      </w:pPr>
      <w:r w:rsidRPr="002266B9">
        <w:t xml:space="preserve">smlouva </w:t>
      </w:r>
      <w:r w:rsidR="002266B9" w:rsidRPr="002266B9">
        <w:t>n</w:t>
      </w:r>
      <w:r w:rsidR="002266B9">
        <w:t>a poskytnutí</w:t>
      </w:r>
      <w:r w:rsidR="0033547C">
        <w:t xml:space="preserve"> </w:t>
      </w:r>
      <w:r w:rsidR="006D55CE">
        <w:t>maintenance</w:t>
      </w:r>
    </w:p>
    <w:p w14:paraId="332A9CF0" w14:textId="77263C22" w:rsidR="004244BC" w:rsidRPr="00F322E4" w:rsidRDefault="0014705F" w:rsidP="00F322E4">
      <w:pPr>
        <w:spacing w:after="0" w:line="360" w:lineRule="auto"/>
        <w:jc w:val="center"/>
      </w:pPr>
      <w:r w:rsidRPr="00F322E4">
        <w:t xml:space="preserve">evidovaná u </w:t>
      </w:r>
      <w:r w:rsidR="004352D7">
        <w:t>O</w:t>
      </w:r>
      <w:r w:rsidR="002D5574" w:rsidRPr="00F322E4">
        <w:t>bjed</w:t>
      </w:r>
      <w:r w:rsidRPr="00F322E4">
        <w:t xml:space="preserve">natele pod </w:t>
      </w:r>
      <w:r w:rsidR="002F3442">
        <w:t xml:space="preserve">č. </w:t>
      </w:r>
      <w:r w:rsidR="00880EBE" w:rsidRPr="00D2127E">
        <w:rPr>
          <w:highlight w:val="green"/>
        </w:rPr>
        <w:t>[</w:t>
      </w:r>
      <w:r w:rsidR="00880EBE">
        <w:rPr>
          <w:highlight w:val="green"/>
        </w:rPr>
        <w:t>d</w:t>
      </w:r>
      <w:r w:rsidR="00880EBE" w:rsidRPr="00D2127E">
        <w:rPr>
          <w:highlight w:val="green"/>
        </w:rPr>
        <w:t>oplní zadavatel]</w:t>
      </w:r>
      <w:r w:rsidRPr="00F322E4">
        <w:br/>
      </w:r>
    </w:p>
    <w:p w14:paraId="04D36068" w14:textId="5393BDB3" w:rsidR="005C3D5B" w:rsidRPr="007B5B47" w:rsidRDefault="005C3D5B" w:rsidP="006A16EE">
      <w:pPr>
        <w:tabs>
          <w:tab w:val="left" w:pos="709"/>
          <w:tab w:val="left" w:pos="1388"/>
          <w:tab w:val="left" w:pos="2060"/>
        </w:tabs>
        <w:spacing w:after="0" w:line="360" w:lineRule="auto"/>
        <w:ind w:right="-142"/>
        <w:outlineLvl w:val="0"/>
        <w:rPr>
          <w:rFonts w:eastAsia="Calibri"/>
          <w:b/>
          <w:szCs w:val="18"/>
        </w:rPr>
      </w:pPr>
      <w:r w:rsidRPr="007B5B47">
        <w:rPr>
          <w:rFonts w:eastAsia="Calibri"/>
          <w:b/>
          <w:szCs w:val="18"/>
        </w:rPr>
        <w:t>Objednatel:</w:t>
      </w:r>
      <w:r w:rsidRPr="007B5B47">
        <w:rPr>
          <w:rFonts w:eastAsia="Calibri"/>
          <w:b/>
          <w:szCs w:val="18"/>
        </w:rPr>
        <w:tab/>
        <w:t>Státní pokladna Centrum sdílených služeb, s. p.</w:t>
      </w:r>
    </w:p>
    <w:p w14:paraId="3C26389E" w14:textId="77777777" w:rsidR="005C3D5B" w:rsidRPr="007B5B47" w:rsidRDefault="005C3D5B" w:rsidP="006A16EE">
      <w:pPr>
        <w:tabs>
          <w:tab w:val="left" w:pos="709"/>
        </w:tabs>
        <w:spacing w:after="0" w:line="360" w:lineRule="auto"/>
        <w:ind w:left="1403" w:right="-142"/>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2156E024" w14:textId="77777777" w:rsidR="005C3D5B" w:rsidRPr="00AC589F" w:rsidRDefault="002A590A" w:rsidP="006A16EE">
      <w:pPr>
        <w:tabs>
          <w:tab w:val="left" w:pos="709"/>
        </w:tabs>
        <w:spacing w:after="0" w:line="360" w:lineRule="auto"/>
        <w:ind w:left="1403" w:right="-142"/>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w:t>
      </w:r>
    </w:p>
    <w:p w14:paraId="1CE17748" w14:textId="77777777" w:rsidR="005C3D5B" w:rsidRPr="007B5B47" w:rsidRDefault="005C3D5B" w:rsidP="006A16EE">
      <w:pPr>
        <w:tabs>
          <w:tab w:val="left" w:pos="709"/>
        </w:tabs>
        <w:spacing w:after="0" w:line="360" w:lineRule="auto"/>
        <w:ind w:left="1403" w:right="-142"/>
        <w:rPr>
          <w:rFonts w:eastAsia="Calibri"/>
          <w:szCs w:val="18"/>
        </w:rPr>
      </w:pPr>
      <w:r w:rsidRPr="00AC589F">
        <w:rPr>
          <w:rFonts w:eastAsia="Calibri"/>
          <w:szCs w:val="18"/>
        </w:rPr>
        <w:t>pod sp. zn. A 76922</w:t>
      </w:r>
    </w:p>
    <w:p w14:paraId="10A9D376" w14:textId="53F0DC30" w:rsidR="005C3D5B" w:rsidRPr="007B5B47" w:rsidRDefault="005C3D5B" w:rsidP="006A16EE">
      <w:pPr>
        <w:tabs>
          <w:tab w:val="left" w:pos="709"/>
        </w:tabs>
        <w:spacing w:after="0" w:line="360" w:lineRule="auto"/>
        <w:ind w:left="1403" w:right="-142" w:firstLine="1"/>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IČO: 03630919</w:t>
      </w:r>
      <w:r w:rsidRPr="007B5B47">
        <w:rPr>
          <w:rFonts w:eastAsia="Calibri"/>
          <w:szCs w:val="18"/>
        </w:rPr>
        <w:tab/>
      </w:r>
    </w:p>
    <w:p w14:paraId="59BC32ED"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DIČ: CZ03630919</w:t>
      </w:r>
      <w:r w:rsidRPr="007B5B47">
        <w:rPr>
          <w:rFonts w:eastAsia="Calibri"/>
          <w:szCs w:val="18"/>
        </w:rPr>
        <w:tab/>
      </w:r>
    </w:p>
    <w:p w14:paraId="23FA8F5B"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ID datové schránky: ag5uunk</w:t>
      </w:r>
    </w:p>
    <w:p w14:paraId="5E5A670E" w14:textId="4EA98C98" w:rsidR="005C3D5B" w:rsidRPr="007B5B47" w:rsidRDefault="005F1D9A" w:rsidP="006A16EE">
      <w:pPr>
        <w:tabs>
          <w:tab w:val="left" w:pos="709"/>
        </w:tabs>
        <w:spacing w:after="0" w:line="360" w:lineRule="auto"/>
        <w:ind w:left="696" w:right="-142" w:firstLine="708"/>
        <w:rPr>
          <w:rFonts w:eastAsia="Calibri"/>
          <w:szCs w:val="18"/>
        </w:rPr>
      </w:pPr>
      <w:r>
        <w:rPr>
          <w:rFonts w:eastAsia="Calibri"/>
          <w:szCs w:val="18"/>
        </w:rPr>
        <w:t>b</w:t>
      </w:r>
      <w:r w:rsidR="005C3D5B" w:rsidRPr="007B5B47">
        <w:rPr>
          <w:rFonts w:eastAsia="Calibri"/>
          <w:szCs w:val="18"/>
        </w:rPr>
        <w:t>ankovní spojení: Česká spořitelna, a. s.</w:t>
      </w:r>
    </w:p>
    <w:p w14:paraId="4D306B7D" w14:textId="228A0F55" w:rsidR="002266B9" w:rsidRDefault="005F1D9A" w:rsidP="006A16EE">
      <w:pPr>
        <w:tabs>
          <w:tab w:val="left" w:pos="709"/>
        </w:tabs>
        <w:spacing w:after="0" w:line="360" w:lineRule="auto"/>
        <w:ind w:left="696" w:right="-142" w:firstLine="708"/>
        <w:rPr>
          <w:rFonts w:eastAsia="Calibri"/>
          <w:szCs w:val="18"/>
        </w:rPr>
      </w:pPr>
      <w:r>
        <w:rPr>
          <w:rFonts w:eastAsia="Calibri"/>
          <w:szCs w:val="18"/>
        </w:rPr>
        <w:t>č</w:t>
      </w:r>
      <w:r w:rsidR="005C3D5B" w:rsidRPr="007B5B47">
        <w:rPr>
          <w:rFonts w:eastAsia="Calibri"/>
          <w:szCs w:val="18"/>
        </w:rPr>
        <w:t>íslo účtu: 6303942/0800</w:t>
      </w:r>
      <w:r w:rsidR="000538AA">
        <w:rPr>
          <w:rFonts w:eastAsia="Calibri"/>
          <w:szCs w:val="18"/>
        </w:rPr>
        <w:tab/>
      </w:r>
      <w:r w:rsidR="000538AA">
        <w:rPr>
          <w:rFonts w:eastAsia="Calibri"/>
          <w:szCs w:val="18"/>
        </w:rPr>
        <w:tab/>
      </w:r>
    </w:p>
    <w:p w14:paraId="5598675C"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52C2232A" w14:textId="77777777" w:rsidR="005C3D5B" w:rsidRDefault="000538AA" w:rsidP="006A16EE">
      <w:pPr>
        <w:spacing w:after="0" w:line="360" w:lineRule="auto"/>
        <w:rPr>
          <w:bCs/>
          <w:szCs w:val="18"/>
        </w:rPr>
      </w:pPr>
      <w:r>
        <w:rPr>
          <w:bCs/>
          <w:szCs w:val="18"/>
        </w:rPr>
        <w:t>a</w:t>
      </w:r>
    </w:p>
    <w:p w14:paraId="7CCBEDED" w14:textId="77777777" w:rsidR="000538AA" w:rsidRPr="00E91D88" w:rsidRDefault="000538AA" w:rsidP="006A16EE">
      <w:pPr>
        <w:spacing w:after="0" w:line="360" w:lineRule="auto"/>
        <w:rPr>
          <w:bCs/>
          <w:szCs w:val="18"/>
        </w:rPr>
      </w:pPr>
    </w:p>
    <w:p w14:paraId="36739DFA" w14:textId="1966C326" w:rsidR="00880EBE" w:rsidRPr="007B5B47" w:rsidRDefault="00880EBE" w:rsidP="006A16EE">
      <w:pPr>
        <w:tabs>
          <w:tab w:val="left" w:pos="709"/>
          <w:tab w:val="left" w:pos="1388"/>
          <w:tab w:val="left" w:pos="2060"/>
        </w:tabs>
        <w:spacing w:after="0" w:line="360" w:lineRule="auto"/>
        <w:ind w:right="-142"/>
        <w:outlineLvl w:val="0"/>
        <w:rPr>
          <w:szCs w:val="18"/>
        </w:rPr>
      </w:pPr>
      <w:r>
        <w:rPr>
          <w:rFonts w:eastAsia="Calibri"/>
          <w:b/>
          <w:szCs w:val="18"/>
        </w:rPr>
        <w:t>Poskytovatel</w:t>
      </w:r>
      <w:r w:rsidRPr="007B5B47">
        <w:rPr>
          <w:rFonts w:eastAsia="Calibri"/>
          <w:b/>
          <w:szCs w:val="18"/>
        </w:rPr>
        <w:t>:</w:t>
      </w:r>
      <w:r w:rsidRPr="007B5B47">
        <w:rPr>
          <w:szCs w:val="18"/>
        </w:rPr>
        <w:t xml:space="preserve">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0C80437C" w14:textId="779B7123" w:rsidR="00880EBE" w:rsidRPr="007B5B47" w:rsidRDefault="00880EBE" w:rsidP="006A16EE">
      <w:pPr>
        <w:spacing w:after="0" w:line="360" w:lineRule="auto"/>
        <w:rPr>
          <w:szCs w:val="18"/>
        </w:rPr>
      </w:pPr>
      <w:r w:rsidRPr="007B5B47">
        <w:rPr>
          <w:szCs w:val="18"/>
        </w:rPr>
        <w:t xml:space="preserve"> </w:t>
      </w:r>
      <w:r w:rsidRPr="007B5B47">
        <w:rPr>
          <w:szCs w:val="18"/>
        </w:rPr>
        <w:tab/>
      </w:r>
      <w:r w:rsidRPr="007B5B47">
        <w:rPr>
          <w:szCs w:val="18"/>
        </w:rPr>
        <w:tab/>
        <w:t>se sídlem:</w:t>
      </w:r>
      <w:r w:rsidRPr="007B5B47">
        <w:rPr>
          <w:rFonts w:cs="Arial"/>
          <w:szCs w:val="18"/>
          <w:highlight w:val="yellow"/>
        </w:rPr>
        <w:t xml:space="preserve"> [doplní </w:t>
      </w:r>
      <w:r w:rsidR="0009486B">
        <w:rPr>
          <w:rFonts w:cs="Arial"/>
          <w:szCs w:val="18"/>
          <w:highlight w:val="yellow"/>
        </w:rPr>
        <w:t>dodavatel</w:t>
      </w:r>
      <w:r w:rsidRPr="007B5B47">
        <w:rPr>
          <w:rFonts w:cs="Arial"/>
          <w:szCs w:val="18"/>
          <w:highlight w:val="yellow"/>
        </w:rPr>
        <w:t>]</w:t>
      </w:r>
    </w:p>
    <w:p w14:paraId="2FA9A059" w14:textId="767726D6" w:rsidR="00880EBE" w:rsidRPr="007B5B47" w:rsidRDefault="00880EBE" w:rsidP="006A16EE">
      <w:pPr>
        <w:tabs>
          <w:tab w:val="left" w:pos="709"/>
        </w:tabs>
        <w:spacing w:after="0" w:line="360" w:lineRule="auto"/>
        <w:ind w:left="1404" w:right="-142"/>
        <w:rPr>
          <w:rFonts w:eastAsia="Calibri"/>
          <w:szCs w:val="18"/>
        </w:rPr>
      </w:pPr>
      <w:r w:rsidRPr="007B5B47">
        <w:rPr>
          <w:rFonts w:eastAsia="Calibri"/>
          <w:szCs w:val="18"/>
        </w:rPr>
        <w:t>z</w:t>
      </w:r>
      <w:r w:rsidR="002D2D83">
        <w:rPr>
          <w:rFonts w:eastAsia="Calibri"/>
          <w:szCs w:val="18"/>
        </w:rPr>
        <w:t>apsaný/á</w:t>
      </w:r>
      <w:r w:rsidRPr="007B5B47">
        <w:rPr>
          <w:rFonts w:eastAsia="Calibri"/>
          <w:szCs w:val="18"/>
        </w:rPr>
        <w:t xml:space="preserve"> v obchodním rejstříku vedeném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r w:rsidRPr="007B5B47">
        <w:rPr>
          <w:rFonts w:cs="Arial"/>
          <w:szCs w:val="18"/>
        </w:rPr>
        <w:t xml:space="preserve"> </w:t>
      </w:r>
      <w:r>
        <w:rPr>
          <w:rFonts w:eastAsia="Calibri"/>
          <w:szCs w:val="18"/>
        </w:rPr>
        <w:t>pod sp. zn.</w:t>
      </w:r>
      <w:r w:rsidRPr="007B5B47">
        <w:rPr>
          <w:rFonts w:eastAsia="Calibri"/>
          <w:szCs w:val="18"/>
        </w:rPr>
        <w:t xml:space="preserve">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97947EE" w14:textId="55B69FA6" w:rsidR="00880EBE" w:rsidRPr="007B5B47" w:rsidRDefault="00880EBE" w:rsidP="006A16EE">
      <w:pPr>
        <w:spacing w:after="0" w:line="360" w:lineRule="auto"/>
        <w:rPr>
          <w:szCs w:val="18"/>
        </w:rPr>
      </w:pPr>
      <w:r w:rsidRPr="007B5B47">
        <w:rPr>
          <w:szCs w:val="18"/>
        </w:rPr>
        <w:tab/>
      </w:r>
      <w:r w:rsidRPr="007B5B47">
        <w:rPr>
          <w:szCs w:val="18"/>
        </w:rPr>
        <w:tab/>
        <w:t>zastoupen</w:t>
      </w:r>
      <w:r w:rsidR="002D2D83">
        <w:rPr>
          <w:szCs w:val="18"/>
        </w:rPr>
        <w:t>ý</w:t>
      </w:r>
      <w:r>
        <w:rPr>
          <w:szCs w:val="18"/>
        </w:rPr>
        <w:t>/</w:t>
      </w:r>
      <w:r w:rsidR="002D2D83">
        <w:rPr>
          <w:szCs w:val="18"/>
        </w:rPr>
        <w:t>á</w:t>
      </w:r>
      <w:r w:rsidRPr="007B5B47">
        <w:rPr>
          <w:szCs w:val="18"/>
        </w:rPr>
        <w:t xml:space="preserve">: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CC947E1" w14:textId="4DD9A1A1" w:rsidR="00880EBE" w:rsidRPr="007B5B47" w:rsidRDefault="00880EBE" w:rsidP="006A16EE">
      <w:pPr>
        <w:spacing w:after="0" w:line="360" w:lineRule="auto"/>
        <w:ind w:left="696" w:firstLine="708"/>
        <w:rPr>
          <w:szCs w:val="18"/>
        </w:rPr>
      </w:pPr>
      <w:r w:rsidRPr="007B5B47">
        <w:rPr>
          <w:szCs w:val="18"/>
        </w:rPr>
        <w:t xml:space="preserve">IČO: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30D77B73" w14:textId="5D7DB8EA" w:rsidR="00880EBE" w:rsidRPr="007B5B47" w:rsidRDefault="00880EBE" w:rsidP="006A16EE">
      <w:pPr>
        <w:spacing w:after="0" w:line="360" w:lineRule="auto"/>
        <w:ind w:left="696" w:firstLine="708"/>
        <w:rPr>
          <w:rFonts w:cs="Arial"/>
          <w:szCs w:val="18"/>
        </w:rPr>
      </w:pPr>
      <w:r w:rsidRPr="007B5B47">
        <w:rPr>
          <w:szCs w:val="18"/>
        </w:rPr>
        <w:t xml:space="preserve">DIČ: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5A7B627" w14:textId="19128E2E" w:rsidR="00880EBE" w:rsidRPr="007B5B47" w:rsidRDefault="00880EBE" w:rsidP="006A16EE">
      <w:pPr>
        <w:spacing w:after="0" w:line="360" w:lineRule="auto"/>
        <w:ind w:left="696" w:firstLine="708"/>
        <w:rPr>
          <w:szCs w:val="18"/>
        </w:rPr>
      </w:pPr>
      <w:r w:rsidRPr="007B5B47">
        <w:rPr>
          <w:rFonts w:eastAsia="Calibri"/>
          <w:szCs w:val="18"/>
        </w:rPr>
        <w:t xml:space="preserve">ID datové schránky: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E03EC08" w14:textId="79EC03A3" w:rsidR="00880EBE" w:rsidRPr="007B5B47" w:rsidRDefault="005F1D9A" w:rsidP="006A16EE">
      <w:pPr>
        <w:spacing w:after="0" w:line="360" w:lineRule="auto"/>
        <w:ind w:left="696" w:firstLine="708"/>
        <w:rPr>
          <w:szCs w:val="18"/>
        </w:rPr>
      </w:pPr>
      <w:r>
        <w:rPr>
          <w:szCs w:val="18"/>
        </w:rPr>
        <w:t>b</w:t>
      </w:r>
      <w:r w:rsidR="00880EBE" w:rsidRPr="007B5B47">
        <w:rPr>
          <w:szCs w:val="18"/>
        </w:rPr>
        <w:t>ankovní spojení:</w:t>
      </w:r>
      <w:r w:rsidR="00880EBE" w:rsidRPr="007B5B47">
        <w:rPr>
          <w:rFonts w:cs="Arial"/>
          <w:szCs w:val="18"/>
          <w:highlight w:val="yellow"/>
        </w:rPr>
        <w:t xml:space="preserve"> [doplní </w:t>
      </w:r>
      <w:r w:rsidR="0009486B">
        <w:rPr>
          <w:rFonts w:cs="Arial"/>
          <w:szCs w:val="18"/>
          <w:highlight w:val="yellow"/>
        </w:rPr>
        <w:t>dodavatel</w:t>
      </w:r>
      <w:r w:rsidR="00880EBE" w:rsidRPr="007B5B47">
        <w:rPr>
          <w:rFonts w:cs="Arial"/>
          <w:szCs w:val="18"/>
          <w:highlight w:val="yellow"/>
        </w:rPr>
        <w:t>]</w:t>
      </w:r>
    </w:p>
    <w:p w14:paraId="1782BE09" w14:textId="399CE350" w:rsidR="00880EBE" w:rsidRPr="000538AA" w:rsidRDefault="005F1D9A" w:rsidP="006A16EE">
      <w:pPr>
        <w:spacing w:after="0" w:line="360" w:lineRule="auto"/>
        <w:ind w:left="696" w:firstLine="708"/>
        <w:rPr>
          <w:szCs w:val="18"/>
        </w:rPr>
      </w:pPr>
      <w:r>
        <w:rPr>
          <w:szCs w:val="18"/>
        </w:rPr>
        <w:t>č</w:t>
      </w:r>
      <w:r w:rsidR="00880EBE" w:rsidRPr="007B5B47">
        <w:rPr>
          <w:szCs w:val="18"/>
        </w:rPr>
        <w:t xml:space="preserve">íslo účtu: </w:t>
      </w:r>
      <w:r w:rsidR="00880EBE" w:rsidRPr="005F6192">
        <w:rPr>
          <w:szCs w:val="18"/>
        </w:rPr>
        <w:t>[</w:t>
      </w:r>
      <w:r w:rsidR="00880EBE" w:rsidRPr="002266B9">
        <w:rPr>
          <w:szCs w:val="18"/>
          <w:highlight w:val="yellow"/>
        </w:rPr>
        <w:t xml:space="preserve">doplní </w:t>
      </w:r>
      <w:r w:rsidR="0009486B">
        <w:rPr>
          <w:szCs w:val="18"/>
          <w:highlight w:val="yellow"/>
        </w:rPr>
        <w:t>dodavatel</w:t>
      </w:r>
      <w:r w:rsidR="00880EBE" w:rsidRPr="005F6192">
        <w:rPr>
          <w:szCs w:val="18"/>
        </w:rPr>
        <w:t>]</w:t>
      </w:r>
    </w:p>
    <w:p w14:paraId="0DC10B8E" w14:textId="77777777" w:rsidR="00880EBE" w:rsidRPr="00F322E4" w:rsidRDefault="00880EBE" w:rsidP="006A16EE">
      <w:pPr>
        <w:spacing w:after="0" w:line="360" w:lineRule="auto"/>
        <w:ind w:left="696" w:firstLine="708"/>
      </w:pPr>
      <w:r w:rsidRPr="00F322E4">
        <w:t>(dále jen „</w:t>
      </w:r>
      <w:r>
        <w:rPr>
          <w:b/>
        </w:rPr>
        <w:t>P</w:t>
      </w:r>
      <w:r w:rsidRPr="005C3D5B">
        <w:rPr>
          <w:b/>
        </w:rPr>
        <w:t>oskytovatel</w:t>
      </w:r>
      <w:r w:rsidRPr="00F322E4">
        <w:t>“)</w:t>
      </w:r>
    </w:p>
    <w:p w14:paraId="41E50779" w14:textId="77777777" w:rsidR="00880EBE" w:rsidRDefault="00880EBE" w:rsidP="00880EBE">
      <w:pPr>
        <w:spacing w:after="0" w:line="360" w:lineRule="auto"/>
        <w:jc w:val="center"/>
      </w:pPr>
      <w:r w:rsidRPr="00F322E4">
        <w:t xml:space="preserve"> </w:t>
      </w: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2D810915" w:rsidR="004244BC" w:rsidRPr="00F322E4" w:rsidRDefault="004244BC" w:rsidP="005C3D5B">
      <w:pPr>
        <w:spacing w:after="0" w:line="360" w:lineRule="auto"/>
        <w:jc w:val="center"/>
      </w:pPr>
      <w:r w:rsidRPr="00F322E4">
        <w:t xml:space="preserve">uzavírají v souladu s </w:t>
      </w:r>
      <w:r w:rsidR="00ED5813" w:rsidRPr="00F322E4">
        <w:t xml:space="preserve">§ 1746 odst. 2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FF56A7" w:rsidRPr="00F322E4">
        <w:t>tuto</w:t>
      </w:r>
    </w:p>
    <w:p w14:paraId="79577CCF" w14:textId="77777777" w:rsidR="00ED5813" w:rsidRPr="0043443B" w:rsidRDefault="00303ABF" w:rsidP="005C3D5B">
      <w:pPr>
        <w:spacing w:after="0" w:line="360" w:lineRule="auto"/>
        <w:jc w:val="center"/>
      </w:pPr>
      <w:r w:rsidRPr="0043443B">
        <w:t xml:space="preserve">Smlouvu na poskytnutí </w:t>
      </w:r>
      <w:r w:rsidR="006D55CE" w:rsidRPr="0043443B">
        <w:t>maintenance</w:t>
      </w:r>
    </w:p>
    <w:p w14:paraId="2C5BFE12" w14:textId="4A463495" w:rsidR="002A590A" w:rsidRDefault="00053368" w:rsidP="005C3D5B">
      <w:pPr>
        <w:spacing w:after="0" w:line="360" w:lineRule="auto"/>
        <w:jc w:val="center"/>
      </w:pPr>
      <w:r>
        <w:t>(dále jen „</w:t>
      </w:r>
      <w:r w:rsidR="00D11797">
        <w:rPr>
          <w:b/>
        </w:rPr>
        <w:t>S</w:t>
      </w:r>
      <w:r w:rsidR="004244BC" w:rsidRPr="00053368">
        <w:rPr>
          <w:b/>
        </w:rPr>
        <w:t>mlouva</w:t>
      </w:r>
      <w:r w:rsidR="004244BC" w:rsidRPr="00F322E4">
        <w:t>“)</w:t>
      </w:r>
    </w:p>
    <w:p w14:paraId="602ECF87" w14:textId="77777777" w:rsidR="002A590A" w:rsidRDefault="002A590A" w:rsidP="002A590A">
      <w:r>
        <w:br w:type="page"/>
      </w:r>
    </w:p>
    <w:p w14:paraId="443D8227" w14:textId="77777777"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25F9E66F" w14:textId="50B59BF1" w:rsidR="00626289" w:rsidRDefault="00626289" w:rsidP="00626289">
      <w:pPr>
        <w:pStyle w:val="TMNormlnModr"/>
        <w:ind w:left="0"/>
        <w:rPr>
          <w:rStyle w:val="TMNormlnModrChar"/>
          <w:rFonts w:ascii="Verdana" w:hAnsi="Verdana" w:cs="Arial"/>
          <w:color w:val="auto"/>
        </w:rPr>
      </w:pPr>
      <w:r w:rsidRPr="008B2AA9">
        <w:rPr>
          <w:rStyle w:val="TMNormlnModrChar"/>
          <w:rFonts w:ascii="Verdana" w:hAnsi="Verdana" w:cs="Arial"/>
          <w:color w:val="auto"/>
        </w:rPr>
        <w:t xml:space="preserve">Tato </w:t>
      </w:r>
      <w:r>
        <w:rPr>
          <w:rStyle w:val="TMNormlnModrChar"/>
          <w:rFonts w:ascii="Verdana" w:hAnsi="Verdana" w:cs="Arial"/>
          <w:color w:val="auto"/>
        </w:rPr>
        <w:t>S</w:t>
      </w:r>
      <w:r w:rsidRPr="008B2AA9">
        <w:rPr>
          <w:rStyle w:val="TMNormlnModrChar"/>
          <w:rFonts w:ascii="Verdana" w:hAnsi="Verdana" w:cs="Arial"/>
          <w:color w:val="auto"/>
        </w:rPr>
        <w:t xml:space="preserve">mlouva je uzavřena na základě výsledku zadávacího řízení veřejné zakázky s názvem </w:t>
      </w:r>
      <w:r w:rsidRPr="00892EA8">
        <w:rPr>
          <w:rStyle w:val="TMNormlnModrChar"/>
          <w:rFonts w:ascii="Verdana" w:hAnsi="Verdana" w:cs="Arial"/>
          <w:color w:val="auto"/>
        </w:rPr>
        <w:t>„</w:t>
      </w:r>
      <w:r w:rsidR="00E54320">
        <w:rPr>
          <w:rStyle w:val="TMNormlnModrChar"/>
          <w:rFonts w:ascii="Verdana" w:hAnsi="Verdana" w:cs="Arial"/>
          <w:i/>
          <w:color w:val="auto"/>
        </w:rPr>
        <w:t>Pořízení HW a SW maintenance</w:t>
      </w:r>
      <w:r w:rsidR="001350F9" w:rsidRPr="008B2AA9">
        <w:rPr>
          <w:rStyle w:val="TMNormlnModrChar"/>
          <w:rFonts w:ascii="Verdana" w:hAnsi="Verdana" w:cs="Arial"/>
          <w:color w:val="auto"/>
        </w:rPr>
        <w:t xml:space="preserve">“ </w:t>
      </w:r>
      <w:r w:rsidR="001350F9">
        <w:rPr>
          <w:rStyle w:val="TMNormlnModrChar"/>
          <w:rFonts w:ascii="Verdana" w:hAnsi="Verdana" w:cs="Arial"/>
          <w:color w:val="auto"/>
        </w:rPr>
        <w:t>pod</w:t>
      </w:r>
      <w:r w:rsidR="00CE1F23">
        <w:rPr>
          <w:rStyle w:val="TMNormlnModrChar"/>
          <w:rFonts w:ascii="Verdana" w:hAnsi="Verdana" w:cs="Arial"/>
          <w:color w:val="auto"/>
        </w:rPr>
        <w:t xml:space="preserve"> evidenčním číslem VZ_2019_0003 </w:t>
      </w:r>
      <w:r w:rsidRPr="008B2AA9">
        <w:rPr>
          <w:rStyle w:val="TMNormlnModrChar"/>
          <w:rFonts w:ascii="Verdana" w:hAnsi="Verdana" w:cs="Arial"/>
          <w:color w:val="auto"/>
        </w:rPr>
        <w:t>(dále jen „</w:t>
      </w:r>
      <w:r w:rsidRPr="00E54320">
        <w:rPr>
          <w:rStyle w:val="TMNormlnModrChar"/>
          <w:rFonts w:ascii="Verdana" w:hAnsi="Verdana" w:cs="Arial"/>
          <w:b/>
          <w:color w:val="auto"/>
        </w:rPr>
        <w:t>Veřejná zakázka</w:t>
      </w:r>
      <w:r w:rsidRPr="008B2AA9">
        <w:rPr>
          <w:rStyle w:val="TMNormlnModrChar"/>
          <w:rFonts w:ascii="Verdana" w:hAnsi="Verdana" w:cs="Arial"/>
          <w:color w:val="auto"/>
        </w:rPr>
        <w:t xml:space="preserve">“), zadávanou </w:t>
      </w:r>
      <w:r>
        <w:rPr>
          <w:rStyle w:val="TMNormlnModrChar"/>
          <w:rFonts w:ascii="Verdana" w:hAnsi="Verdana" w:cs="Arial"/>
          <w:color w:val="auto"/>
        </w:rPr>
        <w:t>Objednatelem</w:t>
      </w:r>
      <w:r w:rsidRPr="008B2AA9">
        <w:rPr>
          <w:rStyle w:val="TMNormlnModrChar"/>
          <w:rFonts w:ascii="Verdana" w:hAnsi="Verdana" w:cs="Arial"/>
          <w:color w:val="auto"/>
        </w:rPr>
        <w:t xml:space="preserve"> jako zadavatelem ve smyslu zák. č. 134/2016 Sb., o zadávání veřejných zakázek</w:t>
      </w:r>
      <w:r>
        <w:rPr>
          <w:rStyle w:val="TMNormlnModrChar"/>
          <w:rFonts w:ascii="Verdana" w:hAnsi="Verdana" w:cs="Arial"/>
          <w:color w:val="auto"/>
        </w:rPr>
        <w:t>, ve znění pozdějších předpisů</w:t>
      </w:r>
      <w:r w:rsidRPr="008B2AA9">
        <w:rPr>
          <w:rStyle w:val="TMNormlnModrChar"/>
          <w:rFonts w:ascii="Verdana" w:hAnsi="Verdana" w:cs="Arial"/>
          <w:color w:val="auto"/>
        </w:rPr>
        <w:t xml:space="preserve"> (dále jen </w:t>
      </w:r>
      <w:r w:rsidRPr="00E54320">
        <w:rPr>
          <w:rStyle w:val="TMNormlnModrChar"/>
          <w:rFonts w:ascii="Verdana" w:hAnsi="Verdana" w:cs="Arial"/>
          <w:color w:val="auto"/>
        </w:rPr>
        <w:t>„</w:t>
      </w:r>
      <w:r w:rsidRPr="00E54320">
        <w:rPr>
          <w:rStyle w:val="TMNormlnModrChar"/>
          <w:rFonts w:ascii="Verdana" w:hAnsi="Verdana" w:cs="Arial"/>
          <w:b/>
          <w:color w:val="auto"/>
        </w:rPr>
        <w:t>ZZVZ</w:t>
      </w:r>
      <w:r w:rsidRPr="008B2AA9">
        <w:rPr>
          <w:rStyle w:val="TMNormlnModrChar"/>
          <w:rFonts w:ascii="Verdana" w:hAnsi="Verdana" w:cs="Arial"/>
          <w:color w:val="auto"/>
        </w:rPr>
        <w:t>“) (to vše dále jen „</w:t>
      </w:r>
      <w:r w:rsidRPr="00E54320">
        <w:rPr>
          <w:rStyle w:val="TMNormlnModrChar"/>
          <w:rFonts w:ascii="Verdana" w:hAnsi="Verdana" w:cs="Arial"/>
          <w:b/>
          <w:color w:val="auto"/>
        </w:rPr>
        <w:t>Zadávací řízení</w:t>
      </w:r>
      <w:r w:rsidRPr="008B2AA9">
        <w:rPr>
          <w:rStyle w:val="TMNormlnModrChar"/>
          <w:rFonts w:ascii="Verdana" w:hAnsi="Verdana" w:cs="Arial"/>
          <w:color w:val="auto"/>
        </w:rPr>
        <w:t xml:space="preserve">“), neboť nabídka </w:t>
      </w:r>
      <w:r w:rsidRPr="00206D2C">
        <w:rPr>
          <w:rStyle w:val="TMNormlnModrChar"/>
          <w:rFonts w:ascii="Verdana" w:hAnsi="Verdana" w:cs="Arial"/>
          <w:color w:val="auto"/>
        </w:rPr>
        <w:t>Poskytovatel</w:t>
      </w:r>
      <w:r w:rsidRPr="008B2AA9">
        <w:rPr>
          <w:rStyle w:val="TMNormlnModrChar"/>
          <w:rFonts w:ascii="Verdana" w:hAnsi="Verdana" w:cs="Arial"/>
          <w:color w:val="auto"/>
        </w:rPr>
        <w:t xml:space="preserve">e podaná v rámci Zadávacího řízení byla </w:t>
      </w:r>
      <w:r>
        <w:rPr>
          <w:rStyle w:val="TMNormlnModrChar"/>
          <w:rFonts w:ascii="Verdana" w:hAnsi="Verdana" w:cs="Arial"/>
          <w:color w:val="auto"/>
        </w:rPr>
        <w:t>Objednatelem</w:t>
      </w:r>
      <w:r w:rsidRPr="008B2AA9">
        <w:rPr>
          <w:rStyle w:val="TMNormlnModrChar"/>
          <w:rFonts w:ascii="Verdana" w:hAnsi="Verdana" w:cs="Arial"/>
          <w:color w:val="auto"/>
        </w:rPr>
        <w:t xml:space="preserve"> vyhodnocena </w:t>
      </w:r>
      <w:r w:rsidRPr="00892EA8">
        <w:rPr>
          <w:rStyle w:val="TMNormlnModrChar"/>
          <w:rFonts w:ascii="Verdana" w:hAnsi="Verdana" w:cs="Arial"/>
          <w:color w:val="auto"/>
        </w:rPr>
        <w:t>jako ekonomicky nejvýhodnější. Pokud</w:t>
      </w:r>
      <w:r w:rsidRPr="008B2AA9">
        <w:rPr>
          <w:rStyle w:val="TMNormlnModrChar"/>
          <w:rFonts w:ascii="Verdana" w:hAnsi="Verdana" w:cs="Arial"/>
          <w:color w:val="auto"/>
        </w:rPr>
        <w:t xml:space="preserve"> se v této Smlouvě odkazuje na zadávací podmínky, zadávací dokumentaci či nabídku </w:t>
      </w:r>
      <w:r w:rsidRPr="00206D2C">
        <w:rPr>
          <w:rStyle w:val="TMNormlnModrChar"/>
          <w:rFonts w:ascii="Verdana" w:hAnsi="Verdana" w:cs="Arial"/>
          <w:color w:val="auto"/>
        </w:rPr>
        <w:t>Poskytovatel</w:t>
      </w:r>
      <w:r w:rsidRPr="008B2AA9">
        <w:rPr>
          <w:rStyle w:val="TMNormlnModrChar"/>
          <w:rFonts w:ascii="Verdana" w:hAnsi="Verdana" w:cs="Arial"/>
          <w:color w:val="auto"/>
        </w:rPr>
        <w:t>e, míní se tím dokumenty související se Zadávacím řízením (dále jen „</w:t>
      </w:r>
      <w:r w:rsidRPr="00150124">
        <w:rPr>
          <w:rStyle w:val="TMNormlnModrChar"/>
          <w:rFonts w:ascii="Verdana" w:hAnsi="Verdana" w:cs="Arial"/>
          <w:b/>
          <w:color w:val="auto"/>
        </w:rPr>
        <w:t>Dokumenty Zadávacího řízení</w:t>
      </w:r>
      <w:r w:rsidRPr="008B2AA9">
        <w:rPr>
          <w:rStyle w:val="TMNormlnModrChar"/>
          <w:rFonts w:ascii="Verdana" w:hAnsi="Verdana" w:cs="Arial"/>
          <w:color w:val="auto"/>
        </w:rPr>
        <w:t>“)</w:t>
      </w:r>
      <w:r w:rsidR="009F294D">
        <w:rPr>
          <w:rStyle w:val="TMNormlnModrChar"/>
          <w:rFonts w:ascii="Verdana" w:hAnsi="Verdana" w:cs="Arial"/>
          <w:color w:val="auto"/>
        </w:rPr>
        <w:t>.</w:t>
      </w:r>
    </w:p>
    <w:p w14:paraId="01CC5A34" w14:textId="77777777" w:rsidR="0030688E" w:rsidRDefault="0030688E" w:rsidP="0030688E">
      <w:pPr>
        <w:pStyle w:val="Nadpis1"/>
        <w:tabs>
          <w:tab w:val="clear" w:pos="284"/>
        </w:tabs>
        <w:spacing w:before="480" w:after="240"/>
        <w:ind w:left="0" w:firstLine="0"/>
      </w:pPr>
      <w:r>
        <w:t>úvodní ustanovení</w:t>
      </w:r>
    </w:p>
    <w:p w14:paraId="17AD3BB0" w14:textId="77777777" w:rsidR="0030688E" w:rsidRPr="00B70748" w:rsidRDefault="0030688E" w:rsidP="00B70748">
      <w:pPr>
        <w:pStyle w:val="Nadpis2"/>
      </w:pPr>
      <w:r w:rsidRPr="00B70748">
        <w:t>Objednatel prohlašuje, že:</w:t>
      </w:r>
    </w:p>
    <w:p w14:paraId="6BD77B4A" w14:textId="77777777" w:rsidR="0030688E" w:rsidRPr="00B70748" w:rsidRDefault="0030688E" w:rsidP="00B70748">
      <w:pPr>
        <w:pStyle w:val="Nadpis3"/>
      </w:pPr>
      <w:r w:rsidRPr="00B70748">
        <w:t>je státním podnikem existujícím podle českého právního řádu; a</w:t>
      </w:r>
    </w:p>
    <w:p w14:paraId="44A1AC7A" w14:textId="77777777" w:rsidR="0030688E" w:rsidRPr="00B70748" w:rsidRDefault="0030688E" w:rsidP="00B70748">
      <w:pPr>
        <w:pStyle w:val="Nadpis3"/>
      </w:pPr>
      <w:r w:rsidRPr="00B70748">
        <w:t xml:space="preserve">splňuje veškeré podmínky a požadavky ve Smlouvě stanovené a je oprávněn Smlouvu uzavřít a řádně plnit závazky v ní obsažené. </w:t>
      </w:r>
    </w:p>
    <w:p w14:paraId="0962AFFF" w14:textId="77777777" w:rsidR="0030688E" w:rsidRPr="00B70748" w:rsidRDefault="0030688E" w:rsidP="00B70748">
      <w:pPr>
        <w:pStyle w:val="Nadpis2"/>
      </w:pPr>
      <w:r w:rsidRPr="00B70748">
        <w:t>Poskytovatel prohlašuje, že:</w:t>
      </w:r>
    </w:p>
    <w:p w14:paraId="2A067DCA" w14:textId="77777777" w:rsidR="0030688E" w:rsidRPr="00B70748" w:rsidRDefault="0030688E" w:rsidP="00B70748">
      <w:pPr>
        <w:pStyle w:val="Nadpis3"/>
      </w:pPr>
      <w:r w:rsidRPr="00B70748">
        <w:t>je podnikatelem dle ust. § 420 a násl. Občanského zákoníku;</w:t>
      </w:r>
    </w:p>
    <w:p w14:paraId="5614720B" w14:textId="77777777" w:rsidR="0030688E" w:rsidRPr="00B70748" w:rsidRDefault="0030688E" w:rsidP="00B70748">
      <w:pPr>
        <w:pStyle w:val="Nadpis3"/>
      </w:pPr>
      <w:r w:rsidRPr="00B70748">
        <w:t>splňuje veškeré podmínky a požadavky ve Smlouvě stanovené a je oprávněn Smlouvu uzavřít a řádně plnit závazky v ní obsažené;</w:t>
      </w:r>
    </w:p>
    <w:p w14:paraId="6967EAA8" w14:textId="77777777" w:rsidR="0030688E" w:rsidRPr="00B70748" w:rsidRDefault="0030688E" w:rsidP="00B70748">
      <w:pPr>
        <w:pStyle w:val="Nadpis3"/>
      </w:pPr>
      <w:r w:rsidRPr="00B70748">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2A226FE" w14:textId="77777777" w:rsidR="0030688E" w:rsidRPr="00B70748" w:rsidRDefault="0030688E" w:rsidP="00B70748">
      <w:pPr>
        <w:pStyle w:val="Nadpis3"/>
      </w:pPr>
      <w:r w:rsidRPr="00B70748">
        <w:t>se náležitě seznámil se všemi podklady, které byly součástí zadávací dokumentace Veřejné zakázky včetně všech jejích příloh, a které stanovují požadavky na plnění dle této Smlouvy;</w:t>
      </w:r>
    </w:p>
    <w:p w14:paraId="31BEB0B2" w14:textId="77777777" w:rsidR="0030688E" w:rsidRPr="00B70748" w:rsidRDefault="0030688E" w:rsidP="00B70748">
      <w:pPr>
        <w:pStyle w:val="Nadpis3"/>
      </w:pPr>
      <w:r w:rsidRPr="00B70748">
        <w:t>je odborně způsobilý ke splnění všech svých závazků podle Smlouvy;</w:t>
      </w:r>
    </w:p>
    <w:p w14:paraId="7B8D6F02" w14:textId="77777777" w:rsidR="0030688E" w:rsidRPr="00B70748" w:rsidRDefault="0030688E" w:rsidP="00B70748">
      <w:pPr>
        <w:pStyle w:val="Nadpis3"/>
      </w:pPr>
      <w:r w:rsidRPr="00B70748">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 a</w:t>
      </w:r>
    </w:p>
    <w:p w14:paraId="7BE89177" w14:textId="77777777" w:rsidR="0030688E" w:rsidRPr="00B70748" w:rsidRDefault="0030688E" w:rsidP="00B70748">
      <w:pPr>
        <w:pStyle w:val="Nadpis3"/>
      </w:pPr>
      <w:r w:rsidRPr="00B70748">
        <w:t>jím poskytované plnění odpovídá všem požadavkům vyplývajícím z platných právních předpisů, které se na plnění dle této Smlouvy vztahují.</w:t>
      </w:r>
    </w:p>
    <w:p w14:paraId="0289F6C3" w14:textId="208F7D21" w:rsidR="0030688E" w:rsidRPr="00B70748" w:rsidRDefault="0030688E" w:rsidP="00B70748">
      <w:pPr>
        <w:pStyle w:val="Nadpis2"/>
      </w:pPr>
      <w:r w:rsidRPr="00B70748">
        <w:t>Pojmy s velkými počátečními písmeny definované ve Smlouvě budou mít význam, jenž je jim ve Smlouvě, včetně jejích příloh a dodatků, přikládán.</w:t>
      </w:r>
    </w:p>
    <w:p w14:paraId="2EAA48A0" w14:textId="3FD5A78F" w:rsidR="00F25CCC" w:rsidRPr="00F25CCC" w:rsidRDefault="00E25939" w:rsidP="00F25CCC">
      <w:pPr>
        <w:pStyle w:val="Nadpis1"/>
      </w:pPr>
      <w:r>
        <w:t>Účel smlouvy</w:t>
      </w:r>
    </w:p>
    <w:p w14:paraId="356DC158" w14:textId="1B63C765" w:rsidR="003E512D" w:rsidRPr="004E4C7D" w:rsidRDefault="003E512D" w:rsidP="004E4C7D">
      <w:pPr>
        <w:pStyle w:val="Nadpis2"/>
      </w:pPr>
      <w:r w:rsidRPr="004E4C7D">
        <w:t xml:space="preserve">Účelem této Smlouvy je úprava zajištění poskytnutí níže specifikovaného Plnění ze strany </w:t>
      </w:r>
      <w:r w:rsidRPr="004E4C7D">
        <w:rPr>
          <w:rStyle w:val="TMNormlnModrChar"/>
          <w:rFonts w:ascii="Verdana" w:eastAsiaTheme="minorHAnsi" w:hAnsi="Verdana" w:cstheme="minorBidi"/>
          <w:color w:val="auto"/>
          <w:szCs w:val="22"/>
          <w:lang w:eastAsia="en-US"/>
        </w:rPr>
        <w:t>Poskytovatel</w:t>
      </w:r>
      <w:r w:rsidRPr="004E4C7D">
        <w:t xml:space="preserve">e </w:t>
      </w:r>
      <w:r w:rsidR="00985D2F" w:rsidRPr="004E4C7D">
        <w:t>Objednateli</w:t>
      </w:r>
      <w:r w:rsidR="00252D01" w:rsidRPr="004E4C7D">
        <w:t xml:space="preserve">, </w:t>
      </w:r>
      <w:r w:rsidR="00486217">
        <w:t>jak je blíže vymezeno v následujících odstavcích.</w:t>
      </w:r>
    </w:p>
    <w:p w14:paraId="193A7041" w14:textId="77777777" w:rsidR="00B95567" w:rsidRPr="000538AA" w:rsidRDefault="006C503E" w:rsidP="002A590A">
      <w:pPr>
        <w:pStyle w:val="Nadpis1"/>
      </w:pPr>
      <w:r>
        <w:lastRenderedPageBreak/>
        <w:t>PŘEDMĚT SMLOUVY</w:t>
      </w:r>
    </w:p>
    <w:p w14:paraId="35B93836" w14:textId="225916A9" w:rsidR="00AB3AA9" w:rsidRDefault="00F73532" w:rsidP="00AB3AA9">
      <w:pPr>
        <w:pStyle w:val="Nadpis2"/>
      </w:pPr>
      <w:r w:rsidRPr="006D55CE">
        <w:t xml:space="preserve">Předmětem této </w:t>
      </w:r>
      <w:r w:rsidR="006F1EB3">
        <w:t>S</w:t>
      </w:r>
      <w:r w:rsidRPr="006D55CE">
        <w:t xml:space="preserve">mlouvy je </w:t>
      </w:r>
      <w:r w:rsidR="00FF3453" w:rsidRPr="006D55CE">
        <w:t>závazek P</w:t>
      </w:r>
      <w:r w:rsidR="00A25852" w:rsidRPr="006D55CE">
        <w:t xml:space="preserve">oskytovatele </w:t>
      </w:r>
      <w:r w:rsidR="008571FB">
        <w:t>zajistit</w:t>
      </w:r>
      <w:r w:rsidR="00303ABF" w:rsidRPr="006D55CE">
        <w:t xml:space="preserve"> </w:t>
      </w:r>
      <w:r w:rsidR="00257DBA" w:rsidRPr="006F1EB3">
        <w:rPr>
          <w:lang w:val="en-US"/>
        </w:rPr>
        <w:t>maintenance</w:t>
      </w:r>
      <w:r w:rsidR="00257DBA" w:rsidRPr="002A590A">
        <w:t xml:space="preserve"> </w:t>
      </w:r>
      <w:r w:rsidR="00B80C3C" w:rsidRPr="00575A85">
        <w:rPr>
          <w:szCs w:val="18"/>
        </w:rPr>
        <w:t>k</w:t>
      </w:r>
      <w:r w:rsidR="00B80C3C">
        <w:rPr>
          <w:szCs w:val="18"/>
        </w:rPr>
        <w:t> hardwarovým a</w:t>
      </w:r>
      <w:r w:rsidR="00B80C3C" w:rsidRPr="00575A85">
        <w:rPr>
          <w:szCs w:val="18"/>
        </w:rPr>
        <w:t xml:space="preserve"> softwarovým produktům</w:t>
      </w:r>
      <w:r w:rsidR="00B80C3C">
        <w:rPr>
          <w:szCs w:val="18"/>
        </w:rPr>
        <w:t xml:space="preserve"> a softwarové subskrip</w:t>
      </w:r>
      <w:r w:rsidR="005F69EC">
        <w:rPr>
          <w:szCs w:val="18"/>
        </w:rPr>
        <w:t>ce</w:t>
      </w:r>
      <w:r w:rsidR="00B80C3C">
        <w:rPr>
          <w:szCs w:val="18"/>
        </w:rPr>
        <w:t xml:space="preserve"> </w:t>
      </w:r>
      <w:r w:rsidR="006D55CE" w:rsidRPr="006D55CE">
        <w:t>od společnost</w:t>
      </w:r>
      <w:r w:rsidR="00434FE8">
        <w:t>i</w:t>
      </w:r>
      <w:r w:rsidR="00D804D7">
        <w:t xml:space="preserve"> </w:t>
      </w:r>
      <w:r w:rsidR="0057059F" w:rsidRPr="008E142C">
        <w:rPr>
          <w:szCs w:val="18"/>
        </w:rPr>
        <w:t>International Business Machines Corp.</w:t>
      </w:r>
      <w:r w:rsidR="0057059F">
        <w:rPr>
          <w:szCs w:val="18"/>
        </w:rPr>
        <w:t xml:space="preserve">, se sídlem </w:t>
      </w:r>
      <w:r w:rsidR="00831D20" w:rsidRPr="008E142C">
        <w:rPr>
          <w:szCs w:val="18"/>
        </w:rPr>
        <w:t>New Orchard Road</w:t>
      </w:r>
      <w:r w:rsidR="00831D20">
        <w:rPr>
          <w:szCs w:val="18"/>
        </w:rPr>
        <w:t xml:space="preserve">, </w:t>
      </w:r>
      <w:r w:rsidR="006A4363" w:rsidRPr="008E142C">
        <w:rPr>
          <w:szCs w:val="18"/>
        </w:rPr>
        <w:t>Armonk, New York 10504</w:t>
      </w:r>
      <w:r w:rsidR="006A4363" w:rsidRPr="008E142C">
        <w:rPr>
          <w:rFonts w:cs="Arial"/>
          <w:szCs w:val="18"/>
        </w:rPr>
        <w:t>, USA</w:t>
      </w:r>
      <w:r w:rsidR="006A4363">
        <w:rPr>
          <w:rFonts w:cs="Arial"/>
          <w:szCs w:val="18"/>
        </w:rPr>
        <w:t xml:space="preserve"> (</w:t>
      </w:r>
      <w:r w:rsidR="00F20176" w:rsidRPr="008E142C">
        <w:rPr>
          <w:szCs w:val="18"/>
        </w:rPr>
        <w:t>zastoupená v</w:t>
      </w:r>
      <w:r w:rsidR="00F20176">
        <w:rPr>
          <w:szCs w:val="18"/>
        </w:rPr>
        <w:t> </w:t>
      </w:r>
      <w:r w:rsidR="00F20176" w:rsidRPr="008E142C">
        <w:rPr>
          <w:szCs w:val="18"/>
        </w:rPr>
        <w:t>ČR</w:t>
      </w:r>
      <w:r w:rsidR="00F20176">
        <w:rPr>
          <w:szCs w:val="18"/>
        </w:rPr>
        <w:t xml:space="preserve"> </w:t>
      </w:r>
      <w:r w:rsidR="00B4762F" w:rsidRPr="008E142C">
        <w:rPr>
          <w:szCs w:val="18"/>
        </w:rPr>
        <w:t>IBM Česká republika, spol. s r.o.</w:t>
      </w:r>
      <w:r w:rsidR="00B4762F">
        <w:rPr>
          <w:szCs w:val="18"/>
        </w:rPr>
        <w:t xml:space="preserve">, </w:t>
      </w:r>
      <w:r w:rsidR="009649B4" w:rsidRPr="008E142C">
        <w:rPr>
          <w:szCs w:val="18"/>
        </w:rPr>
        <w:t>V Parku 2294/4</w:t>
      </w:r>
      <w:r w:rsidR="00937891">
        <w:t>,</w:t>
      </w:r>
      <w:r w:rsidR="009D74E3">
        <w:t xml:space="preserve"> </w:t>
      </w:r>
      <w:r w:rsidR="009D74E3" w:rsidRPr="008E142C">
        <w:rPr>
          <w:szCs w:val="18"/>
        </w:rPr>
        <w:t>148 00 Praha 4</w:t>
      </w:r>
      <w:r w:rsidR="00A5162E">
        <w:rPr>
          <w:szCs w:val="18"/>
        </w:rPr>
        <w:t>)</w:t>
      </w:r>
      <w:r w:rsidR="009D74E3">
        <w:rPr>
          <w:szCs w:val="18"/>
        </w:rPr>
        <w:t xml:space="preserve"> (dále jen „</w:t>
      </w:r>
      <w:r w:rsidR="009D74E3">
        <w:rPr>
          <w:b/>
          <w:szCs w:val="18"/>
        </w:rPr>
        <w:t>IBM</w:t>
      </w:r>
      <w:r w:rsidR="009D74E3">
        <w:rPr>
          <w:szCs w:val="18"/>
        </w:rPr>
        <w:t>“)</w:t>
      </w:r>
      <w:r w:rsidR="00434FE8">
        <w:rPr>
          <w:szCs w:val="18"/>
        </w:rPr>
        <w:t xml:space="preserve">, dále od společnosti </w:t>
      </w:r>
      <w:r w:rsidR="00E21396" w:rsidRPr="008E142C">
        <w:rPr>
          <w:szCs w:val="18"/>
        </w:rPr>
        <w:t>Eaton</w:t>
      </w:r>
      <w:r w:rsidR="00E21396">
        <w:rPr>
          <w:szCs w:val="18"/>
        </w:rPr>
        <w:t xml:space="preserve"> </w:t>
      </w:r>
      <w:r w:rsidR="00E21396" w:rsidRPr="008E142C">
        <w:rPr>
          <w:szCs w:val="18"/>
        </w:rPr>
        <w:t>Corporatio</w:t>
      </w:r>
      <w:r w:rsidR="00A5162E">
        <w:rPr>
          <w:szCs w:val="18"/>
        </w:rPr>
        <w:t>n</w:t>
      </w:r>
      <w:r w:rsidR="00E21396">
        <w:rPr>
          <w:szCs w:val="18"/>
        </w:rPr>
        <w:t>, se sídlem</w:t>
      </w:r>
      <w:r w:rsidR="00C9536D">
        <w:rPr>
          <w:szCs w:val="18"/>
        </w:rPr>
        <w:t xml:space="preserve"> </w:t>
      </w:r>
      <w:r w:rsidR="00C9536D" w:rsidRPr="008E142C">
        <w:rPr>
          <w:szCs w:val="18"/>
        </w:rPr>
        <w:t>8609 Six Forks Rd</w:t>
      </w:r>
      <w:r w:rsidR="00C9536D">
        <w:rPr>
          <w:szCs w:val="18"/>
        </w:rPr>
        <w:t>,</w:t>
      </w:r>
      <w:r w:rsidR="008A3EB2">
        <w:rPr>
          <w:szCs w:val="18"/>
        </w:rPr>
        <w:t xml:space="preserve"> </w:t>
      </w:r>
      <w:r w:rsidR="008A3EB2" w:rsidRPr="008E142C">
        <w:rPr>
          <w:szCs w:val="18"/>
        </w:rPr>
        <w:t>Raleigh, North Carolina 27615</w:t>
      </w:r>
      <w:r w:rsidR="008A3EB2">
        <w:rPr>
          <w:szCs w:val="18"/>
        </w:rPr>
        <w:t>, USA (dále jen „</w:t>
      </w:r>
      <w:r w:rsidR="008A3EB2">
        <w:rPr>
          <w:b/>
          <w:szCs w:val="18"/>
        </w:rPr>
        <w:t>Eaton</w:t>
      </w:r>
      <w:r w:rsidR="008A3EB2">
        <w:rPr>
          <w:szCs w:val="18"/>
        </w:rPr>
        <w:t>“)</w:t>
      </w:r>
      <w:r w:rsidR="00937891">
        <w:t xml:space="preserve"> a</w:t>
      </w:r>
      <w:r w:rsidR="008A3EB2">
        <w:t xml:space="preserve"> dále od společnosti</w:t>
      </w:r>
      <w:r w:rsidR="00937891">
        <w:t xml:space="preserve"> </w:t>
      </w:r>
      <w:r w:rsidR="003E70A6" w:rsidRPr="008E142C">
        <w:rPr>
          <w:szCs w:val="18"/>
        </w:rPr>
        <w:t>Veritas Technologies</w:t>
      </w:r>
      <w:r w:rsidR="009D74E3">
        <w:t>,</w:t>
      </w:r>
      <w:r w:rsidR="003E70A6">
        <w:t xml:space="preserve"> se sídlem</w:t>
      </w:r>
      <w:r w:rsidR="001941F0">
        <w:t xml:space="preserve"> </w:t>
      </w:r>
      <w:r w:rsidR="001941F0" w:rsidRPr="008E142C">
        <w:rPr>
          <w:szCs w:val="18"/>
        </w:rPr>
        <w:t>500 East Middlefield Road</w:t>
      </w:r>
      <w:r w:rsidR="001941F0">
        <w:rPr>
          <w:szCs w:val="18"/>
        </w:rPr>
        <w:t>,</w:t>
      </w:r>
      <w:r w:rsidR="009030BF">
        <w:rPr>
          <w:szCs w:val="18"/>
        </w:rPr>
        <w:t xml:space="preserve"> </w:t>
      </w:r>
      <w:r w:rsidR="009030BF" w:rsidRPr="008E142C">
        <w:rPr>
          <w:szCs w:val="18"/>
        </w:rPr>
        <w:t>Mountain View, CA 94043, USA</w:t>
      </w:r>
      <w:r w:rsidR="009030BF">
        <w:rPr>
          <w:szCs w:val="18"/>
        </w:rPr>
        <w:t xml:space="preserve"> (dále jen „</w:t>
      </w:r>
      <w:r w:rsidR="009030BF">
        <w:rPr>
          <w:b/>
          <w:szCs w:val="18"/>
        </w:rPr>
        <w:t>Veritas</w:t>
      </w:r>
      <w:r w:rsidR="009030BF">
        <w:rPr>
          <w:szCs w:val="18"/>
        </w:rPr>
        <w:t>“)</w:t>
      </w:r>
      <w:r w:rsidR="006D55CE" w:rsidRPr="006D55CE">
        <w:t xml:space="preserve"> </w:t>
      </w:r>
      <w:r w:rsidR="00937891">
        <w:t>(</w:t>
      </w:r>
      <w:r w:rsidR="009030BF">
        <w:t xml:space="preserve">to vše </w:t>
      </w:r>
      <w:r w:rsidR="00937891">
        <w:t xml:space="preserve">dále samostatně </w:t>
      </w:r>
      <w:r w:rsidR="001F441C">
        <w:t xml:space="preserve">jen </w:t>
      </w:r>
      <w:r w:rsidR="00937891">
        <w:t>jako „</w:t>
      </w:r>
      <w:r w:rsidR="00937891" w:rsidRPr="00D91FAE">
        <w:rPr>
          <w:b/>
        </w:rPr>
        <w:t>Výrobce</w:t>
      </w:r>
      <w:r w:rsidR="00937891">
        <w:t>“ nebo společně</w:t>
      </w:r>
      <w:r w:rsidR="001F441C">
        <w:t xml:space="preserve"> jen</w:t>
      </w:r>
      <w:r w:rsidR="00937891">
        <w:t xml:space="preserve"> „</w:t>
      </w:r>
      <w:r w:rsidR="00D91FAE" w:rsidRPr="00D91FAE">
        <w:rPr>
          <w:b/>
        </w:rPr>
        <w:t>Výrobci</w:t>
      </w:r>
      <w:r w:rsidR="00D91FAE">
        <w:t>“)</w:t>
      </w:r>
      <w:r w:rsidR="001F441C">
        <w:t>, a to</w:t>
      </w:r>
      <w:r w:rsidR="0090680C">
        <w:t xml:space="preserve"> </w:t>
      </w:r>
      <w:r w:rsidR="005D3674">
        <w:t>dle rozsahu a specifikace uvedené</w:t>
      </w:r>
      <w:r w:rsidR="0090680C">
        <w:t xml:space="preserve"> v Příloze č. 1 Smlouvy</w:t>
      </w:r>
      <w:r w:rsidR="00D91FAE">
        <w:t xml:space="preserve"> </w:t>
      </w:r>
      <w:r w:rsidR="000E3537">
        <w:t xml:space="preserve">(dále </w:t>
      </w:r>
      <w:r w:rsidR="000B1623">
        <w:t>j</w:t>
      </w:r>
      <w:r w:rsidR="004F119C">
        <w:t xml:space="preserve">en samostatně </w:t>
      </w:r>
      <w:r w:rsidR="000B1623">
        <w:t xml:space="preserve">jako </w:t>
      </w:r>
      <w:r w:rsidR="004F119C">
        <w:t>„</w:t>
      </w:r>
      <w:r w:rsidR="004F119C" w:rsidRPr="004F119C">
        <w:rPr>
          <w:b/>
        </w:rPr>
        <w:t>Produkt</w:t>
      </w:r>
      <w:r w:rsidR="004F119C">
        <w:t xml:space="preserve">“ nebo společně </w:t>
      </w:r>
      <w:r w:rsidR="000E3537" w:rsidRPr="004F119C">
        <w:t>jen</w:t>
      </w:r>
      <w:r w:rsidR="000E3537">
        <w:t xml:space="preserve"> „</w:t>
      </w:r>
      <w:r w:rsidR="000E3537">
        <w:rPr>
          <w:b/>
        </w:rPr>
        <w:t>Produkty</w:t>
      </w:r>
      <w:r w:rsidR="000E3537">
        <w:t>“)</w:t>
      </w:r>
      <w:r w:rsidR="004F33A7">
        <w:t xml:space="preserve"> (to vše dále jen „</w:t>
      </w:r>
      <w:r w:rsidR="004F33A7">
        <w:rPr>
          <w:b/>
        </w:rPr>
        <w:t>Plnění“</w:t>
      </w:r>
      <w:r w:rsidR="004F33A7" w:rsidRPr="00D12C49">
        <w:t>)</w:t>
      </w:r>
      <w:r w:rsidR="0002103D">
        <w:t>.</w:t>
      </w:r>
      <w:r w:rsidR="00865E23">
        <w:t xml:space="preserve"> Poskytovatel se zavazuje zajistit Plnění </w:t>
      </w:r>
      <w:r w:rsidR="00B57657">
        <w:t>specifikované</w:t>
      </w:r>
      <w:r w:rsidR="00865E23">
        <w:t xml:space="preserve"> v Příloze č. 1 Smlouvy.</w:t>
      </w:r>
    </w:p>
    <w:p w14:paraId="1DAE3228" w14:textId="330EE232" w:rsidR="006D55CE" w:rsidRPr="006D55CE" w:rsidRDefault="00CB1586" w:rsidP="002A590A">
      <w:pPr>
        <w:pStyle w:val="Nadpis2"/>
      </w:pPr>
      <w:r>
        <w:t xml:space="preserve">V rámci poskytování </w:t>
      </w:r>
      <w:r w:rsidR="00775052">
        <w:t>P</w:t>
      </w:r>
      <w:r>
        <w:t xml:space="preserve">lnění se Poskytovatel </w:t>
      </w:r>
      <w:r w:rsidR="00775052">
        <w:t xml:space="preserve">zavazuje </w:t>
      </w:r>
      <w:r w:rsidR="00BE71CD">
        <w:t xml:space="preserve">zajistit </w:t>
      </w:r>
      <w:r w:rsidR="00775052">
        <w:t>poskytov</w:t>
      </w:r>
      <w:r w:rsidR="00BE71CD">
        <w:t xml:space="preserve">ání </w:t>
      </w:r>
      <w:r w:rsidR="004F119C">
        <w:t>činnost</w:t>
      </w:r>
      <w:r w:rsidR="00BE71CD">
        <w:t>í</w:t>
      </w:r>
      <w:r w:rsidR="004F119C">
        <w:t xml:space="preserve"> v</w:t>
      </w:r>
      <w:r w:rsidR="00AE41F8">
        <w:t xml:space="preserve"> následujícím</w:t>
      </w:r>
      <w:r w:rsidR="004F119C">
        <w:t> minimálním rozsahu:</w:t>
      </w:r>
    </w:p>
    <w:tbl>
      <w:tblPr>
        <w:tblStyle w:val="Mkatabulky"/>
        <w:tblW w:w="0" w:type="auto"/>
        <w:tblInd w:w="709" w:type="dxa"/>
        <w:tblLook w:val="04A0" w:firstRow="1" w:lastRow="0" w:firstColumn="1" w:lastColumn="0" w:noHBand="0" w:noVBand="1"/>
      </w:tblPr>
      <w:tblGrid>
        <w:gridCol w:w="1980"/>
        <w:gridCol w:w="6373"/>
      </w:tblGrid>
      <w:tr w:rsidR="009040E2" w14:paraId="72E996DD" w14:textId="77777777" w:rsidTr="00C66EBB">
        <w:tc>
          <w:tcPr>
            <w:tcW w:w="1980" w:type="dxa"/>
            <w:shd w:val="clear" w:color="auto" w:fill="BFBFBF" w:themeFill="background1" w:themeFillShade="BF"/>
          </w:tcPr>
          <w:p w14:paraId="273A9555" w14:textId="77777777" w:rsidR="009040E2" w:rsidRPr="009040E2" w:rsidRDefault="009040E2" w:rsidP="00C66EBB">
            <w:pPr>
              <w:pStyle w:val="Nadpis2"/>
              <w:numPr>
                <w:ilvl w:val="0"/>
                <w:numId w:val="0"/>
              </w:numPr>
              <w:outlineLvl w:val="1"/>
              <w:rPr>
                <w:szCs w:val="18"/>
              </w:rPr>
            </w:pPr>
            <w:bookmarkStart w:id="0" w:name="_Ref315348630"/>
            <w:r w:rsidRPr="009040E2">
              <w:rPr>
                <w:szCs w:val="18"/>
              </w:rPr>
              <w:t>Výrobce</w:t>
            </w:r>
          </w:p>
        </w:tc>
        <w:tc>
          <w:tcPr>
            <w:tcW w:w="6373" w:type="dxa"/>
            <w:shd w:val="clear" w:color="auto" w:fill="BFBFBF" w:themeFill="background1" w:themeFillShade="BF"/>
          </w:tcPr>
          <w:p w14:paraId="0D7F97A7" w14:textId="049E9546" w:rsidR="009040E2" w:rsidRPr="009040E2" w:rsidRDefault="009040E2" w:rsidP="00C66EBB">
            <w:pPr>
              <w:pStyle w:val="Nadpis2"/>
              <w:numPr>
                <w:ilvl w:val="0"/>
                <w:numId w:val="0"/>
              </w:numPr>
              <w:outlineLvl w:val="1"/>
              <w:rPr>
                <w:szCs w:val="18"/>
              </w:rPr>
            </w:pPr>
            <w:r w:rsidRPr="009040E2">
              <w:rPr>
                <w:szCs w:val="18"/>
              </w:rPr>
              <w:t xml:space="preserve">Rozsah </w:t>
            </w:r>
            <w:r w:rsidR="008675C5">
              <w:rPr>
                <w:szCs w:val="18"/>
              </w:rPr>
              <w:t>Plnění</w:t>
            </w:r>
          </w:p>
        </w:tc>
      </w:tr>
      <w:tr w:rsidR="009040E2" w:rsidRPr="00FE2425" w14:paraId="11C48750" w14:textId="77777777" w:rsidTr="00C66EBB">
        <w:tc>
          <w:tcPr>
            <w:tcW w:w="1980" w:type="dxa"/>
          </w:tcPr>
          <w:p w14:paraId="064D9B25" w14:textId="168B6499" w:rsidR="009040E2" w:rsidRPr="009040E2" w:rsidRDefault="009040E2" w:rsidP="00C66EBB">
            <w:pPr>
              <w:pStyle w:val="Nadpis2"/>
              <w:numPr>
                <w:ilvl w:val="0"/>
                <w:numId w:val="0"/>
              </w:numPr>
              <w:outlineLvl w:val="1"/>
              <w:rPr>
                <w:szCs w:val="18"/>
              </w:rPr>
            </w:pPr>
            <w:r w:rsidRPr="009040E2">
              <w:rPr>
                <w:szCs w:val="18"/>
              </w:rPr>
              <w:t xml:space="preserve">IBM </w:t>
            </w:r>
            <w:r w:rsidR="008675C5">
              <w:rPr>
                <w:szCs w:val="18"/>
              </w:rPr>
              <w:t>(pro</w:t>
            </w:r>
            <w:r w:rsidR="00CD3D32">
              <w:rPr>
                <w:szCs w:val="18"/>
              </w:rPr>
              <w:t xml:space="preserve"> </w:t>
            </w:r>
            <w:r w:rsidRPr="009040E2">
              <w:rPr>
                <w:szCs w:val="18"/>
              </w:rPr>
              <w:t>HW</w:t>
            </w:r>
            <w:r w:rsidR="00CD3D32">
              <w:rPr>
                <w:szCs w:val="18"/>
              </w:rPr>
              <w:t xml:space="preserve"> Produkty)</w:t>
            </w:r>
          </w:p>
        </w:tc>
        <w:tc>
          <w:tcPr>
            <w:tcW w:w="6373" w:type="dxa"/>
          </w:tcPr>
          <w:p w14:paraId="6350B5D8" w14:textId="77777777" w:rsidR="00A21A9B" w:rsidRPr="00F83187" w:rsidRDefault="00A21A9B" w:rsidP="00A21A9B">
            <w:pPr>
              <w:pStyle w:val="cpNormal1"/>
              <w:spacing w:before="60" w:after="60" w:line="240" w:lineRule="auto"/>
              <w:rPr>
                <w:rFonts w:ascii="Verdana" w:hAnsi="Verdana"/>
                <w:sz w:val="18"/>
                <w:szCs w:val="18"/>
              </w:rPr>
            </w:pPr>
            <w:r w:rsidRPr="00F83187">
              <w:rPr>
                <w:rFonts w:ascii="Verdana" w:hAnsi="Verdana"/>
                <w:sz w:val="18"/>
                <w:szCs w:val="18"/>
              </w:rPr>
              <w:t xml:space="preserve">IBM HW </w:t>
            </w:r>
          </w:p>
          <w:p w14:paraId="2A5D1C9A" w14:textId="77777777" w:rsidR="00A21A9B" w:rsidRPr="00F83187" w:rsidRDefault="00A21A9B" w:rsidP="00A21A9B">
            <w:pPr>
              <w:pStyle w:val="cpNormal1"/>
              <w:spacing w:before="60" w:after="60" w:line="240" w:lineRule="auto"/>
              <w:rPr>
                <w:rFonts w:ascii="Verdana" w:hAnsi="Verdana"/>
                <w:sz w:val="18"/>
                <w:szCs w:val="18"/>
              </w:rPr>
            </w:pPr>
            <w:r w:rsidRPr="00F83187">
              <w:rPr>
                <w:rFonts w:ascii="Verdana" w:hAnsi="Verdana"/>
                <w:sz w:val="18"/>
                <w:szCs w:val="18"/>
              </w:rPr>
              <w:t>servisní pokrytí: 7</w:t>
            </w:r>
            <w:r>
              <w:rPr>
                <w:rFonts w:ascii="Verdana" w:hAnsi="Verdana"/>
                <w:sz w:val="18"/>
                <w:szCs w:val="18"/>
              </w:rPr>
              <w:t xml:space="preserve"> dní v týdnu </w:t>
            </w:r>
            <w:r w:rsidRPr="00F83187">
              <w:rPr>
                <w:rFonts w:ascii="Verdana" w:hAnsi="Verdana"/>
                <w:sz w:val="18"/>
                <w:szCs w:val="18"/>
              </w:rPr>
              <w:t>x</w:t>
            </w:r>
            <w:r>
              <w:rPr>
                <w:rFonts w:ascii="Verdana" w:hAnsi="Verdana"/>
                <w:sz w:val="18"/>
                <w:szCs w:val="18"/>
              </w:rPr>
              <w:t xml:space="preserve"> </w:t>
            </w:r>
            <w:r w:rsidRPr="00F83187">
              <w:rPr>
                <w:rFonts w:ascii="Verdana" w:hAnsi="Verdana"/>
                <w:sz w:val="18"/>
                <w:szCs w:val="18"/>
              </w:rPr>
              <w:t>24 hod</w:t>
            </w:r>
            <w:r>
              <w:rPr>
                <w:rFonts w:ascii="Verdana" w:hAnsi="Verdana"/>
                <w:sz w:val="18"/>
                <w:szCs w:val="18"/>
              </w:rPr>
              <w:t>in denně</w:t>
            </w:r>
            <w:r w:rsidRPr="00F83187">
              <w:rPr>
                <w:rFonts w:ascii="Verdana" w:hAnsi="Verdana"/>
                <w:sz w:val="18"/>
                <w:szCs w:val="18"/>
              </w:rPr>
              <w:t>;</w:t>
            </w:r>
          </w:p>
          <w:p w14:paraId="21E2B849" w14:textId="511F0075" w:rsidR="009040E2" w:rsidRPr="009040E2" w:rsidRDefault="00A21A9B" w:rsidP="00A21A9B">
            <w:pPr>
              <w:pStyle w:val="cpNormal1"/>
              <w:spacing w:after="0" w:line="240" w:lineRule="auto"/>
              <w:rPr>
                <w:rFonts w:ascii="Verdana" w:hAnsi="Verdana"/>
                <w:sz w:val="18"/>
                <w:szCs w:val="18"/>
              </w:rPr>
            </w:pPr>
            <w:r w:rsidRPr="00F83187">
              <w:rPr>
                <w:rFonts w:ascii="Verdana" w:hAnsi="Verdana"/>
                <w:sz w:val="18"/>
                <w:szCs w:val="18"/>
              </w:rPr>
              <w:t>fix time (garantovaná doba opravy): 24 hod</w:t>
            </w:r>
            <w:r>
              <w:rPr>
                <w:rFonts w:ascii="Verdana" w:hAnsi="Verdana"/>
                <w:sz w:val="18"/>
                <w:szCs w:val="18"/>
              </w:rPr>
              <w:t>in denně</w:t>
            </w:r>
            <w:r w:rsidRPr="00F83187">
              <w:rPr>
                <w:rFonts w:ascii="Verdana" w:hAnsi="Verdana"/>
                <w:sz w:val="18"/>
                <w:szCs w:val="18"/>
              </w:rPr>
              <w:t>;</w:t>
            </w:r>
          </w:p>
        </w:tc>
      </w:tr>
      <w:tr w:rsidR="009040E2" w14:paraId="49132E33" w14:textId="77777777" w:rsidTr="00C66EBB">
        <w:tc>
          <w:tcPr>
            <w:tcW w:w="1980" w:type="dxa"/>
          </w:tcPr>
          <w:p w14:paraId="3B87C3C8" w14:textId="39CE9452" w:rsidR="009040E2" w:rsidRPr="009040E2" w:rsidRDefault="009040E2" w:rsidP="00C66EBB">
            <w:pPr>
              <w:pStyle w:val="Nadpis2"/>
              <w:numPr>
                <w:ilvl w:val="0"/>
                <w:numId w:val="0"/>
              </w:numPr>
              <w:outlineLvl w:val="1"/>
              <w:rPr>
                <w:szCs w:val="18"/>
              </w:rPr>
            </w:pPr>
            <w:r w:rsidRPr="009040E2">
              <w:rPr>
                <w:szCs w:val="18"/>
              </w:rPr>
              <w:t xml:space="preserve">IBM </w:t>
            </w:r>
            <w:r w:rsidR="00CD3D32">
              <w:rPr>
                <w:szCs w:val="18"/>
              </w:rPr>
              <w:t>(pro SW produkty)</w:t>
            </w:r>
          </w:p>
        </w:tc>
        <w:tc>
          <w:tcPr>
            <w:tcW w:w="6373" w:type="dxa"/>
          </w:tcPr>
          <w:p w14:paraId="626EA094" w14:textId="11F89812" w:rsidR="009040E2" w:rsidRPr="009040E2" w:rsidRDefault="009040E2" w:rsidP="00C66EBB">
            <w:pPr>
              <w:pStyle w:val="cpNormal1"/>
              <w:spacing w:after="0" w:line="240" w:lineRule="auto"/>
              <w:rPr>
                <w:rFonts w:ascii="Verdana" w:hAnsi="Verdana"/>
                <w:sz w:val="18"/>
                <w:szCs w:val="18"/>
              </w:rPr>
            </w:pPr>
            <w:r w:rsidRPr="009040E2">
              <w:rPr>
                <w:rFonts w:ascii="Verdana" w:hAnsi="Verdana"/>
                <w:sz w:val="18"/>
                <w:szCs w:val="18"/>
              </w:rPr>
              <w:t>Software maintenance pro operační systém AIX Enterprise edition a SW PowerVM Standard edition instalovaný na power serverech</w:t>
            </w:r>
            <w:r w:rsidR="00DB76E9">
              <w:rPr>
                <w:rFonts w:ascii="Verdana" w:hAnsi="Verdana"/>
                <w:sz w:val="18"/>
                <w:szCs w:val="18"/>
              </w:rPr>
              <w:t xml:space="preserve"> specifikovaných v Příloze č. 1 Smlouvy a</w:t>
            </w:r>
            <w:r w:rsidR="006A6A50">
              <w:rPr>
                <w:rFonts w:ascii="Verdana" w:hAnsi="Verdana"/>
                <w:sz w:val="18"/>
                <w:szCs w:val="18"/>
              </w:rPr>
              <w:t xml:space="preserve"> umístěných v</w:t>
            </w:r>
            <w:r w:rsidR="00E63903">
              <w:rPr>
                <w:rFonts w:ascii="Verdana" w:hAnsi="Verdana"/>
                <w:sz w:val="18"/>
                <w:szCs w:val="18"/>
              </w:rPr>
              <w:t> Místě plnění</w:t>
            </w:r>
            <w:r w:rsidR="00796383">
              <w:rPr>
                <w:rFonts w:ascii="Verdana" w:hAnsi="Verdana"/>
                <w:sz w:val="18"/>
                <w:szCs w:val="18"/>
              </w:rPr>
              <w:t>;</w:t>
            </w:r>
          </w:p>
        </w:tc>
      </w:tr>
      <w:tr w:rsidR="009040E2" w14:paraId="3EB9B605" w14:textId="77777777" w:rsidTr="00C66EBB">
        <w:tc>
          <w:tcPr>
            <w:tcW w:w="1980" w:type="dxa"/>
          </w:tcPr>
          <w:p w14:paraId="7FE02B99" w14:textId="3AD266DC" w:rsidR="009040E2" w:rsidRPr="009040E2" w:rsidRDefault="009040E2" w:rsidP="00C66EBB">
            <w:pPr>
              <w:pStyle w:val="Nadpis2"/>
              <w:numPr>
                <w:ilvl w:val="0"/>
                <w:numId w:val="0"/>
              </w:numPr>
              <w:outlineLvl w:val="1"/>
              <w:rPr>
                <w:szCs w:val="18"/>
              </w:rPr>
            </w:pPr>
            <w:r w:rsidRPr="009040E2">
              <w:rPr>
                <w:szCs w:val="18"/>
              </w:rPr>
              <w:t>Eaton</w:t>
            </w:r>
            <w:r w:rsidR="00AF3B91">
              <w:rPr>
                <w:szCs w:val="18"/>
              </w:rPr>
              <w:t xml:space="preserve"> HW</w:t>
            </w:r>
          </w:p>
        </w:tc>
        <w:tc>
          <w:tcPr>
            <w:tcW w:w="6373" w:type="dxa"/>
          </w:tcPr>
          <w:p w14:paraId="1CD20AE0" w14:textId="77777777" w:rsidR="00A21A9B" w:rsidRPr="00F83187" w:rsidRDefault="00A21A9B" w:rsidP="00A21A9B">
            <w:pPr>
              <w:pStyle w:val="cpNormal1"/>
              <w:spacing w:before="60" w:after="60" w:line="240" w:lineRule="auto"/>
              <w:rPr>
                <w:rFonts w:ascii="Verdana" w:hAnsi="Verdana"/>
                <w:sz w:val="18"/>
                <w:szCs w:val="18"/>
              </w:rPr>
            </w:pPr>
            <w:r w:rsidRPr="00F83187">
              <w:rPr>
                <w:rFonts w:ascii="Verdana" w:hAnsi="Verdana"/>
                <w:sz w:val="18"/>
                <w:szCs w:val="18"/>
              </w:rPr>
              <w:t>Služby Power:</w:t>
            </w:r>
          </w:p>
          <w:p w14:paraId="40F7F8FC" w14:textId="77777777" w:rsidR="00A21A9B" w:rsidRPr="00F83187" w:rsidRDefault="00A21A9B" w:rsidP="00A21A9B">
            <w:pPr>
              <w:pStyle w:val="cpNormal1"/>
              <w:numPr>
                <w:ilvl w:val="0"/>
                <w:numId w:val="7"/>
              </w:numPr>
              <w:spacing w:before="60" w:after="60" w:line="240" w:lineRule="auto"/>
              <w:rPr>
                <w:rFonts w:ascii="Verdana" w:hAnsi="Verdana"/>
                <w:sz w:val="18"/>
                <w:szCs w:val="18"/>
              </w:rPr>
            </w:pPr>
            <w:r w:rsidRPr="00F83187">
              <w:rPr>
                <w:rFonts w:ascii="Verdana" w:hAnsi="Verdana"/>
                <w:sz w:val="18"/>
                <w:szCs w:val="18"/>
              </w:rPr>
              <w:t>telefonický hotline nonstop 24 hod</w:t>
            </w:r>
            <w:r>
              <w:rPr>
                <w:rFonts w:ascii="Verdana" w:hAnsi="Verdana"/>
                <w:sz w:val="18"/>
                <w:szCs w:val="18"/>
              </w:rPr>
              <w:t>in denně/každý den v kalendářním roce</w:t>
            </w:r>
            <w:r w:rsidRPr="00F83187">
              <w:rPr>
                <w:rFonts w:ascii="Verdana" w:hAnsi="Verdana"/>
                <w:sz w:val="18"/>
                <w:szCs w:val="18"/>
              </w:rPr>
              <w:t>;</w:t>
            </w:r>
          </w:p>
          <w:p w14:paraId="0417AB93" w14:textId="77777777" w:rsidR="00A21A9B" w:rsidRPr="00F83187" w:rsidRDefault="00A21A9B" w:rsidP="00A21A9B">
            <w:pPr>
              <w:pStyle w:val="cpNormal1"/>
              <w:numPr>
                <w:ilvl w:val="0"/>
                <w:numId w:val="7"/>
              </w:numPr>
              <w:spacing w:before="60" w:after="60" w:line="240" w:lineRule="auto"/>
              <w:rPr>
                <w:rFonts w:ascii="Verdana" w:hAnsi="Verdana"/>
                <w:sz w:val="18"/>
                <w:szCs w:val="18"/>
              </w:rPr>
            </w:pPr>
            <w:r w:rsidRPr="00F83187">
              <w:rPr>
                <w:rFonts w:ascii="Verdana" w:hAnsi="Verdana"/>
                <w:sz w:val="18"/>
                <w:szCs w:val="18"/>
              </w:rPr>
              <w:t>garantovaná servisní dostupnost do 4 hodin po nahlášení závady 24 hodin denně/</w:t>
            </w:r>
            <w:r>
              <w:rPr>
                <w:rFonts w:ascii="Verdana" w:hAnsi="Verdana"/>
                <w:sz w:val="18"/>
                <w:szCs w:val="18"/>
              </w:rPr>
              <w:t xml:space="preserve"> každý den v kalendářním roce</w:t>
            </w:r>
            <w:r w:rsidRPr="00F83187">
              <w:rPr>
                <w:rFonts w:ascii="Verdana" w:hAnsi="Verdana"/>
                <w:sz w:val="18"/>
                <w:szCs w:val="18"/>
              </w:rPr>
              <w:t>;</w:t>
            </w:r>
          </w:p>
          <w:p w14:paraId="1B1DD995" w14:textId="77777777" w:rsidR="00A21A9B" w:rsidRPr="00F83187" w:rsidRDefault="00A21A9B" w:rsidP="00A21A9B">
            <w:pPr>
              <w:pStyle w:val="cpNormal1"/>
              <w:numPr>
                <w:ilvl w:val="0"/>
                <w:numId w:val="7"/>
              </w:numPr>
              <w:spacing w:before="60" w:after="60" w:line="240" w:lineRule="auto"/>
              <w:rPr>
                <w:rFonts w:ascii="Verdana" w:hAnsi="Verdana"/>
                <w:sz w:val="18"/>
                <w:szCs w:val="18"/>
              </w:rPr>
            </w:pPr>
            <w:r w:rsidRPr="00F83187">
              <w:rPr>
                <w:rFonts w:ascii="Verdana" w:hAnsi="Verdana"/>
                <w:sz w:val="18"/>
                <w:szCs w:val="18"/>
              </w:rPr>
              <w:t>fix time – garance opravy do 24 hodin nebo zapu</w:t>
            </w:r>
            <w:r w:rsidRPr="00ED633E">
              <w:rPr>
                <w:rFonts w:ascii="Arial" w:hAnsi="Arial" w:cs="Arial"/>
                <w:sz w:val="18"/>
                <w:szCs w:val="18"/>
              </w:rPr>
              <w:t>̊</w:t>
            </w:r>
            <w:r w:rsidRPr="00F83187">
              <w:rPr>
                <w:rFonts w:ascii="Verdana" w:hAnsi="Verdana"/>
                <w:sz w:val="18"/>
                <w:szCs w:val="18"/>
              </w:rPr>
              <w:t>jčení plnohodnotného náhr. řešení (UPS);</w:t>
            </w:r>
          </w:p>
          <w:p w14:paraId="6330DEED" w14:textId="77777777" w:rsidR="00A21A9B" w:rsidRPr="00F83187" w:rsidRDefault="00A21A9B" w:rsidP="00A21A9B">
            <w:pPr>
              <w:pStyle w:val="cpNormal1"/>
              <w:numPr>
                <w:ilvl w:val="0"/>
                <w:numId w:val="7"/>
              </w:numPr>
              <w:spacing w:before="60" w:after="60" w:line="240" w:lineRule="auto"/>
              <w:rPr>
                <w:rFonts w:ascii="Verdana" w:hAnsi="Verdana"/>
                <w:sz w:val="18"/>
                <w:szCs w:val="18"/>
              </w:rPr>
            </w:pPr>
            <w:r w:rsidRPr="00F83187">
              <w:rPr>
                <w:rFonts w:ascii="Verdana" w:hAnsi="Verdana"/>
                <w:sz w:val="18"/>
                <w:szCs w:val="18"/>
              </w:rPr>
              <w:t>1</w:t>
            </w:r>
            <w:r>
              <w:rPr>
                <w:rFonts w:ascii="Verdana" w:hAnsi="Verdana"/>
                <w:sz w:val="18"/>
                <w:szCs w:val="18"/>
              </w:rPr>
              <w:t xml:space="preserve"> </w:t>
            </w:r>
            <w:r w:rsidRPr="00F83187">
              <w:rPr>
                <w:rFonts w:ascii="Verdana" w:hAnsi="Verdana"/>
                <w:sz w:val="18"/>
                <w:szCs w:val="18"/>
              </w:rPr>
              <w:t>x ročně preventivní servisní prohlídka UPS dle doporučení výrobce včetně̌ testu baterií;</w:t>
            </w:r>
          </w:p>
          <w:p w14:paraId="363F8AB9" w14:textId="56C711AA" w:rsidR="009040E2" w:rsidRPr="009040E2" w:rsidRDefault="009040E2" w:rsidP="00A21A9B">
            <w:pPr>
              <w:pStyle w:val="cpNormal1"/>
              <w:numPr>
                <w:ilvl w:val="0"/>
                <w:numId w:val="7"/>
              </w:numPr>
              <w:spacing w:before="60" w:after="60" w:line="240" w:lineRule="auto"/>
              <w:rPr>
                <w:rFonts w:ascii="Verdana" w:hAnsi="Verdana"/>
                <w:sz w:val="18"/>
                <w:szCs w:val="18"/>
              </w:rPr>
            </w:pPr>
            <w:r w:rsidRPr="009040E2">
              <w:rPr>
                <w:rFonts w:ascii="Verdana" w:hAnsi="Verdana"/>
                <w:sz w:val="18"/>
                <w:szCs w:val="18"/>
              </w:rPr>
              <w:t xml:space="preserve">náklady na práci technika a cestovní náklady při výjezdech v případě poruchy UPS zahrnuty v </w:t>
            </w:r>
            <w:r w:rsidR="002221BC">
              <w:rPr>
                <w:rFonts w:ascii="Verdana" w:hAnsi="Verdana"/>
                <w:sz w:val="18"/>
                <w:szCs w:val="18"/>
              </w:rPr>
              <w:t>C</w:t>
            </w:r>
            <w:r w:rsidRPr="009040E2">
              <w:rPr>
                <w:rFonts w:ascii="Verdana" w:hAnsi="Verdana"/>
                <w:sz w:val="18"/>
                <w:szCs w:val="18"/>
              </w:rPr>
              <w:t>eně</w:t>
            </w:r>
            <w:r w:rsidR="002221BC">
              <w:rPr>
                <w:rFonts w:ascii="Verdana" w:hAnsi="Verdana"/>
                <w:sz w:val="18"/>
                <w:szCs w:val="18"/>
              </w:rPr>
              <w:t xml:space="preserve"> za Plnění</w:t>
            </w:r>
            <w:r w:rsidRPr="009040E2">
              <w:rPr>
                <w:rFonts w:ascii="Verdana" w:hAnsi="Verdana"/>
                <w:sz w:val="18"/>
                <w:szCs w:val="18"/>
              </w:rPr>
              <w:t xml:space="preserve">, náhradní díly a baterie zahrnuty v </w:t>
            </w:r>
            <w:r w:rsidR="002221BC">
              <w:rPr>
                <w:rFonts w:ascii="Verdana" w:hAnsi="Verdana"/>
                <w:sz w:val="18"/>
                <w:szCs w:val="18"/>
              </w:rPr>
              <w:t>C</w:t>
            </w:r>
            <w:r w:rsidRPr="009040E2">
              <w:rPr>
                <w:rFonts w:ascii="Verdana" w:hAnsi="Verdana"/>
                <w:sz w:val="18"/>
                <w:szCs w:val="18"/>
              </w:rPr>
              <w:t>eně</w:t>
            </w:r>
            <w:r w:rsidR="002221BC">
              <w:rPr>
                <w:rFonts w:ascii="Verdana" w:hAnsi="Verdana"/>
                <w:sz w:val="18"/>
                <w:szCs w:val="18"/>
              </w:rPr>
              <w:t xml:space="preserve"> za Plnění</w:t>
            </w:r>
          </w:p>
        </w:tc>
      </w:tr>
      <w:tr w:rsidR="009040E2" w14:paraId="1903379F" w14:textId="77777777" w:rsidTr="00C66EBB">
        <w:tc>
          <w:tcPr>
            <w:tcW w:w="1980" w:type="dxa"/>
            <w:vAlign w:val="center"/>
          </w:tcPr>
          <w:p w14:paraId="7588BD59" w14:textId="0B2925FD" w:rsidR="009040E2" w:rsidRPr="009040E2" w:rsidRDefault="009040E2" w:rsidP="00C66EBB">
            <w:pPr>
              <w:pStyle w:val="Nadpis2"/>
              <w:numPr>
                <w:ilvl w:val="0"/>
                <w:numId w:val="0"/>
              </w:numPr>
              <w:jc w:val="left"/>
              <w:outlineLvl w:val="1"/>
              <w:rPr>
                <w:szCs w:val="18"/>
              </w:rPr>
            </w:pPr>
            <w:r w:rsidRPr="009040E2">
              <w:rPr>
                <w:szCs w:val="18"/>
              </w:rPr>
              <w:t>Veritas</w:t>
            </w:r>
            <w:r w:rsidR="00AF3B91">
              <w:rPr>
                <w:szCs w:val="18"/>
              </w:rPr>
              <w:t xml:space="preserve"> SW</w:t>
            </w:r>
          </w:p>
        </w:tc>
        <w:tc>
          <w:tcPr>
            <w:tcW w:w="6373" w:type="dxa"/>
            <w:vAlign w:val="center"/>
          </w:tcPr>
          <w:p w14:paraId="19D4EFE1" w14:textId="25C85F68" w:rsidR="009040E2" w:rsidRPr="009040E2" w:rsidRDefault="009040E2" w:rsidP="00C66EBB">
            <w:pPr>
              <w:pStyle w:val="cpNormal1"/>
              <w:spacing w:after="0" w:line="240" w:lineRule="auto"/>
              <w:rPr>
                <w:rFonts w:ascii="Verdana" w:hAnsi="Verdana"/>
                <w:sz w:val="18"/>
                <w:szCs w:val="18"/>
              </w:rPr>
            </w:pPr>
            <w:r w:rsidRPr="009040E2">
              <w:rPr>
                <w:rFonts w:ascii="Verdana" w:hAnsi="Verdana"/>
                <w:sz w:val="18"/>
                <w:szCs w:val="18"/>
              </w:rPr>
              <w:t>Essential support</w:t>
            </w:r>
            <w:r w:rsidR="00725008">
              <w:rPr>
                <w:rFonts w:ascii="Verdana" w:hAnsi="Verdana"/>
                <w:sz w:val="18"/>
                <w:szCs w:val="18"/>
              </w:rPr>
              <w:t xml:space="preserve"> </w:t>
            </w:r>
            <w:r w:rsidR="00274DC5">
              <w:rPr>
                <w:rFonts w:ascii="Verdana" w:hAnsi="Verdana"/>
                <w:sz w:val="18"/>
                <w:szCs w:val="18"/>
              </w:rPr>
              <w:t>(</w:t>
            </w:r>
            <w:r w:rsidR="00725008">
              <w:rPr>
                <w:rFonts w:ascii="Verdana" w:hAnsi="Verdana"/>
                <w:sz w:val="18"/>
                <w:szCs w:val="18"/>
              </w:rPr>
              <w:t>dle specifikace uvedené na webových stránkách</w:t>
            </w:r>
            <w:r w:rsidR="00274DC5">
              <w:rPr>
                <w:rFonts w:ascii="Verdana" w:hAnsi="Verdana"/>
                <w:sz w:val="18"/>
                <w:szCs w:val="18"/>
              </w:rPr>
              <w:t xml:space="preserve"> </w:t>
            </w:r>
            <w:hyperlink r:id="rId8" w:history="1">
              <w:r w:rsidR="00274DC5" w:rsidRPr="00BC27E9">
                <w:rPr>
                  <w:rStyle w:val="Hypertextovodkaz"/>
                  <w:rFonts w:ascii="Verdana" w:hAnsi="Verdana"/>
                  <w:sz w:val="18"/>
                  <w:szCs w:val="18"/>
                </w:rPr>
                <w:t>https://www.veritas.com/</w:t>
              </w:r>
            </w:hyperlink>
            <w:r w:rsidR="00274DC5">
              <w:rPr>
                <w:rFonts w:ascii="Verdana" w:hAnsi="Verdana"/>
                <w:sz w:val="18"/>
                <w:szCs w:val="18"/>
              </w:rPr>
              <w:t xml:space="preserve">) </w:t>
            </w:r>
            <w:r w:rsidR="00725008">
              <w:rPr>
                <w:rFonts w:ascii="Verdana" w:hAnsi="Verdana"/>
                <w:sz w:val="18"/>
                <w:szCs w:val="18"/>
              </w:rPr>
              <w:t xml:space="preserve"> </w:t>
            </w:r>
          </w:p>
        </w:tc>
      </w:tr>
    </w:tbl>
    <w:p w14:paraId="1E92CC8E" w14:textId="1E6E699A" w:rsidR="00B92376" w:rsidRDefault="00F92E3B" w:rsidP="005B069A">
      <w:pPr>
        <w:pStyle w:val="Nadpis2"/>
      </w:pPr>
      <w:r>
        <w:t xml:space="preserve">Poskytovatel se zavazuje poskytovat Plnění v rámci servisního programu </w:t>
      </w:r>
      <w:r w:rsidR="000C0405">
        <w:t>výrobce zařízení, ke kterému je Plnění poskytováno.</w:t>
      </w:r>
    </w:p>
    <w:p w14:paraId="5416C0F8" w14:textId="25508F36" w:rsidR="007963E2" w:rsidRPr="007963E2" w:rsidRDefault="007963E2" w:rsidP="005B069A">
      <w:pPr>
        <w:pStyle w:val="Nadpis2"/>
      </w:pPr>
      <w:r w:rsidRPr="007963E2">
        <w:t xml:space="preserve">Předmětem této Smlouvy je zároveň závazek </w:t>
      </w:r>
      <w:r>
        <w:t>Objednatele</w:t>
      </w:r>
      <w:r w:rsidRPr="007963E2">
        <w:t xml:space="preserve"> za řádně a včas poskytnuté Plnění uhradit </w:t>
      </w:r>
      <w:r w:rsidRPr="007963E2">
        <w:rPr>
          <w:rStyle w:val="TMNormlnModrChar"/>
          <w:rFonts w:ascii="Verdana" w:eastAsiaTheme="minorHAnsi" w:hAnsi="Verdana" w:cs="Arial"/>
          <w:color w:val="auto"/>
        </w:rPr>
        <w:t>Poskytovatel</w:t>
      </w:r>
      <w:r w:rsidRPr="007963E2">
        <w:t xml:space="preserve">i cenu dle čl. </w:t>
      </w:r>
      <w:r w:rsidR="005B2309">
        <w:t>V</w:t>
      </w:r>
      <w:r w:rsidRPr="007963E2">
        <w:t> této Smlouvy.</w:t>
      </w:r>
      <w:bookmarkEnd w:id="0"/>
      <w:r w:rsidRPr="007963E2">
        <w:t xml:space="preserve"> </w:t>
      </w:r>
    </w:p>
    <w:p w14:paraId="07F5DF36" w14:textId="564726DF"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i veškerou součinnost potřebnou pro řádné poskytnutí Plnění dle této Smlouvy.</w:t>
      </w:r>
    </w:p>
    <w:p w14:paraId="7E80CA6B" w14:textId="77777777" w:rsidR="007963E2" w:rsidRPr="007963E2" w:rsidRDefault="007963E2" w:rsidP="005B069A">
      <w:pPr>
        <w:pStyle w:val="Nadpis2"/>
      </w:pPr>
      <w:r w:rsidRPr="007963E2">
        <w:rPr>
          <w:rStyle w:val="TMNormlnModrChar"/>
          <w:rFonts w:ascii="Verdana" w:eastAsiaTheme="minorHAnsi" w:hAnsi="Verdana" w:cs="Arial"/>
          <w:color w:val="auto"/>
        </w:rPr>
        <w:t>Poskytovatel</w:t>
      </w:r>
      <w:r w:rsidRPr="007963E2">
        <w:t xml:space="preserve"> se zavazuje poskytnout Plnění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7AF79DD6" w14:textId="7F3ED210" w:rsidR="00CE4CA8" w:rsidRDefault="00CE4CA8" w:rsidP="00BC2456">
      <w:pPr>
        <w:pStyle w:val="Nadpis2"/>
      </w:pPr>
      <w:r>
        <w:t xml:space="preserve">Poskytovatel </w:t>
      </w:r>
      <w:r w:rsidRPr="0072114A">
        <w:t xml:space="preserve">prohlašuje, že je vlastníkem </w:t>
      </w:r>
      <w:bookmarkStart w:id="1" w:name="_Hlk534711398"/>
      <w:bookmarkStart w:id="2" w:name="_GoBack"/>
      <w:r w:rsidRPr="0072114A">
        <w:t>platného certifikátu</w:t>
      </w:r>
      <w:r>
        <w:t>/</w:t>
      </w:r>
      <w:r w:rsidR="00327945">
        <w:t>osvědčení</w:t>
      </w:r>
      <w:r>
        <w:t xml:space="preserve"> výrobce </w:t>
      </w:r>
      <w:r w:rsidR="00327945">
        <w:t>IBM</w:t>
      </w:r>
      <w:r w:rsidR="00A9024E">
        <w:t xml:space="preserve"> dokládajícím</w:t>
      </w:r>
      <w:r>
        <w:t xml:space="preserve">, že je </w:t>
      </w:r>
      <w:r w:rsidR="00227561">
        <w:t xml:space="preserve">certifikovaným partnerem pro </w:t>
      </w:r>
      <w:r w:rsidR="00893986">
        <w:t xml:space="preserve">poskytování </w:t>
      </w:r>
      <w:r w:rsidR="00BC2456">
        <w:t>Plnění v rámci Produktů</w:t>
      </w:r>
      <w:r w:rsidR="00893986">
        <w:t xml:space="preserve"> </w:t>
      </w:r>
      <w:r w:rsidR="00BC2456">
        <w:lastRenderedPageBreak/>
        <w:t>v</w:t>
      </w:r>
      <w:r w:rsidR="00893986">
        <w:t>ýrobce</w:t>
      </w:r>
      <w:r w:rsidR="00BC2456">
        <w:t xml:space="preserve"> IBM</w:t>
      </w:r>
      <w:r w:rsidR="00893986">
        <w:t xml:space="preserve"> v ČR</w:t>
      </w:r>
      <w:bookmarkEnd w:id="1"/>
      <w:bookmarkEnd w:id="2"/>
      <w:r>
        <w:t xml:space="preserve"> (dále jen „</w:t>
      </w:r>
      <w:r w:rsidRPr="00227561">
        <w:rPr>
          <w:b/>
        </w:rPr>
        <w:t>Certifikát“</w:t>
      </w:r>
      <w:r>
        <w:t>). Poskytovatel</w:t>
      </w:r>
      <w:r w:rsidRPr="0072114A">
        <w:t xml:space="preserve"> je povinen splňovat podmínku vlastnictví platného </w:t>
      </w:r>
      <w:r>
        <w:t>C</w:t>
      </w:r>
      <w:r w:rsidRPr="0072114A">
        <w:t>ertifikátu</w:t>
      </w:r>
      <w:r>
        <w:t xml:space="preserve"> za uvedených podmínek </w:t>
      </w:r>
      <w:r w:rsidRPr="0072114A">
        <w:t xml:space="preserve">po celou dobu účinnosti Smlouvy. </w:t>
      </w:r>
    </w:p>
    <w:p w14:paraId="77106282" w14:textId="79FF77A3" w:rsidR="003D13DA" w:rsidRPr="003D13DA" w:rsidRDefault="003D13DA" w:rsidP="003D13DA">
      <w:pPr>
        <w:pStyle w:val="Nadpis2"/>
      </w:pPr>
      <w:r w:rsidRPr="007963E2">
        <w:t>Poskytovatel prohlašuje, že disponuje veškerými dalšími potřebnými oprávněními pro poskytnutí Plnění.</w:t>
      </w:r>
    </w:p>
    <w:p w14:paraId="4EE6B689" w14:textId="48074CFB" w:rsidR="006C503E" w:rsidRPr="006C503E" w:rsidRDefault="006C503E" w:rsidP="002A590A">
      <w:pPr>
        <w:pStyle w:val="Nadpis1"/>
      </w:pPr>
      <w:r>
        <w:t>Místo</w:t>
      </w:r>
      <w:r w:rsidR="00E74D40">
        <w:t xml:space="preserve">, </w:t>
      </w:r>
      <w:r w:rsidR="00203EB0">
        <w:t>DOBA</w:t>
      </w:r>
      <w:r>
        <w:t xml:space="preserve"> </w:t>
      </w:r>
      <w:r w:rsidR="00E74D40">
        <w:t xml:space="preserve">a způsob </w:t>
      </w:r>
      <w:r>
        <w:t>plnění</w:t>
      </w:r>
    </w:p>
    <w:p w14:paraId="21BC27AA" w14:textId="24E9C48F" w:rsidR="00F6269F" w:rsidRDefault="00F32DE2" w:rsidP="002A590A">
      <w:pPr>
        <w:pStyle w:val="Nadpis2"/>
      </w:pPr>
      <w:r>
        <w:t>Místem plnění je sídlo Objednatele uvedené v záhlaví Smlouvy a dále</w:t>
      </w:r>
      <w:r w:rsidR="001D2DFD">
        <w:t>, určí-li tak Objednatel, rovněž</w:t>
      </w:r>
      <w:r>
        <w:t xml:space="preserve"> objekt Objednatele n</w:t>
      </w:r>
      <w:r w:rsidR="00AF3B91">
        <w:t>a</w:t>
      </w:r>
      <w:r>
        <w:t xml:space="preserve"> adrese Zeleneč, okres Praha-východ, Čsl. armády 435</w:t>
      </w:r>
      <w:r w:rsidR="00E178B3">
        <w:t xml:space="preserve"> </w:t>
      </w:r>
      <w:r w:rsidR="00203EB0">
        <w:t>(dále jen „</w:t>
      </w:r>
      <w:r w:rsidR="00203EB0">
        <w:rPr>
          <w:b/>
        </w:rPr>
        <w:t>Místo plnění</w:t>
      </w:r>
      <w:r w:rsidR="00203EB0">
        <w:t>“)</w:t>
      </w:r>
      <w:r w:rsidR="00B95567" w:rsidRPr="00B96730">
        <w:t>.</w:t>
      </w:r>
    </w:p>
    <w:p w14:paraId="03F57A4B" w14:textId="5BA49F9B" w:rsidR="00B95567" w:rsidRPr="00B96730" w:rsidRDefault="00F6269F" w:rsidP="00D04601">
      <w:pPr>
        <w:pStyle w:val="Nadpis2"/>
      </w:pPr>
      <w:r w:rsidRPr="00F6269F">
        <w:t>Plnění může být poskytnuto i vzdáleným přístupem, pokud to povaha plnění dle Smlouvy umožňuje, není-li nezbytné nebo vhodné výkon takového plnění zajistit on-site.</w:t>
      </w:r>
    </w:p>
    <w:p w14:paraId="7B613E86" w14:textId="1EB8A4F5" w:rsidR="006C503E" w:rsidRDefault="000F24F8" w:rsidP="002A590A">
      <w:pPr>
        <w:pStyle w:val="Nadpis2"/>
      </w:pPr>
      <w:r w:rsidRPr="0071575D">
        <w:t xml:space="preserve">Poskytovatel </w:t>
      </w:r>
      <w:r w:rsidR="004714AE">
        <w:t xml:space="preserve">se zavazuje </w:t>
      </w:r>
      <w:r w:rsidR="000B3566">
        <w:t xml:space="preserve">zajistit </w:t>
      </w:r>
      <w:r w:rsidR="00E74D40">
        <w:t>poskyt</w:t>
      </w:r>
      <w:r w:rsidR="000B3566">
        <w:t>ování</w:t>
      </w:r>
      <w:r w:rsidR="004714AE">
        <w:t xml:space="preserve"> Plnění</w:t>
      </w:r>
      <w:r w:rsidR="00791C35">
        <w:t xml:space="preserve"> </w:t>
      </w:r>
      <w:r w:rsidR="004714AE">
        <w:t>od okamžiku účinnosti Smlouvy</w:t>
      </w:r>
      <w:r w:rsidR="00791C35">
        <w:t xml:space="preserve"> </w:t>
      </w:r>
      <w:r w:rsidR="00345E93">
        <w:t xml:space="preserve">po celou dobu </w:t>
      </w:r>
      <w:r w:rsidR="00486A9C">
        <w:t xml:space="preserve">trvání </w:t>
      </w:r>
      <w:r w:rsidR="00345E93">
        <w:t>účinnosti Smlouvy</w:t>
      </w:r>
      <w:r w:rsidRPr="0071575D">
        <w:t>.</w:t>
      </w:r>
    </w:p>
    <w:p w14:paraId="2C19403A" w14:textId="3466F8F2" w:rsidR="006A4449" w:rsidRPr="006A4449" w:rsidRDefault="00E74D40" w:rsidP="0099758E">
      <w:pPr>
        <w:pStyle w:val="Nadpis2"/>
      </w:pPr>
      <w:r>
        <w:t xml:space="preserve">O </w:t>
      </w:r>
      <w:r w:rsidR="00CE75B9">
        <w:t>zajištění</w:t>
      </w:r>
      <w:r w:rsidR="0037076C">
        <w:t xml:space="preserve"> započetí s</w:t>
      </w:r>
      <w:r w:rsidR="00CE75B9">
        <w:t xml:space="preserve"> </w:t>
      </w:r>
      <w:r>
        <w:t>posky</w:t>
      </w:r>
      <w:r w:rsidR="00CE75B9">
        <w:t>tování</w:t>
      </w:r>
      <w:r w:rsidR="0037076C">
        <w:t>m</w:t>
      </w:r>
      <w:r w:rsidR="00CE75B9">
        <w:t xml:space="preserve"> </w:t>
      </w:r>
      <w:r>
        <w:t>Plnění bude sepsán akceptační protokol, podepsaný Objednatelem a Poskytovatelem (dále jen „</w:t>
      </w:r>
      <w:r>
        <w:rPr>
          <w:b/>
        </w:rPr>
        <w:t>Akceptační protokol</w:t>
      </w:r>
      <w:r>
        <w:t xml:space="preserve">“). Akceptační protokol bude vyhotoven ve dvou stejnopisech, přičemž jedno vyhotovení obdrží </w:t>
      </w:r>
      <w:r w:rsidR="005F2050">
        <w:t>Objednatel</w:t>
      </w:r>
      <w:r>
        <w:t xml:space="preserve"> a jedno vyhotovení obdrží </w:t>
      </w:r>
      <w:r w:rsidR="005F2050">
        <w:t>Poskytovatel</w:t>
      </w:r>
      <w:r>
        <w:t>.</w:t>
      </w:r>
      <w:r w:rsidR="00CC536C">
        <w:t xml:space="preserve"> </w:t>
      </w:r>
      <w:r w:rsidR="00AB124B">
        <w:t xml:space="preserve">V případě, že bude mít Objednatel k zajištění poskytování Plnění výhrady, zavazuje se je uvést </w:t>
      </w:r>
      <w:r w:rsidR="0099758E">
        <w:t xml:space="preserve">do Akceptačního protokolu. </w:t>
      </w:r>
      <w:r w:rsidR="006A4449">
        <w:t xml:space="preserve">Nesouhlasí-li </w:t>
      </w:r>
      <w:r w:rsidR="0099758E">
        <w:t>Poskytovatel</w:t>
      </w:r>
      <w:r w:rsidR="006A4449">
        <w:t xml:space="preserve"> s uvedenými výhradami je povinen je písemně v</w:t>
      </w:r>
      <w:r w:rsidR="0099758E">
        <w:t> Akceptačním protokolu</w:t>
      </w:r>
      <w:r w:rsidR="006A4449">
        <w:t xml:space="preserve"> rozporovat. Nerozporuje-li </w:t>
      </w:r>
      <w:r w:rsidR="0099758E">
        <w:t>Poskytovatel</w:t>
      </w:r>
      <w:r w:rsidR="006A4449">
        <w:t xml:space="preserve"> výhrady uvedené </w:t>
      </w:r>
      <w:r w:rsidR="0099758E">
        <w:t>Objednatelem</w:t>
      </w:r>
      <w:r w:rsidR="006A4449">
        <w:t xml:space="preserve"> v</w:t>
      </w:r>
      <w:r w:rsidR="0099758E">
        <w:t> Akceptačním protokolu</w:t>
      </w:r>
      <w:r w:rsidR="006A4449">
        <w:t xml:space="preserve">, má se za to, že s výhradami souhlasí. </w:t>
      </w:r>
      <w:r w:rsidR="0099758E">
        <w:t>Objednatel i Poskytovatel</w:t>
      </w:r>
      <w:r w:rsidR="006A4449">
        <w:t xml:space="preserve"> jsou povinni stvrdit obsah </w:t>
      </w:r>
      <w:r w:rsidR="0099758E">
        <w:t>Akceptačního protokolu</w:t>
      </w:r>
      <w:r w:rsidR="006A4449">
        <w:t xml:space="preserve"> svým jménem a podpisem. V případě, že </w:t>
      </w:r>
      <w:r w:rsidR="0099758E">
        <w:t>Akceptační protokol</w:t>
      </w:r>
      <w:r w:rsidR="006A4449">
        <w:t xml:space="preserve"> obsahuje výhrady </w:t>
      </w:r>
      <w:r w:rsidR="0099758E">
        <w:t>Objednatele</w:t>
      </w:r>
      <w:r w:rsidR="006A4449">
        <w:t xml:space="preserve">, zavazuje se </w:t>
      </w:r>
      <w:r w:rsidR="0099758E">
        <w:t>Poskytovatel</w:t>
      </w:r>
      <w:r w:rsidR="006A4449">
        <w:t xml:space="preserve"> odstranit výhrady ve lhůtě a způsobem uvedeným </w:t>
      </w:r>
      <w:r w:rsidR="0099758E">
        <w:t>Objednatelem</w:t>
      </w:r>
      <w:r w:rsidR="006A4449">
        <w:t xml:space="preserve"> v</w:t>
      </w:r>
      <w:r w:rsidR="0099758E">
        <w:t> Akceptačním protokolu</w:t>
      </w:r>
      <w:r w:rsidR="006A4449">
        <w:t xml:space="preserve">. Po odstranění výhrad sepíší </w:t>
      </w:r>
      <w:r w:rsidR="0099758E">
        <w:t>Objednatel a Poskytovatel</w:t>
      </w:r>
      <w:r w:rsidR="006A4449">
        <w:t xml:space="preserve"> nový </w:t>
      </w:r>
      <w:r w:rsidR="0099758E">
        <w:t>Akceptační protokol</w:t>
      </w:r>
      <w:r w:rsidR="006A4449">
        <w:t xml:space="preserve"> bez výhrad.</w:t>
      </w:r>
    </w:p>
    <w:p w14:paraId="5CA88C1F" w14:textId="77777777" w:rsidR="006C503E" w:rsidRPr="006C503E" w:rsidRDefault="006C503E" w:rsidP="002A590A">
      <w:pPr>
        <w:pStyle w:val="Nadpis1"/>
      </w:pPr>
      <w:r w:rsidRPr="002A590A">
        <w:t>cena</w:t>
      </w:r>
      <w:r>
        <w:t xml:space="preserve"> a platební podmínky</w:t>
      </w:r>
    </w:p>
    <w:p w14:paraId="3C1596BD" w14:textId="510F6D25" w:rsidR="00C65F76" w:rsidRDefault="00B95567" w:rsidP="002A590A">
      <w:pPr>
        <w:pStyle w:val="Nadpis2"/>
      </w:pPr>
      <w:r w:rsidRPr="006C503E">
        <w:t xml:space="preserve">Celková cena </w:t>
      </w:r>
      <w:r w:rsidR="009966E1">
        <w:t>za poskytnutí Plnění</w:t>
      </w:r>
      <w:r w:rsidRPr="006C503E">
        <w:t xml:space="preserve"> činí </w:t>
      </w:r>
      <w:r w:rsidR="000F0F39" w:rsidRPr="00720B04">
        <w:t>„</w:t>
      </w:r>
      <w:r w:rsidR="000F0F39" w:rsidRPr="00720B04">
        <w:rPr>
          <w:highlight w:val="yellow"/>
        </w:rPr>
        <w:t xml:space="preserve">[DOPLNÍ </w:t>
      </w:r>
      <w:r w:rsidR="0009486B">
        <w:rPr>
          <w:highlight w:val="yellow"/>
        </w:rPr>
        <w:t>DODAVATEL</w:t>
      </w:r>
      <w:r w:rsidR="000F0F39" w:rsidRPr="00720B04">
        <w:rPr>
          <w:highlight w:val="yellow"/>
        </w:rPr>
        <w:t>]</w:t>
      </w:r>
      <w:r w:rsidR="000F0F39">
        <w:t>“</w:t>
      </w:r>
      <w:r w:rsidR="00BC58A6">
        <w:t>Kč bez DPH</w:t>
      </w:r>
      <w:r w:rsidR="00C65F76">
        <w:t xml:space="preserve"> (dále jen „</w:t>
      </w:r>
      <w:r w:rsidR="00C65F76">
        <w:rPr>
          <w:b/>
        </w:rPr>
        <w:t>Cena za Plnění</w:t>
      </w:r>
      <w:r w:rsidR="00C65F76">
        <w:t>“)</w:t>
      </w:r>
      <w:r w:rsidR="00BC58A6">
        <w:t xml:space="preserve">. </w:t>
      </w:r>
      <w:r w:rsidR="00C65F76">
        <w:t>K Ceně za Plnění bude připočítána DPH dle sazby d</w:t>
      </w:r>
      <w:r w:rsidR="00DB72AE">
        <w:t>a</w:t>
      </w:r>
      <w:r w:rsidR="00C65F76">
        <w:t>ně ke dni uskutečnění zdanitelného plnění.</w:t>
      </w:r>
    </w:p>
    <w:p w14:paraId="792AFE1C" w14:textId="01B82E2B" w:rsidR="000F0F39" w:rsidRPr="000A0244" w:rsidRDefault="00C261AE" w:rsidP="000F0F39">
      <w:pPr>
        <w:pStyle w:val="Nadpis2"/>
      </w:pPr>
      <w:r w:rsidRPr="000A0244">
        <w:t>C</w:t>
      </w:r>
      <w:r w:rsidR="00C65F76" w:rsidRPr="000A0244">
        <w:t>ena za Plnění</w:t>
      </w:r>
      <w:r w:rsidR="00162C12" w:rsidRPr="000A0244">
        <w:t xml:space="preserve"> </w:t>
      </w:r>
      <w:r w:rsidR="00E210D7" w:rsidRPr="000A0244">
        <w:t>je</w:t>
      </w:r>
      <w:r w:rsidR="00162C12" w:rsidRPr="0069686C">
        <w:t xml:space="preserve"> stanovena na základě </w:t>
      </w:r>
      <w:r w:rsidR="0092165D" w:rsidRPr="002221BC">
        <w:t>jednotkových cen uvedených v</w:t>
      </w:r>
      <w:r w:rsidR="002E53F9" w:rsidRPr="00CB7B00">
        <w:t xml:space="preserve"> Příloze č. </w:t>
      </w:r>
      <w:r w:rsidR="001C3781" w:rsidRPr="000A0244">
        <w:t>1</w:t>
      </w:r>
      <w:r w:rsidR="0054513E">
        <w:t xml:space="preserve"> Smlouvy</w:t>
      </w:r>
      <w:r w:rsidR="00C35D3F" w:rsidRPr="000A0244">
        <w:t>.</w:t>
      </w:r>
      <w:r w:rsidR="00D23451" w:rsidRPr="000A0244">
        <w:rPr>
          <w:color w:val="FF0000"/>
        </w:rPr>
        <w:t xml:space="preserve"> </w:t>
      </w:r>
    </w:p>
    <w:p w14:paraId="016379F4" w14:textId="087A0499" w:rsidR="00B95567" w:rsidRPr="000A0244" w:rsidRDefault="002D714E" w:rsidP="002A590A">
      <w:pPr>
        <w:pStyle w:val="Nadpis2"/>
      </w:pPr>
      <w:r w:rsidRPr="000A0244">
        <w:t>Poskytovatel prohlašuje, že je plátcem DPH</w:t>
      </w:r>
      <w:r w:rsidR="00B95567" w:rsidRPr="000A0244">
        <w:t>.</w:t>
      </w:r>
    </w:p>
    <w:p w14:paraId="604A29D4" w14:textId="6D3BEE05" w:rsidR="00BC58A6" w:rsidRPr="000A0244" w:rsidRDefault="00F138FB" w:rsidP="002A590A">
      <w:pPr>
        <w:pStyle w:val="Nadpis2"/>
      </w:pPr>
      <w:r w:rsidRPr="000A0244">
        <w:t>Výše uvedená Cena za Plnění je sjednána dohodou Smluvních stran podle zákona č. 526/1990 Sb., o cenách, ve znění pozdějších předpisů, a je cenou maximální a nepřekročitelnou, která zahrnuje veškeré náklady spojené s realizací Plnění, zejm.</w:t>
      </w:r>
      <w:r w:rsidR="00BC58A6" w:rsidRPr="000A0244">
        <w:t xml:space="preserve"> dokumentace, </w:t>
      </w:r>
      <w:r w:rsidR="00663FDE" w:rsidRPr="000A0244">
        <w:t xml:space="preserve">odměny za poskytnuté licence, </w:t>
      </w:r>
      <w:r w:rsidR="00BC58A6" w:rsidRPr="000A0244">
        <w:t>dopravy, cestovného apod.</w:t>
      </w:r>
    </w:p>
    <w:p w14:paraId="2F272F5A" w14:textId="1C4920AB" w:rsidR="00F96F7D" w:rsidRPr="00D75862" w:rsidRDefault="00F96F7D" w:rsidP="00F96F7D">
      <w:pPr>
        <w:pStyle w:val="Nadpis2"/>
      </w:pPr>
      <w:r w:rsidRPr="000A0244">
        <w:t>Cena za Plnění bude uhrazena na základě faktury vystavené Poskytovatelem,</w:t>
      </w:r>
      <w:r w:rsidRPr="00D75862">
        <w:t xml:space="preserve"> přičemž Poskytovatel je oprávněn vystavit fakturu nejdříve </w:t>
      </w:r>
      <w:r w:rsidR="0000558C" w:rsidRPr="00D75862">
        <w:t>první den následující po dni podpisu Akceptačního protokolu bez výhrad</w:t>
      </w:r>
      <w:r w:rsidR="00992AA5" w:rsidRPr="00D75862">
        <w:t xml:space="preserve"> Objednatelem a Poskytovatelem</w:t>
      </w:r>
      <w:r w:rsidRPr="00D75862">
        <w:t>.</w:t>
      </w:r>
      <w:r w:rsidR="00992AA5" w:rsidRPr="00D75862">
        <w:t xml:space="preserve"> Přílohou faktury bude kopie (scan) Akceptační</w:t>
      </w:r>
      <w:r w:rsidR="00620742" w:rsidRPr="00D75862">
        <w:t>ho protokolu bez výhrad.</w:t>
      </w:r>
      <w:r w:rsidRPr="00D75862">
        <w:t xml:space="preserve"> Cena za Plnění bude uhrazena jednorázově.</w:t>
      </w:r>
    </w:p>
    <w:p w14:paraId="271346C2" w14:textId="0CCB6D14" w:rsidR="000E52B0" w:rsidRPr="000E52B0" w:rsidRDefault="000E52B0" w:rsidP="000E52B0">
      <w:pPr>
        <w:pStyle w:val="Nadpis2"/>
      </w:pPr>
      <w:r w:rsidRPr="000E52B0">
        <w:t xml:space="preserve">Poskytovatel doručí fakturu elektronicky na e-mailovou adresu: </w:t>
      </w:r>
      <w:r w:rsidRPr="008127D7">
        <w:rPr>
          <w:b/>
        </w:rPr>
        <w:t>epodatelna@spcss.cz</w:t>
      </w:r>
      <w:r w:rsidRPr="000E52B0">
        <w:t xml:space="preserve"> nebo prostřednictvím datové schránky </w:t>
      </w:r>
      <w:r>
        <w:t>Objednatele</w:t>
      </w:r>
      <w:r w:rsidRPr="000E52B0">
        <w:t xml:space="preserve">. </w:t>
      </w:r>
    </w:p>
    <w:p w14:paraId="25860022" w14:textId="77777777" w:rsidR="0092718C" w:rsidRDefault="0092718C" w:rsidP="0092718C">
      <w:pPr>
        <w:pStyle w:val="Nadpis2"/>
      </w:pPr>
      <w:r>
        <w:t>Faktura musí obsahovat náležitosti obchodní listiny dle § 435 Občanského zákoníku a v případě, že jde o daňový doklad, také náležitosti dle zákona č. 235/2004 Sb., o dani z přidané hodnoty, ve znění pozdějších předpisů. Faktura musí dále obsahovat:</w:t>
      </w:r>
    </w:p>
    <w:p w14:paraId="20BFEDB2" w14:textId="77777777" w:rsidR="0092718C" w:rsidRDefault="0092718C" w:rsidP="0092718C">
      <w:pPr>
        <w:pStyle w:val="Nadpis3"/>
      </w:pPr>
      <w:r>
        <w:t>přesnou specifikaci Plnění;</w:t>
      </w:r>
    </w:p>
    <w:p w14:paraId="7E0E9B3B" w14:textId="77777777" w:rsidR="0092718C" w:rsidRDefault="0092718C" w:rsidP="0092718C">
      <w:pPr>
        <w:pStyle w:val="Nadpis3"/>
      </w:pPr>
      <w:r>
        <w:lastRenderedPageBreak/>
        <w:t>číslo Smlouvy;</w:t>
      </w:r>
    </w:p>
    <w:p w14:paraId="116610E9" w14:textId="77777777" w:rsidR="0092718C" w:rsidRDefault="0092718C" w:rsidP="0092718C">
      <w:pPr>
        <w:pStyle w:val="Nadpis3"/>
      </w:pPr>
      <w:r>
        <w:t>Cenu za Plnění;</w:t>
      </w:r>
    </w:p>
    <w:p w14:paraId="13A37278" w14:textId="77777777" w:rsidR="0092718C" w:rsidRDefault="0092718C" w:rsidP="0092718C">
      <w:pPr>
        <w:pStyle w:val="Nadpis3"/>
      </w:pPr>
      <w:r>
        <w:t>úplné bankovní spojení Poskytovatele, přičemž číslo účtu musí odpovídat číslu účtu uvedenému v záhlaví této Smlouvy nebo číslu účtu v registru plátců DPH, popř. řádně oznámenému číslu účtu postupem dle této Smlouvy.</w:t>
      </w:r>
    </w:p>
    <w:p w14:paraId="3CDEE3A9" w14:textId="19F4841F" w:rsidR="000E52B0" w:rsidRDefault="002F52A2" w:rsidP="002F52A2">
      <w:pPr>
        <w:pStyle w:val="Nadpis2"/>
      </w:pPr>
      <w:r w:rsidRPr="002F52A2">
        <w:t xml:space="preserve">Splatnost řádně vystavené faktury činí 30 kalendářních dnů ode dne řádného doručení faktury </w:t>
      </w:r>
      <w:r w:rsidR="00C70675">
        <w:t>Objednateli</w:t>
      </w:r>
      <w:r w:rsidRPr="002F52A2">
        <w:t xml:space="preserve">. </w:t>
      </w:r>
    </w:p>
    <w:p w14:paraId="086513B7" w14:textId="33BE3571" w:rsidR="00D37EBC"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43832FC5" w14:textId="77777777" w:rsidR="002B1583" w:rsidRPr="002B1583" w:rsidRDefault="002B1583" w:rsidP="002B1583">
      <w:pPr>
        <w:pStyle w:val="Nadpis2"/>
      </w:pPr>
      <w:r w:rsidRPr="002B1583">
        <w:t>V případě uvedení odlišných bankovních údajů na faktuře mají přednost údaje uvedené v záhlaví této Smlouvy nebo číslo účtu v registru plátců DPH, a to až do doby řádného oznámení změny bankovních údajů postupem dle této Smlouvy.</w:t>
      </w:r>
    </w:p>
    <w:p w14:paraId="635517D0" w14:textId="6E74FCA3" w:rsidR="004F0B17" w:rsidRPr="004F0B17" w:rsidRDefault="004F0B17" w:rsidP="004F0B17">
      <w:pPr>
        <w:pStyle w:val="Nadpis2"/>
      </w:pPr>
      <w:r w:rsidRPr="004F0B17">
        <w:t xml:space="preserve">Poskytovatel bere na vědomí, že </w:t>
      </w:r>
      <w:r>
        <w:t>Objednatel</w:t>
      </w:r>
      <w:r w:rsidRPr="004F0B17">
        <w:t xml:space="preserve"> neposkytuje zálohy na poskytnutí Plnění.</w:t>
      </w:r>
    </w:p>
    <w:p w14:paraId="00757FA7" w14:textId="519EBA40" w:rsidR="00114591" w:rsidRPr="00114591" w:rsidRDefault="00114591" w:rsidP="00114591">
      <w:pPr>
        <w:pStyle w:val="Nadpis2"/>
      </w:pPr>
      <w:r w:rsidRPr="00114591">
        <w:t>Poskytovatel prohlašuje, že správce daně před uzavřením Smlouvy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xml:space="preserve">, a to do 3 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1048356F" w:rsidR="009F2297" w:rsidRDefault="009F2297" w:rsidP="009F2297">
      <w:pPr>
        <w:pStyle w:val="Nadpis2"/>
      </w:pPr>
      <w:r w:rsidRPr="009F2297">
        <w:t xml:space="preserve">Poskytovatel a </w:t>
      </w:r>
      <w:r>
        <w:t>Objednatel</w:t>
      </w:r>
      <w:r w:rsidRPr="009F2297">
        <w:t xml:space="preserve"> jsou povinni si poskytovat součinnost a vzájemně se informovat o všech okolnostech důležitých pro řádné a včasné plnění Smlouvy.</w:t>
      </w:r>
    </w:p>
    <w:p w14:paraId="3D36A9C2" w14:textId="48340239" w:rsidR="00F81DE5" w:rsidRPr="00F81DE5" w:rsidRDefault="00F81DE5" w:rsidP="00F81DE5">
      <w:pPr>
        <w:pStyle w:val="Nadpis2"/>
      </w:pPr>
      <w:r>
        <w:t>Objednatel</w:t>
      </w:r>
      <w:r w:rsidRPr="00F81DE5">
        <w:t xml:space="preserve"> se zavazuje za řádně a včas poskytnuté Plnění zaplatit Cenu za Plnění dle podmínek této Smlouvy.</w:t>
      </w:r>
    </w:p>
    <w:p w14:paraId="3FB7B92B" w14:textId="300C2C81" w:rsidR="00B95567" w:rsidRDefault="000C766F" w:rsidP="000C766F">
      <w:pPr>
        <w:pStyle w:val="Nadpis2"/>
      </w:pPr>
      <w:r w:rsidRPr="000C766F">
        <w:t xml:space="preserve">Poskytovatel se zavazuje poskytnout Plnění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 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 takovém pokynu trvat, bude Poskytovatel oprávněn splnění pokynu odmítnout</w:t>
      </w:r>
      <w:r w:rsidR="00B95567" w:rsidRPr="002A590A">
        <w:t>.</w:t>
      </w:r>
    </w:p>
    <w:p w14:paraId="3DCF7E64" w14:textId="005D6099" w:rsidR="006C0BB3" w:rsidRPr="006C0BB3" w:rsidRDefault="006C0BB3" w:rsidP="006C0BB3">
      <w:pPr>
        <w:pStyle w:val="Nadpis2"/>
      </w:pPr>
      <w:r w:rsidRPr="006C0BB3">
        <w:t xml:space="preserve">Poskytovatel se zavazuje, že bude při plnění této Smlouvy dodržovat obecně závazné právní předpisy a bude se řídit organizačními pokyny </w:t>
      </w:r>
      <w:r>
        <w:t>Objednatele</w:t>
      </w:r>
      <w:r w:rsidRPr="006C0BB3">
        <w:t>.</w:t>
      </w:r>
    </w:p>
    <w:p w14:paraId="5E140E01" w14:textId="1949148F" w:rsidR="006C0BB3" w:rsidRDefault="00395BCE" w:rsidP="00395BCE">
      <w:pPr>
        <w:pStyle w:val="Nadpis2"/>
      </w:pPr>
      <w:r w:rsidRPr="00395BCE">
        <w:t>Poskytovatel je povinen poskytnout Plnění dle této Smlouvy na své náklady a na své nebezpečí.</w:t>
      </w:r>
    </w:p>
    <w:p w14:paraId="23A68413" w14:textId="32ADFE73" w:rsidR="00A860F6" w:rsidRPr="00A860F6" w:rsidRDefault="00A860F6" w:rsidP="00A860F6">
      <w:pPr>
        <w:pStyle w:val="Nadpis2"/>
      </w:pPr>
      <w:r w:rsidRPr="00A860F6">
        <w:t xml:space="preserve">Poskytovatel se zavazuje nezměnit poddodavatele, prostřednictvím kterého prokazoval v zadávacím řízení kvalifikaci, bez předchozího písemného souhlasu </w:t>
      </w:r>
      <w:r>
        <w:t>Objednatele</w:t>
      </w:r>
      <w:r w:rsidRPr="00A860F6">
        <w:t xml:space="preserve">. Spolu se žádostí o vyslovení souhlasu </w:t>
      </w:r>
      <w:r>
        <w:t>Objednatele</w:t>
      </w:r>
      <w:r w:rsidRPr="00A860F6">
        <w:t xml:space="preserve"> se změnou poddodavatele dle předchozí věty je Poskytovatel povinen doložit doklady prokazující ze strany nově navrhovaného poddodavatele kvalifikaci odpovídající kvalifikaci nahrazovaného poddodavatele, nebo alespoň takovou kvalifikaci, aby Poskytovatel i po změně poddodavatele nadále naplňoval minimální úroveň všech technických kvalifikačních </w:t>
      </w:r>
      <w:r w:rsidRPr="00CE1F23">
        <w:t xml:space="preserve">předpokladů dle čl. </w:t>
      </w:r>
      <w:r w:rsidR="00C662F5" w:rsidRPr="00CE1F23">
        <w:t>5</w:t>
      </w:r>
      <w:r w:rsidRPr="00CE1F23">
        <w:t xml:space="preserve"> zadávací</w:t>
      </w:r>
      <w:r w:rsidRPr="00A860F6">
        <w:t xml:space="preserve"> dokumentace. </w:t>
      </w:r>
    </w:p>
    <w:p w14:paraId="06477094" w14:textId="7B3951BF" w:rsidR="00B95567" w:rsidRPr="002A590A" w:rsidRDefault="00B95567" w:rsidP="002A590A">
      <w:pPr>
        <w:pStyle w:val="Nadpis2"/>
      </w:pPr>
      <w:r w:rsidRPr="002A590A">
        <w:lastRenderedPageBreak/>
        <w:t xml:space="preserve">Objednatel je oprávněn kontrolovat plnění této </w:t>
      </w:r>
      <w:r w:rsidR="002F006D">
        <w:t>S</w:t>
      </w:r>
      <w:r w:rsidRPr="002A590A">
        <w:t>mlouvy pověřeným zaměstnancem.</w:t>
      </w:r>
    </w:p>
    <w:p w14:paraId="7DB69BF4" w14:textId="34FFB11F" w:rsidR="00B95567" w:rsidRDefault="00B95567" w:rsidP="002A590A">
      <w:pPr>
        <w:pStyle w:val="Nadpis2"/>
      </w:pPr>
      <w:r w:rsidRPr="002A590A">
        <w:t>Veškeré činnosti</w:t>
      </w:r>
      <w:r w:rsidR="002F006D">
        <w:t xml:space="preserve"> v rámci poskytování Plnění</w:t>
      </w:r>
      <w:r w:rsidRPr="002A590A">
        <w:t xml:space="preserve"> budou plánovány s ohledem na minimalizaci rizik a</w:t>
      </w:r>
      <w:r w:rsidR="00703C83" w:rsidRPr="002A590A">
        <w:t xml:space="preserve"> s vyloučením odstávek provozu O</w:t>
      </w:r>
      <w:r w:rsidRPr="002A590A">
        <w:t>bjednatele.</w:t>
      </w:r>
    </w:p>
    <w:p w14:paraId="503ACD99" w14:textId="305CAA46" w:rsidR="00793716" w:rsidRPr="00793716" w:rsidRDefault="00793716" w:rsidP="00793716">
      <w:pPr>
        <w:pStyle w:val="Nadpis2"/>
      </w:pPr>
      <w:r w:rsidRPr="00793716">
        <w:t xml:space="preserve">Poskytovatel se zavazuje mít po celou dobu účinnosti Smlouvy sjednanou pojistnou smlouvu, jejímž předmětem je pojištění odpovědnosti za škodu způsobenou jeho činností v souvislosti s poskytováním Plnění Objednateli, případně třetím osobám, a to ve výši pojistného plnění minimálně </w:t>
      </w:r>
      <w:r w:rsidR="00BC3882">
        <w:t>1</w:t>
      </w:r>
      <w:r w:rsidR="003F0974">
        <w:t>0</w:t>
      </w:r>
      <w:r w:rsidRPr="00793716">
        <w:t xml:space="preserve"> 000 000,</w:t>
      </w:r>
      <w:r w:rsidR="00B4052B">
        <w:t>00</w:t>
      </w:r>
      <w:r w:rsidRPr="00793716">
        <w:t xml:space="preserve"> Kč (slovy: </w:t>
      </w:r>
      <w:r w:rsidR="00B4052B">
        <w:t>deset</w:t>
      </w:r>
      <w:r w:rsidRPr="00793716">
        <w:t xml:space="preserve"> milionů korun českých). Na požádání je Poskytovatel povinen Objednateli takovou pojistnou smlouvu nebo pojistný certifikát osvědčující uzavření takové pojistné smlouvy bezodkladně předložit.</w:t>
      </w:r>
    </w:p>
    <w:p w14:paraId="147C2E5C" w14:textId="5B93FE19" w:rsidR="00461A15" w:rsidRDefault="003C177F" w:rsidP="003C177F">
      <w:pPr>
        <w:pStyle w:val="Nadpis1"/>
      </w:pPr>
      <w:r>
        <w:t>náhrada škody</w:t>
      </w:r>
    </w:p>
    <w:p w14:paraId="74042F33" w14:textId="77777777" w:rsidR="004A019A" w:rsidRDefault="004A019A" w:rsidP="004A019A">
      <w:pPr>
        <w:pStyle w:val="Nadpis2"/>
      </w:pPr>
      <w:r>
        <w:t>Smluvní strany sjednávají, že náhrada škody se bude řídit právními předpisy, není-li v této Smlouvě sjednáno jinak.</w:t>
      </w:r>
    </w:p>
    <w:p w14:paraId="5F93A3F2" w14:textId="22FC403C" w:rsidR="004A019A" w:rsidRDefault="004A019A" w:rsidP="004A019A">
      <w:pPr>
        <w:pStyle w:val="Nadpis2"/>
      </w:pPr>
      <w:r>
        <w:t>Objednatel odpovídá za každé zaviněné porušení smluvní povinnosti.</w:t>
      </w:r>
    </w:p>
    <w:p w14:paraId="3E0574D3" w14:textId="6BA4AF9B" w:rsidR="004A019A" w:rsidRDefault="004A019A" w:rsidP="004A019A">
      <w:pPr>
        <w:pStyle w:val="Nadpis2"/>
      </w:pPr>
      <w:r>
        <w:t>Poskytovatel odpovídá mimo jiné za veškerou škodu, která vznikne v důsledku vadného poskytování Plnění nebo v důsledku jiné právní povinnosti Poskytovatele.</w:t>
      </w:r>
    </w:p>
    <w:p w14:paraId="27F1C1D3" w14:textId="20FF93E4" w:rsidR="00550FBF" w:rsidRPr="007D46D5" w:rsidRDefault="00550FBF" w:rsidP="00550FBF">
      <w:pPr>
        <w:pStyle w:val="Nadpis2"/>
      </w:pPr>
      <w:r w:rsidRPr="00D709E7">
        <w:t xml:space="preserve">Smluvní strany se dohodly, že omezují právo na náhradu škody, která může při plnění </w:t>
      </w:r>
      <w:r>
        <w:t>S</w:t>
      </w:r>
      <w:r w:rsidRPr="00D709E7">
        <w:t xml:space="preserve">mlouvy jedné </w:t>
      </w:r>
      <w:r>
        <w:t>S</w:t>
      </w:r>
      <w:r w:rsidRPr="00D709E7">
        <w:t xml:space="preserve">mluvní straně vzniknout, a to na celkovou </w:t>
      </w:r>
      <w:r w:rsidRPr="007D46D5">
        <w:t xml:space="preserve">částku </w:t>
      </w:r>
      <w:r w:rsidR="00033F1A" w:rsidRPr="007D46D5">
        <w:t>10 000 000,00 Kč.</w:t>
      </w:r>
      <w:r w:rsidRPr="007D46D5">
        <w:t xml:space="preserve"> </w:t>
      </w:r>
    </w:p>
    <w:p w14:paraId="725F8A6E" w14:textId="5D43EC58" w:rsidR="004A019A" w:rsidRDefault="004A019A" w:rsidP="004A019A">
      <w:pPr>
        <w:pStyle w:val="Nadpis2"/>
      </w:pPr>
      <w:r>
        <w:t xml:space="preserve">Za škodu se přitom s ohledem na odst. </w:t>
      </w:r>
      <w:r w:rsidR="00971B2A">
        <w:t>7</w:t>
      </w:r>
      <w:r>
        <w:t>.3 tohoto článku považuje i škoda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 vzniklou porušením právní povinnosti Objednatele je i taková škoda, která vznikne Objednateli oprávněným odstoupením Objednatele od Smlouvy nebo v jeho důsledku. Takovou škodou jsou mimo jiné náklady vzniklé Objednateli v souvislosti se zajištěním náhradního plnění.</w:t>
      </w:r>
    </w:p>
    <w:p w14:paraId="564E9E9D" w14:textId="77777777" w:rsidR="004A019A" w:rsidRDefault="004A019A" w:rsidP="004A019A">
      <w:pPr>
        <w:pStyle w:val="Nadpis2"/>
      </w:pPr>
      <w:r>
        <w:t>Škodu hradí škůdce v penězích, nežádá-li poškozený uvedení do předešlého stavu.</w:t>
      </w:r>
    </w:p>
    <w:p w14:paraId="5787FEB1" w14:textId="47BABADF" w:rsidR="003C177F" w:rsidRDefault="004A019A" w:rsidP="004A019A">
      <w:pPr>
        <w:pStyle w:val="Nadpis2"/>
      </w:pPr>
      <w:r>
        <w:t xml:space="preserve">Náhrada škody je splatná ve lhůtě </w:t>
      </w:r>
      <w:r w:rsidR="00857296">
        <w:t>30</w:t>
      </w:r>
      <w:r>
        <w:t xml:space="preserve"> dnů ode dne doručení písemné výzvy oprávněné Smluvní strany Smluvní straně povinné z náhrady škody.</w:t>
      </w:r>
    </w:p>
    <w:p w14:paraId="70677F60" w14:textId="4EBA597B" w:rsidR="00627273" w:rsidRPr="00033F1A" w:rsidRDefault="00ED6655" w:rsidP="00033F1A">
      <w:pPr>
        <w:pStyle w:val="Nadpis1"/>
      </w:pPr>
      <w:r w:rsidRPr="00033F1A">
        <w:t>MLČENLIVOST A OCHRANA INFORMACÍ SMLUVNÍCH STRAN</w:t>
      </w:r>
    </w:p>
    <w:p w14:paraId="1F878F2D" w14:textId="77777777" w:rsidR="009B2935" w:rsidRPr="003B62B7" w:rsidRDefault="009B2935" w:rsidP="00E86589">
      <w:pPr>
        <w:pStyle w:val="Nadpis2"/>
      </w:pPr>
      <w:bookmarkStart w:id="3" w:name="_Ref281832334"/>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xml:space="preserve">“). Povinnost poskytovat informace podle zákona č. 106/1999 Sb., o svobodném přístupu k </w:t>
      </w:r>
      <w:r w:rsidRPr="003B62B7">
        <w:t>informacím, ve znění pozdějších předpisů, tím není dotčena. Za Neveřejné informace se považuji veškeré následující informace:</w:t>
      </w:r>
    </w:p>
    <w:p w14:paraId="2E8C71F0" w14:textId="694CBB0E" w:rsidR="009B2935" w:rsidRPr="003B62B7" w:rsidRDefault="009B2935" w:rsidP="00E86589">
      <w:pPr>
        <w:pStyle w:val="Nadpis3"/>
      </w:pPr>
      <w:r w:rsidRPr="003B62B7">
        <w:t>veškeré informace poskytnuté Poskytovateli Objednatelem v souvislosti s plněním této Smlouvy (pokud nejsou výslovně obsaženy ve znění Smlouvy zveřejňovaném dle čl. X</w:t>
      </w:r>
      <w:r w:rsidR="003B62B7" w:rsidRPr="003B62B7">
        <w:t>IV</w:t>
      </w:r>
      <w:r w:rsidRPr="003B62B7">
        <w:t xml:space="preserve"> odst. </w:t>
      </w:r>
      <w:r w:rsidR="00DB10C8" w:rsidRPr="003B62B7">
        <w:t>1</w:t>
      </w:r>
      <w:r w:rsidR="003B62B7" w:rsidRPr="003B62B7">
        <w:t>4</w:t>
      </w:r>
      <w:r w:rsidR="00DB10C8" w:rsidRPr="003B62B7">
        <w:t>.</w:t>
      </w:r>
      <w:r w:rsidR="003B62B7">
        <w:t>6</w:t>
      </w:r>
      <w:r w:rsidRPr="003B62B7">
        <w:t>);</w:t>
      </w:r>
    </w:p>
    <w:p w14:paraId="5CFBCDB1" w14:textId="77777777" w:rsidR="009B2935" w:rsidRPr="003B62B7" w:rsidRDefault="009B2935" w:rsidP="00E86589">
      <w:pPr>
        <w:pStyle w:val="Nadpis3"/>
      </w:pPr>
      <w:r w:rsidRPr="003B62B7">
        <w:t>informace, na které se vztahuje zákonem uložená povinnost mlčenlivosti;</w:t>
      </w:r>
    </w:p>
    <w:p w14:paraId="430EE068" w14:textId="0C633396" w:rsidR="009B2935" w:rsidRPr="00E86589" w:rsidRDefault="009B2935" w:rsidP="00E86589">
      <w:pPr>
        <w:pStyle w:val="Nadpis3"/>
      </w:pPr>
      <w:r w:rsidRPr="003B62B7">
        <w:t xml:space="preserve">veškeré další informace, které budou Objednatelem označeny jako </w:t>
      </w:r>
      <w:r w:rsidR="00E33633">
        <w:t>důvěrné</w:t>
      </w:r>
      <w:r w:rsidRPr="003B62B7">
        <w:t xml:space="preserve"> ve smyslu ust. § 218</w:t>
      </w:r>
      <w:r w:rsidRPr="00E86589">
        <w:t xml:space="preserve"> ZZVZ.</w:t>
      </w:r>
    </w:p>
    <w:p w14:paraId="2CC3DF35" w14:textId="32DB23A6" w:rsidR="009B2935" w:rsidRPr="00E86589" w:rsidRDefault="009B2935" w:rsidP="00E86589">
      <w:pPr>
        <w:pStyle w:val="Nadpis2"/>
      </w:pPr>
      <w:r w:rsidRPr="00E86589">
        <w:t xml:space="preserve">Povinnost zachovávat mlčenlivost uvedená v odst. </w:t>
      </w:r>
      <w:r w:rsidR="00E33633">
        <w:t>8</w:t>
      </w:r>
      <w:r w:rsidRPr="00E86589">
        <w:t>.1 tohoto článku se nevztahuje na informace:</w:t>
      </w:r>
    </w:p>
    <w:p w14:paraId="7156BD88" w14:textId="6FA387BE" w:rsidR="009B2935" w:rsidRPr="00E86589" w:rsidRDefault="009B2935" w:rsidP="00E86589">
      <w:pPr>
        <w:pStyle w:val="Nadpis3"/>
      </w:pPr>
      <w:r w:rsidRPr="00E86589">
        <w:lastRenderedPageBreak/>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86589">
      <w:pPr>
        <w:pStyle w:val="Nadpis3"/>
      </w:pPr>
      <w:r w:rsidRPr="00E86589">
        <w:t>jejichž sdělení vyžaduje jiný právní předpis;</w:t>
      </w:r>
    </w:p>
    <w:p w14:paraId="7242ABF4" w14:textId="77777777" w:rsidR="009B2935" w:rsidRPr="00E86589" w:rsidRDefault="009B2935" w:rsidP="00E86589">
      <w:pPr>
        <w:pStyle w:val="Nadpis3"/>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E86589">
      <w:pPr>
        <w:pStyle w:val="Nadpis3"/>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77777777" w:rsidR="009B2935" w:rsidRPr="00E86589" w:rsidRDefault="009B2935" w:rsidP="00E86589">
      <w:pPr>
        <w:pStyle w:val="Nadpis3"/>
      </w:pPr>
      <w:r w:rsidRPr="00E86589">
        <w:t>které budou Poskytovateli po uzavření této Smlouvy sděleny bez závazku mlčenlivosti třetí stranou, jež rovněž není ve vztahu k těmto informacím nijak vázána.</w:t>
      </w:r>
    </w:p>
    <w:p w14:paraId="3966EF1B" w14:textId="61E3E661" w:rsidR="009B2935" w:rsidRPr="00E86589" w:rsidRDefault="009B2935" w:rsidP="00E86589">
      <w:pPr>
        <w:pStyle w:val="Nadpis2"/>
      </w:pPr>
      <w:r w:rsidRPr="00E86589">
        <w:t xml:space="preserve">Jako s Neveřejnými informacemi musí být nakládáno také s informacemi, které splňují podmínky uvedené v odst. </w:t>
      </w:r>
      <w:r w:rsidR="005E1707">
        <w:t>8</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Smlouvy.</w:t>
      </w:r>
    </w:p>
    <w:p w14:paraId="3CEFB4D4" w14:textId="5772D758" w:rsidR="009B2935" w:rsidRPr="00E86589" w:rsidRDefault="009B2935" w:rsidP="00E86589">
      <w:pPr>
        <w:pStyle w:val="Nadpis2"/>
      </w:pPr>
      <w:r w:rsidRPr="00E86589">
        <w:t xml:space="preserve">Poskytovatel se zavazuje, že Neveřejné informace užije pouze za účelem plnění této Smlouvy. K jinému užití je zapotřebí písemného souhlasu </w:t>
      </w:r>
      <w:r w:rsidR="00667228" w:rsidRPr="00E86589">
        <w:t>Objednatele</w:t>
      </w:r>
      <w:r w:rsidRPr="00E86589">
        <w:t>.</w:t>
      </w:r>
    </w:p>
    <w:p w14:paraId="52F8F092" w14:textId="7B012BB6"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Smlouvou.</w:t>
      </w:r>
    </w:p>
    <w:p w14:paraId="3331FCC9" w14:textId="3060922B" w:rsidR="009B2935" w:rsidRPr="00E86589" w:rsidRDefault="009B2935" w:rsidP="0061054A">
      <w:pPr>
        <w:pStyle w:val="Nadpis2"/>
      </w:pPr>
      <w:r w:rsidRPr="00E86589">
        <w:t>Povinnost mlčenlivosti dle této Smlouvy není časově omezena a trvá i po naplnění této Smlouvy bez ohledu na zánik ostatních závazků ze Smlouvy</w:t>
      </w:r>
      <w:r w:rsidR="0061054A" w:rsidRPr="0061054A">
        <w:t>.</w:t>
      </w:r>
    </w:p>
    <w:p w14:paraId="735504F3" w14:textId="1D621C76" w:rsidR="00ED6655" w:rsidRDefault="009B2935" w:rsidP="00E86589">
      <w:pPr>
        <w:pStyle w:val="Nadpis2"/>
      </w:pPr>
      <w:r w:rsidRPr="00E86589">
        <w:t>Závazky vyplývající z tohoto článku není žádná ze Smluvních stran oprávněna vypovědět ani jiným způsobem jednostranně ukončit.</w:t>
      </w:r>
      <w:bookmarkEnd w:id="3"/>
    </w:p>
    <w:p w14:paraId="21AD672E" w14:textId="10E52195" w:rsidR="00C06CB4" w:rsidRDefault="00C06CB4" w:rsidP="00C06CB4">
      <w:pPr>
        <w:pStyle w:val="Nadpis1"/>
      </w:pPr>
      <w:r>
        <w:t>KYBERNETICKÁ BEZPEČNOST</w:t>
      </w:r>
    </w:p>
    <w:p w14:paraId="145C20B6" w14:textId="16EE25F2" w:rsidR="00C06CB4" w:rsidRDefault="00C06CB4" w:rsidP="00C06CB4">
      <w:pPr>
        <w:pStyle w:val="Nadpis2"/>
      </w:pPr>
      <w:r>
        <w:t>Poskytovatel se zavazuje dodržovat relevantní ustanovení zákona č. 181/2014 Sb., o 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Poskytovatel je povinen dodržovat bezpečnostní opatření ve formě organizačních a technických opatření, která jsou vydávána příslušnými orgány Objednatele.</w:t>
      </w:r>
    </w:p>
    <w:p w14:paraId="57EA8AAC" w14:textId="0B68230D" w:rsidR="00C06CB4" w:rsidRPr="00C06CB4" w:rsidRDefault="00C06CB4" w:rsidP="00C06CB4">
      <w:pPr>
        <w:pStyle w:val="Nadpis2"/>
      </w:pPr>
      <w:r>
        <w:t>Poskytovatel je na vyžádání Objednatele povinen umožnit Objednateli auditovat a provádět analýzu rizik vnitřních procesů Poskytovatele souvisejících s plněním této Smlouvy Poskytovatel je povinen při těchto auditech a analýzách spolupracovat a poskytovat součinnost v míře umožňující provedení řádného auditu a analýzy rizik.</w:t>
      </w:r>
    </w:p>
    <w:p w14:paraId="32F50F90" w14:textId="36AE24AF" w:rsidR="0031136D" w:rsidRDefault="0031136D" w:rsidP="004316CC">
      <w:pPr>
        <w:pStyle w:val="Nadpis1"/>
      </w:pPr>
      <w:r>
        <w:t xml:space="preserve">práva </w:t>
      </w:r>
      <w:r w:rsidRPr="004316CC">
        <w:t>třetích</w:t>
      </w:r>
      <w:r>
        <w:t xml:space="preserve"> osob</w:t>
      </w:r>
    </w:p>
    <w:p w14:paraId="1EF09062" w14:textId="1D1F9940" w:rsidR="0031136D" w:rsidRDefault="0031136D" w:rsidP="0031136D">
      <w:pPr>
        <w:pStyle w:val="Nadpis2"/>
        <w:widowControl w:val="0"/>
      </w:pPr>
      <w:r>
        <w:t>Poskytovatel prohlašuje, že poskytnuté Plnění bude bez právních vad, zejména, že nebude zatíženo žádnými právy třetích osob, z nichž by pro Objednatele vyplynul finanční nebo jiný závazek ve prospěch třetí strany nebo která by jakkoliv omezovala užívání výstupů Plnění.</w:t>
      </w:r>
      <w:r w:rsidR="006C341C">
        <w:t xml:space="preserve"> V případě porušení tohoto závazku</w:t>
      </w:r>
      <w:r>
        <w:t xml:space="preserve"> </w:t>
      </w:r>
      <w:r w:rsidR="006C341C">
        <w:t>je Poskytovatel v plném rozsahu odpovědný</w:t>
      </w:r>
      <w:r w:rsidR="00F2612F">
        <w:t xml:space="preserve"> za případné následky takového porušení, přičemž právo Objednatele na případnou náhradu škodu a smluvní pokutu zůstává nedotčeno.</w:t>
      </w:r>
    </w:p>
    <w:p w14:paraId="51C21D72" w14:textId="700F89CA" w:rsidR="0031136D" w:rsidRPr="0031136D" w:rsidRDefault="004E7756" w:rsidP="004E7756">
      <w:pPr>
        <w:pStyle w:val="Nadpis2"/>
        <w:widowControl w:val="0"/>
      </w:pPr>
      <w:r>
        <w:t>Poskytovatel</w:t>
      </w:r>
      <w:r w:rsidR="0031136D">
        <w:t xml:space="preserve"> se zavazuje, že při plnění </w:t>
      </w:r>
      <w:r>
        <w:t>Smlouvy</w:t>
      </w:r>
      <w:r w:rsidR="0031136D">
        <w:t xml:space="preserve"> bude postupovat tak, aby nedošlo k neoprávněnému zásahu do práv třetích osob. </w:t>
      </w:r>
    </w:p>
    <w:p w14:paraId="173956C7" w14:textId="568EF6B2" w:rsidR="00B90BE3" w:rsidRDefault="00E62414" w:rsidP="004316CC">
      <w:pPr>
        <w:pStyle w:val="Nadpis1"/>
      </w:pPr>
      <w:r>
        <w:lastRenderedPageBreak/>
        <w:t>odpovědnost za vady</w:t>
      </w:r>
    </w:p>
    <w:p w14:paraId="0A9CFBC8" w14:textId="56BA809F" w:rsidR="00061510" w:rsidRDefault="00061510" w:rsidP="00061510">
      <w:pPr>
        <w:pStyle w:val="Nadpis2"/>
      </w:pPr>
      <w:r>
        <w:t xml:space="preserve">Poskytovatel je povinen poskytnout Plnění v souladu s požadavky definovanými touto Smlouvou. </w:t>
      </w:r>
      <w:r w:rsidR="008350E0">
        <w:t>Objednatel</w:t>
      </w:r>
      <w:r>
        <w:t xml:space="preserve"> je povinen za řádně a včas poskytnuté Plnění zaplatit Cenu za Plnění </w:t>
      </w:r>
      <w:r w:rsidRPr="003B62B7">
        <w:t>dle čl. V Smlouvy. Při</w:t>
      </w:r>
      <w:r>
        <w:t xml:space="preserve"> nedodržení těchto povinností se jedná o vadné Plnění.</w:t>
      </w:r>
    </w:p>
    <w:p w14:paraId="2FCCB9BF" w14:textId="6204D2CB" w:rsidR="00061510" w:rsidRDefault="00061510" w:rsidP="00061510">
      <w:pPr>
        <w:pStyle w:val="Nadpis2"/>
      </w:pPr>
      <w:r>
        <w:t xml:space="preserve">Poskytovatel je povinen poskytovat Plnění v nejvyšší dostupné kvalitě a odpovídá za to, že případné vady Plnění řádně odstraní, případně nahradí plněním bezvadným v souladu </w:t>
      </w:r>
      <w:r w:rsidR="005C5644">
        <w:t>se Smlouvou</w:t>
      </w:r>
      <w:r>
        <w:t xml:space="preserve">. </w:t>
      </w:r>
    </w:p>
    <w:p w14:paraId="5A2539F2" w14:textId="0C195E79" w:rsidR="00061510" w:rsidRDefault="00061510" w:rsidP="00061510">
      <w:pPr>
        <w:pStyle w:val="Nadpis2"/>
      </w:pPr>
      <w:r>
        <w:t>Aniž by byl dotčen předchozí odstavec, nejsou tímto článkem dotčena ani omezena práva Smluvních stran z vadného plnění vyplývající z právních předpisů.</w:t>
      </w:r>
    </w:p>
    <w:p w14:paraId="61F42EAD" w14:textId="77777777" w:rsidR="00CE12D3" w:rsidRPr="00CE12D3" w:rsidRDefault="00CE12D3" w:rsidP="002A590A">
      <w:pPr>
        <w:pStyle w:val="Nadpis1"/>
      </w:pPr>
      <w:r w:rsidRPr="002A590A">
        <w:t>SAnkce</w:t>
      </w:r>
    </w:p>
    <w:p w14:paraId="2B543830" w14:textId="240EDEFF" w:rsidR="00E13B80" w:rsidRDefault="00E13B80" w:rsidP="00E13B80">
      <w:pPr>
        <w:pStyle w:val="Nadpis2"/>
      </w:pPr>
      <w:r w:rsidRPr="00560DEA">
        <w:t>V případě prodlení Poskytovatele se lhůtou stanovenou v čl.</w:t>
      </w:r>
      <w:r w:rsidR="00814D8D" w:rsidRPr="00560DEA">
        <w:t xml:space="preserve"> </w:t>
      </w:r>
      <w:r w:rsidR="000F48B9" w:rsidRPr="00560DEA">
        <w:t>IV</w:t>
      </w:r>
      <w:r w:rsidR="00814D8D" w:rsidRPr="00560DEA">
        <w:t xml:space="preserve"> odst. </w:t>
      </w:r>
      <w:r w:rsidR="000F48B9" w:rsidRPr="00560DEA">
        <w:t>4</w:t>
      </w:r>
      <w:r w:rsidR="00814D8D" w:rsidRPr="00560DEA">
        <w:t>.</w:t>
      </w:r>
      <w:r w:rsidR="000F48B9" w:rsidRPr="00560DEA">
        <w:t>3</w:t>
      </w:r>
      <w:r w:rsidR="00814D8D" w:rsidRPr="00560DEA">
        <w:t xml:space="preserve"> (ve vztahu k nedodržení lhůty pro zajištění </w:t>
      </w:r>
      <w:r w:rsidR="00023FB3">
        <w:t xml:space="preserve">započetí s </w:t>
      </w:r>
      <w:r w:rsidR="00814D8D" w:rsidRPr="00560DEA">
        <w:t>poskytování</w:t>
      </w:r>
      <w:r w:rsidR="00023FB3">
        <w:t>m</w:t>
      </w:r>
      <w:r w:rsidR="00814D8D" w:rsidRPr="00560DEA">
        <w:t xml:space="preserve"> Plnění) nebo odst. </w:t>
      </w:r>
      <w:r w:rsidR="000F48B9" w:rsidRPr="00560DEA">
        <w:t>4</w:t>
      </w:r>
      <w:r w:rsidR="00814D8D" w:rsidRPr="00560DEA">
        <w:t>.</w:t>
      </w:r>
      <w:r w:rsidR="000F48B9" w:rsidRPr="00560DEA">
        <w:t>4</w:t>
      </w:r>
      <w:r w:rsidR="00814D8D" w:rsidRPr="00560DEA">
        <w:t xml:space="preserve"> (ve vztahu k</w:t>
      </w:r>
      <w:r w:rsidR="00EB3ABE" w:rsidRPr="00560DEA">
        <w:t xml:space="preserve"> nedodržení</w:t>
      </w:r>
      <w:r w:rsidR="00814D8D" w:rsidRPr="00560DEA">
        <w:t xml:space="preserve"> lhůt</w:t>
      </w:r>
      <w:r w:rsidR="00EB3ABE" w:rsidRPr="00560DEA">
        <w:t>y</w:t>
      </w:r>
      <w:r w:rsidR="00814D8D" w:rsidRPr="00560DEA">
        <w:t xml:space="preserve"> pro odstranění výhrad)</w:t>
      </w:r>
      <w:r w:rsidR="00EB3ABE" w:rsidRPr="00560DEA">
        <w:t>, nebo</w:t>
      </w:r>
      <w:r w:rsidRPr="00560DEA">
        <w:t xml:space="preserve"> </w:t>
      </w:r>
      <w:r w:rsidR="00EB3ABE" w:rsidRPr="00560DEA">
        <w:t xml:space="preserve">čl. </w:t>
      </w:r>
      <w:r w:rsidRPr="00560DEA">
        <w:t xml:space="preserve">V odst. </w:t>
      </w:r>
      <w:r w:rsidR="000F48B9" w:rsidRPr="00560DEA">
        <w:t>5</w:t>
      </w:r>
      <w:r w:rsidRPr="00560DEA">
        <w:t>.1</w:t>
      </w:r>
      <w:r w:rsidR="000F48B9" w:rsidRPr="00560DEA">
        <w:t>2</w:t>
      </w:r>
      <w:r w:rsidR="00691010" w:rsidRPr="00560DEA">
        <w:t xml:space="preserve"> Smlouvy</w:t>
      </w:r>
      <w:r w:rsidRPr="00560DEA">
        <w:t xml:space="preserve"> má Objednatel právo uplatnit vůči Poskytovateli smluvní pokutu ve výši </w:t>
      </w:r>
      <w:r w:rsidR="000F48B9" w:rsidRPr="00560DEA">
        <w:t>10</w:t>
      </w:r>
      <w:r w:rsidR="00560DEA">
        <w:t xml:space="preserve"> </w:t>
      </w:r>
      <w:r w:rsidRPr="00560DEA">
        <w:t>000,</w:t>
      </w:r>
      <w:r w:rsidR="00560DEA">
        <w:t>00</w:t>
      </w:r>
      <w:r w:rsidRPr="00560DEA">
        <w:t xml:space="preserve"> Kč, a to za každý započatý den prodlení.</w:t>
      </w:r>
    </w:p>
    <w:p w14:paraId="698DA8B0" w14:textId="68F7575E" w:rsidR="00231040" w:rsidRPr="00231040" w:rsidRDefault="00231040" w:rsidP="00231040">
      <w:pPr>
        <w:pStyle w:val="Nadpis2"/>
      </w:pPr>
      <w:r>
        <w:t xml:space="preserve">V případě prodlení Poskytovatele </w:t>
      </w:r>
      <w:r w:rsidR="009425FF">
        <w:t xml:space="preserve">se lhůtami, příp. některou ze lhůt stanovených v čl. </w:t>
      </w:r>
      <w:r w:rsidR="00AC47AA">
        <w:t xml:space="preserve">III odst. 3.2 má Objednatel právo uplatnit vůči </w:t>
      </w:r>
      <w:r w:rsidR="00AC47AA" w:rsidRPr="00560DEA">
        <w:t xml:space="preserve">Poskytovateli smluvní pokutu ve výši </w:t>
      </w:r>
      <w:r w:rsidR="00AC47AA">
        <w:t xml:space="preserve">2 </w:t>
      </w:r>
      <w:r w:rsidR="00AC47AA" w:rsidRPr="00560DEA">
        <w:t>000,</w:t>
      </w:r>
      <w:r w:rsidR="00AC47AA">
        <w:t>00</w:t>
      </w:r>
      <w:r w:rsidR="00AC47AA" w:rsidRPr="00560DEA">
        <w:t xml:space="preserve"> Kč, a to za </w:t>
      </w:r>
      <w:r w:rsidR="00AC47AA">
        <w:t>každou započatou hodinu prodlení</w:t>
      </w:r>
      <w:r w:rsidR="00AC47AA" w:rsidRPr="00560DEA">
        <w:t>.</w:t>
      </w:r>
      <w:r w:rsidR="00AC47AA">
        <w:t xml:space="preserve"> </w:t>
      </w:r>
    </w:p>
    <w:p w14:paraId="69F8FCF3" w14:textId="0914A892" w:rsidR="00691010" w:rsidRPr="00560DEA" w:rsidRDefault="00B3127D" w:rsidP="00B3127D">
      <w:pPr>
        <w:pStyle w:val="Nadpis2"/>
      </w:pPr>
      <w:r w:rsidRPr="00560DEA">
        <w:t>V případě porušení některé z povinností stanovených</w:t>
      </w:r>
      <w:r w:rsidR="003F0869">
        <w:t xml:space="preserve"> v </w:t>
      </w:r>
      <w:r w:rsidR="00691010" w:rsidRPr="00560DEA">
        <w:t>čl. V</w:t>
      </w:r>
      <w:r w:rsidR="008434C1">
        <w:t>I</w:t>
      </w:r>
      <w:r w:rsidR="00691010" w:rsidRPr="00560DEA">
        <w:t> odst. 6.3</w:t>
      </w:r>
      <w:r w:rsidR="008434C1">
        <w:t xml:space="preserve"> nebo odst. 6.4</w:t>
      </w:r>
      <w:r w:rsidR="00691010" w:rsidRPr="00560DEA">
        <w:t xml:space="preserve"> Smlouvy má Objednatel právo uplatnit vůči Poskytovateli smluvní pokutu ve výši 10 000,00, a to za každý jednotlivý případ porušení.</w:t>
      </w:r>
    </w:p>
    <w:p w14:paraId="53500E25" w14:textId="1F0BB2DB" w:rsidR="00E13B80" w:rsidRPr="00560DEA" w:rsidRDefault="00B17D43" w:rsidP="00B3127D">
      <w:pPr>
        <w:pStyle w:val="Nadpis2"/>
      </w:pPr>
      <w:r w:rsidRPr="00560DEA">
        <w:t xml:space="preserve">V případě porušení některé z povinností dle </w:t>
      </w:r>
      <w:r w:rsidR="008A6352">
        <w:t>čl. III odst. 3.</w:t>
      </w:r>
      <w:r w:rsidR="00D10C6D">
        <w:t>7</w:t>
      </w:r>
      <w:r w:rsidR="00EE6F63">
        <w:t xml:space="preserve">, nebo </w:t>
      </w:r>
      <w:r w:rsidRPr="00560DEA">
        <w:t xml:space="preserve">čl. VI </w:t>
      </w:r>
      <w:r w:rsidR="00B3127D" w:rsidRPr="00560DEA">
        <w:t xml:space="preserve">odst. </w:t>
      </w:r>
      <w:r w:rsidRPr="00560DEA">
        <w:t>6</w:t>
      </w:r>
      <w:r w:rsidR="00B3127D" w:rsidRPr="00560DEA">
        <w:t>.6</w:t>
      </w:r>
      <w:r w:rsidRPr="00560DEA">
        <w:t xml:space="preserve"> nebo odst. 6.9</w:t>
      </w:r>
      <w:r w:rsidR="00B3127D" w:rsidRPr="00560DEA">
        <w:t>,</w:t>
      </w:r>
      <w:r w:rsidR="004F1A94" w:rsidRPr="00560DEA">
        <w:t xml:space="preserve"> nebo čl. </w:t>
      </w:r>
      <w:r w:rsidR="00560DEA" w:rsidRPr="00560DEA">
        <w:t>IX</w:t>
      </w:r>
      <w:r w:rsidR="004F1A94" w:rsidRPr="00560DEA">
        <w:t xml:space="preserve"> odst. </w:t>
      </w:r>
      <w:r w:rsidR="00560DEA" w:rsidRPr="00560DEA">
        <w:t>9</w:t>
      </w:r>
      <w:r w:rsidR="004F1A94" w:rsidRPr="00560DEA">
        <w:t xml:space="preserve">.1 nebo odst. </w:t>
      </w:r>
      <w:r w:rsidR="00560DEA" w:rsidRPr="00560DEA">
        <w:t>9</w:t>
      </w:r>
      <w:r w:rsidR="004F1A94" w:rsidRPr="00560DEA">
        <w:t>.2,</w:t>
      </w:r>
      <w:r w:rsidR="00560DEA" w:rsidRPr="00560DEA">
        <w:t xml:space="preserve"> nebo čl. X odst. 10.1 nebo odst. 10.2</w:t>
      </w:r>
      <w:r w:rsidR="00114A85">
        <w:t>,</w:t>
      </w:r>
      <w:r w:rsidR="00B3127D" w:rsidRPr="00560DEA">
        <w:t xml:space="preserve"> nebo čl. X</w:t>
      </w:r>
      <w:r w:rsidR="00560DEA" w:rsidRPr="00560DEA">
        <w:t>IV</w:t>
      </w:r>
      <w:r w:rsidR="00B3127D" w:rsidRPr="00560DEA">
        <w:t xml:space="preserve"> odst. 1</w:t>
      </w:r>
      <w:r w:rsidR="00560DEA" w:rsidRPr="00560DEA">
        <w:t>4</w:t>
      </w:r>
      <w:r w:rsidR="00B3127D" w:rsidRPr="00560DEA">
        <w:t xml:space="preserve">.10 </w:t>
      </w:r>
      <w:r w:rsidR="00114A85">
        <w:t xml:space="preserve">Smlouvy </w:t>
      </w:r>
      <w:r w:rsidR="00B3127D" w:rsidRPr="00560DEA">
        <w:t xml:space="preserve">ze strany Poskytovatele má </w:t>
      </w:r>
      <w:r w:rsidR="004F1A94" w:rsidRPr="00560DEA">
        <w:t>Objednatel</w:t>
      </w:r>
      <w:r w:rsidR="00B3127D" w:rsidRPr="00560DEA">
        <w:t xml:space="preserve"> právo uplatnit vůči Poskytovateli smluvní pokutu ve výši 50</w:t>
      </w:r>
      <w:r w:rsidR="00560DEA">
        <w:t xml:space="preserve"> </w:t>
      </w:r>
      <w:r w:rsidR="00B3127D" w:rsidRPr="00560DEA">
        <w:t>000,</w:t>
      </w:r>
      <w:r w:rsidR="00560DEA">
        <w:t>00</w:t>
      </w:r>
      <w:r w:rsidR="00B3127D" w:rsidRPr="00560DEA">
        <w:t xml:space="preserve"> Kč, a to za každý jednotlivý případ porušení.</w:t>
      </w:r>
    </w:p>
    <w:p w14:paraId="06FEA6A2" w14:textId="13EF8454" w:rsidR="0071342E" w:rsidRPr="00560DEA" w:rsidRDefault="0071342E" w:rsidP="0071342E">
      <w:pPr>
        <w:pStyle w:val="Nadpis2"/>
      </w:pPr>
      <w:r w:rsidRPr="00560DEA">
        <w:t>Pro případ prodlení Objednatele se zaplacením řádně vystavené a doručené faktury je Poskytovatel oprávněn požadovat zaplacení úroku z prodlení ve výši stanovené právními předpisy.</w:t>
      </w:r>
    </w:p>
    <w:p w14:paraId="7F77E151" w14:textId="4E1199F3" w:rsidR="0075162C" w:rsidRPr="00560DEA" w:rsidRDefault="0075162C" w:rsidP="0075162C">
      <w:pPr>
        <w:pStyle w:val="Nadpis2"/>
      </w:pPr>
      <w:r w:rsidRPr="00560DEA">
        <w:t>V případě, že některá ze Smluvních stran poruší některou z povinností mlčenlivosti dle čl. VII</w:t>
      </w:r>
      <w:r w:rsidR="00560DEA">
        <w:t>I</w:t>
      </w:r>
      <w:r w:rsidRPr="00560DEA">
        <w:t xml:space="preserve"> této Smlouvy, je druhá Smluvní strana oprávněna požadovat smluvní pokutu ve výši </w:t>
      </w:r>
      <w:r w:rsidR="00560DEA">
        <w:t>10</w:t>
      </w:r>
      <w:r w:rsidRPr="00560DEA">
        <w:t>0</w:t>
      </w:r>
      <w:r w:rsidR="00560DEA">
        <w:t xml:space="preserve"> </w:t>
      </w:r>
      <w:r w:rsidRPr="00560DEA">
        <w:t>000,</w:t>
      </w:r>
      <w:r w:rsidR="00560DEA">
        <w:t>00</w:t>
      </w:r>
      <w:r w:rsidRPr="00560DEA">
        <w:t xml:space="preserve"> Kč, a to</w:t>
      </w:r>
      <w:r w:rsidR="009024CA">
        <w:t xml:space="preserve"> za</w:t>
      </w:r>
      <w:r w:rsidRPr="00560DEA">
        <w:t xml:space="preserve"> každý jednotlivý případ porušení.</w:t>
      </w:r>
    </w:p>
    <w:p w14:paraId="350BCF65" w14:textId="2DB11C30" w:rsidR="0075162C" w:rsidRPr="00560DEA" w:rsidRDefault="0075162C" w:rsidP="0075162C">
      <w:pPr>
        <w:pStyle w:val="Nadpis2"/>
      </w:pPr>
      <w:r w:rsidRPr="00560DEA">
        <w:t xml:space="preserve">Smluvní pokuta a zákonný úrok z prodlení jsou splatné ve lhůtě </w:t>
      </w:r>
      <w:r w:rsidR="00F76856">
        <w:t>30</w:t>
      </w:r>
      <w:r w:rsidRPr="00560DEA">
        <w:t xml:space="preserve"> dnů ode dne doručení písemné výzvy oprávněné Smluvní strany Smluvní straně povinné ze smluvní pokuty nebo ze zákonného úroku z prodlení.</w:t>
      </w:r>
    </w:p>
    <w:p w14:paraId="21202FFB" w14:textId="75422C42" w:rsidR="0075162C" w:rsidRPr="00560DEA" w:rsidRDefault="0075162C" w:rsidP="0075162C">
      <w:pPr>
        <w:pStyle w:val="Nadpis2"/>
      </w:pPr>
      <w:r w:rsidRPr="00560DEA">
        <w:t>Objedn</w:t>
      </w:r>
      <w:r w:rsidR="001320A8" w:rsidRPr="00560DEA">
        <w:t>a</w:t>
      </w:r>
      <w:r w:rsidRPr="00560DEA">
        <w:t>tel je oprávněn uplatňovat vůči Poskytovateli veškeré smluvní pokuty, na které mu bude z porušení Smlouvy vyplývat nárok dle tohoto článku, tj. i v případě kumulace smluvních pokut.</w:t>
      </w:r>
    </w:p>
    <w:p w14:paraId="6ADD854D" w14:textId="77777777" w:rsidR="0075162C" w:rsidRPr="00560DEA" w:rsidRDefault="0075162C" w:rsidP="0075162C">
      <w:pPr>
        <w:pStyle w:val="Nadpis2"/>
      </w:pPr>
      <w:r w:rsidRPr="00560DEA">
        <w:t>Ujednáním o smluvní pokutě není dotčeno právo poškozené Smluvní strany domáhat se náhrady škody v plné výši.</w:t>
      </w:r>
    </w:p>
    <w:p w14:paraId="4F4FC200" w14:textId="7A752984" w:rsidR="0075162C" w:rsidRPr="00560DEA" w:rsidRDefault="0075162C" w:rsidP="0075162C">
      <w:pPr>
        <w:pStyle w:val="Nadpis2"/>
      </w:pPr>
      <w:r w:rsidRPr="00560DEA">
        <w:t>Zaplacení smluvní pokuty nezbavuje Poskytovatele povinnosti splnit závazek utvrzený smluvní pokutou</w:t>
      </w:r>
    </w:p>
    <w:p w14:paraId="7BC6B518" w14:textId="3C12CB97" w:rsidR="00BB6992" w:rsidRDefault="00BB6992" w:rsidP="00BB6992">
      <w:pPr>
        <w:pStyle w:val="Nadpis1"/>
      </w:pPr>
      <w:r w:rsidRPr="00BB6992">
        <w:t>DOBA TRVÁNÍ A UKONČENÍ SMLOUVY</w:t>
      </w:r>
    </w:p>
    <w:p w14:paraId="38041327" w14:textId="307C39D3" w:rsidR="00E5270C" w:rsidRPr="00E5270C" w:rsidRDefault="00E5270C" w:rsidP="00E5270C">
      <w:pPr>
        <w:pStyle w:val="Nadpis2"/>
      </w:pPr>
      <w:r w:rsidRPr="00E5270C">
        <w:t>Tato Smlouva se uzavírá na dobu určitou, a</w:t>
      </w:r>
      <w:r w:rsidR="00E557E5">
        <w:t xml:space="preserve"> </w:t>
      </w:r>
      <w:r w:rsidR="00405FCC">
        <w:t xml:space="preserve">to </w:t>
      </w:r>
      <w:r w:rsidR="00E557E5">
        <w:t>od okamžiku</w:t>
      </w:r>
      <w:r w:rsidRPr="00E5270C">
        <w:t> účinnost</w:t>
      </w:r>
      <w:r w:rsidR="00405FCC">
        <w:t>i Smlouvy, tj.</w:t>
      </w:r>
      <w:r w:rsidRPr="00E5270C">
        <w:t xml:space="preserve"> ode dne zveřejnění Smlouvy v registru smluv dle zákona č. 340/2015 Sb., o zvláštních podmínkách </w:t>
      </w:r>
      <w:r w:rsidRPr="00E5270C">
        <w:lastRenderedPageBreak/>
        <w:t>účinnosti některých smluv, uveřejňování těchto smluv a o registru smluv v platném znění (dále jen „</w:t>
      </w:r>
      <w:r w:rsidRPr="007A66F4">
        <w:rPr>
          <w:b/>
        </w:rPr>
        <w:t xml:space="preserve">Zákon o registru </w:t>
      </w:r>
      <w:r w:rsidRPr="007D46D5">
        <w:rPr>
          <w:b/>
        </w:rPr>
        <w:t>smluv</w:t>
      </w:r>
      <w:r w:rsidRPr="007D46D5">
        <w:t>“)</w:t>
      </w:r>
      <w:r w:rsidR="00CE60C4" w:rsidRPr="007D46D5">
        <w:t xml:space="preserve"> do </w:t>
      </w:r>
      <w:r w:rsidR="0076559B" w:rsidRPr="007D46D5">
        <w:t>30</w:t>
      </w:r>
      <w:r w:rsidR="00CE60C4" w:rsidRPr="007D46D5">
        <w:t>. 1</w:t>
      </w:r>
      <w:r w:rsidR="0076559B" w:rsidRPr="007D46D5">
        <w:t>1</w:t>
      </w:r>
      <w:r w:rsidR="00CE60C4" w:rsidRPr="007D46D5">
        <w:t>. 2019</w:t>
      </w:r>
      <w:r w:rsidRPr="007D46D5">
        <w:t>.</w:t>
      </w:r>
    </w:p>
    <w:p w14:paraId="0F5F8288" w14:textId="77777777" w:rsidR="00E5270C" w:rsidRPr="007A66F4" w:rsidRDefault="00E5270C" w:rsidP="007A66F4">
      <w:pPr>
        <w:pStyle w:val="Nadpis2"/>
      </w:pPr>
      <w:r w:rsidRPr="007A66F4">
        <w:t>Tato Smlouva může být ukončena dohodou Smluvních stran.</w:t>
      </w:r>
    </w:p>
    <w:p w14:paraId="5E1F5A32" w14:textId="77777777" w:rsidR="00E5270C" w:rsidRPr="007A66F4" w:rsidRDefault="00E5270C" w:rsidP="007A66F4">
      <w:pPr>
        <w:pStyle w:val="Nadpis2"/>
      </w:pPr>
      <w:r w:rsidRPr="007A66F4">
        <w:t xml:space="preserve">Smluvní strany jsou oprávněny od této Smlouvy odstoupit, nastanou-li okolnosti předvídané ust. § 2002 Občanského zákoníku. </w:t>
      </w:r>
      <w:bookmarkStart w:id="4" w:name="_Ref311537284"/>
    </w:p>
    <w:p w14:paraId="73D4123E" w14:textId="77777777" w:rsidR="00E5270C" w:rsidRPr="007A66F4" w:rsidRDefault="00E5270C" w:rsidP="007A66F4">
      <w:pPr>
        <w:pStyle w:val="Nadpis2"/>
      </w:pPr>
      <w:bookmarkStart w:id="5" w:name="_Ref294023133"/>
      <w:bookmarkEnd w:id="4"/>
      <w:r w:rsidRPr="007A66F4">
        <w:t xml:space="preserve">Za podstatné porušení Smlouvy </w:t>
      </w:r>
      <w:r w:rsidRPr="007A66F4">
        <w:rPr>
          <w:rStyle w:val="TMNormlnModrChar"/>
          <w:rFonts w:ascii="Verdana" w:eastAsiaTheme="minorHAnsi" w:hAnsi="Verdana" w:cstheme="minorBidi"/>
          <w:color w:val="auto"/>
          <w:szCs w:val="22"/>
          <w:lang w:eastAsia="en-US"/>
        </w:rPr>
        <w:t>Poskytovatel</w:t>
      </w:r>
      <w:r w:rsidRPr="007A66F4">
        <w:t>em ve smyslu § 2002 Občanského zákoníku se považuje zejména:</w:t>
      </w:r>
    </w:p>
    <w:p w14:paraId="29CCCBD0" w14:textId="77777777" w:rsidR="00E5270C" w:rsidRPr="007A66F4" w:rsidRDefault="00E5270C" w:rsidP="007A66F4">
      <w:pPr>
        <w:pStyle w:val="Nadpis3"/>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e s plněním jakýchkoliv lhůt ze Smlouvy o více než 30 kalendářních dnů;</w:t>
      </w:r>
    </w:p>
    <w:p w14:paraId="30B3A4A2" w14:textId="77777777" w:rsidR="00E5270C" w:rsidRPr="007A66F4" w:rsidRDefault="00E5270C" w:rsidP="007A66F4">
      <w:pPr>
        <w:pStyle w:val="Nadpis3"/>
      </w:pPr>
      <w:r w:rsidRPr="007A66F4">
        <w:t>opakované (tj. nejméně druhé) porušování smluvních či jiných právních povinností v souvislosti s plněním Smlouvy;</w:t>
      </w:r>
    </w:p>
    <w:p w14:paraId="76BFABEC" w14:textId="4F5B4930" w:rsidR="00E5270C" w:rsidRPr="007A66F4" w:rsidRDefault="00E5270C" w:rsidP="007A66F4">
      <w:pPr>
        <w:pStyle w:val="Nadpis3"/>
      </w:pPr>
      <w:r w:rsidRPr="007A66F4">
        <w:t xml:space="preserve">jakékoliv jiné porušení povinnosti Poskytovatelem, které nebude odstraněno či napraveno ani do 30 kalendářních dnů ode dne doručení výzvy </w:t>
      </w:r>
      <w:r w:rsidR="0063282A">
        <w:t>Objednatele</w:t>
      </w:r>
      <w:r w:rsidRPr="007A66F4">
        <w:t xml:space="preserve"> k nápravě (popř. od uplynutí lhůty ve výzvě stanovené), je-li náprava možná.</w:t>
      </w:r>
    </w:p>
    <w:p w14:paraId="32336B1B" w14:textId="7D4141C1" w:rsidR="00E5270C" w:rsidRPr="007A66F4" w:rsidRDefault="00E5270C" w:rsidP="007A66F4">
      <w:pPr>
        <w:pStyle w:val="Nadpis2"/>
      </w:pPr>
      <w:bookmarkStart w:id="6" w:name="_Ref294023139"/>
      <w:bookmarkEnd w:id="5"/>
      <w:r w:rsidRPr="007A66F4">
        <w:t xml:space="preserve">Za podstatné porušení Smlouvy </w:t>
      </w:r>
      <w:r w:rsidR="0063282A">
        <w:t>Objednatelem</w:t>
      </w:r>
      <w:r w:rsidRPr="007A66F4">
        <w:t xml:space="preserve"> ve smyslu § 2002 Občanského zákoníku se považuje zejména prodlení </w:t>
      </w:r>
      <w:r w:rsidR="0063282A">
        <w:t>Objednatele</w:t>
      </w:r>
      <w:r w:rsidRPr="007A66F4">
        <w:t xml:space="preserve"> s úhradou faktury o více než 30 kalendářních dnů.</w:t>
      </w:r>
    </w:p>
    <w:p w14:paraId="79A0B3B6" w14:textId="2E2500F1" w:rsidR="00E5270C" w:rsidRPr="007A66F4" w:rsidRDefault="009B0F51" w:rsidP="007A66F4">
      <w:pPr>
        <w:pStyle w:val="Nadpis2"/>
      </w:pPr>
      <w:r>
        <w:t>Objednatel</w:t>
      </w:r>
      <w:r w:rsidR="00E5270C" w:rsidRPr="007A66F4">
        <w:t xml:space="preserve"> je dále oprávněn od Smlouvy odstoupit v následujících případech:</w:t>
      </w:r>
    </w:p>
    <w:p w14:paraId="251B4335" w14:textId="77777777" w:rsidR="00E5270C" w:rsidRPr="007A66F4" w:rsidRDefault="00E5270C" w:rsidP="007A66F4">
      <w:pPr>
        <w:pStyle w:val="Nadpis3"/>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4365F504"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p>
    <w:p w14:paraId="397582D4" w14:textId="352CE28A"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2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Smlouvy. Nedodržení této povinnosti je podstatným porušením Smlouvy.</w:t>
      </w:r>
    </w:p>
    <w:p w14:paraId="6C28D9D4" w14:textId="77777777" w:rsidR="00E5270C" w:rsidRPr="007A66F4" w:rsidRDefault="00E5270C" w:rsidP="007A66F4">
      <w:pPr>
        <w:pStyle w:val="Nadpis2"/>
      </w:pPr>
      <w:r w:rsidRPr="007A66F4">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od jeho doručení do datové schránky příslušné Smluvní straně při odeslání datovou zprávou.</w:t>
      </w:r>
    </w:p>
    <w:p w14:paraId="7639798C" w14:textId="77777777" w:rsidR="00E5270C" w:rsidRPr="007A66F4" w:rsidRDefault="00E5270C" w:rsidP="007A66F4">
      <w:pPr>
        <w:pStyle w:val="Nadpis2"/>
      </w:pPr>
      <w:r w:rsidRPr="007A66F4">
        <w:t>Odstoupením od této Smlouvy se závazek touto Smlouvou založený zrušuje jen ohledně nesplněného zbytku plnění okamžikem účinnosti odstoupení od Smlouvy (tj. ex nunc). Smluvní strany jsou si jsou povinny vyrovnat dosavadní vzájemné závazky ze Smlouvy, a to bez zbytečného odkladu, nejpozději však do 30 dnů od doručení oznámení odstupující Smluvní strany o odstoupení od této Smlouvy druhé Smluvní straně.</w:t>
      </w:r>
    </w:p>
    <w:p w14:paraId="15F8E07B" w14:textId="59964CE0" w:rsidR="00E5270C" w:rsidRPr="007A66F4" w:rsidRDefault="00635CB4" w:rsidP="007A66F4">
      <w:pPr>
        <w:pStyle w:val="Nadpis2"/>
      </w:pPr>
      <w:r>
        <w:t>Objednatel</w:t>
      </w:r>
      <w:r w:rsidR="00E5270C" w:rsidRPr="007A66F4">
        <w:t xml:space="preserve"> může od Smlouvy odstoupit také ohledně celého plnění. V takovém případě se závazek založený touto Smlouvou zrušuje od počátku (tj. ex tunc) a Smluvní strany jsou povinny si vrátit vše, co si plnily, a to bez zbytečného odkladu, nejpozději však do 30 dnů od doručení oznámení </w:t>
      </w:r>
      <w:r>
        <w:t>Objednatele</w:t>
      </w:r>
      <w:r w:rsidR="00E5270C" w:rsidRPr="007A66F4">
        <w:t xml:space="preserve"> o odstoupení od této Smlouvy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6"/>
    <w:p w14:paraId="38192743" w14:textId="7290C253" w:rsidR="00E5270C" w:rsidRPr="00E5270C" w:rsidRDefault="00E5270C" w:rsidP="007A66F4">
      <w:pPr>
        <w:pStyle w:val="Nadpis2"/>
      </w:pPr>
      <w:r w:rsidRPr="007A66F4">
        <w:t>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w:t>
      </w:r>
      <w:r w:rsidRPr="003B0B1D">
        <w:t xml:space="preserve"> </w:t>
      </w:r>
    </w:p>
    <w:p w14:paraId="3915F635" w14:textId="77777777" w:rsidR="00B95567" w:rsidRPr="00384A97" w:rsidRDefault="00B95567" w:rsidP="002A590A">
      <w:pPr>
        <w:pStyle w:val="Nadpis1"/>
      </w:pPr>
      <w:r w:rsidRPr="002A590A">
        <w:lastRenderedPageBreak/>
        <w:t>Závěrečná</w:t>
      </w:r>
      <w:r>
        <w:t xml:space="preserve"> ustanovení</w:t>
      </w:r>
    </w:p>
    <w:p w14:paraId="0B95F071" w14:textId="77777777" w:rsidR="00D377B0" w:rsidRPr="00520E18" w:rsidRDefault="00D377B0" w:rsidP="00520E18">
      <w:pPr>
        <w:pStyle w:val="Nadpis2"/>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t xml:space="preserve">Adresa: </w:t>
      </w:r>
      <w:r w:rsidRPr="00A574EC">
        <w:t>Na Vápence 915/14, 130 00 Praha 3</w:t>
      </w:r>
    </w:p>
    <w:p w14:paraId="1EFD1920" w14:textId="14841C1E" w:rsidR="00D377B0" w:rsidRDefault="00D377B0" w:rsidP="00D377B0">
      <w:pPr>
        <w:pStyle w:val="Nadpis3"/>
        <w:numPr>
          <w:ilvl w:val="0"/>
          <w:numId w:val="0"/>
        </w:numPr>
        <w:ind w:left="1560"/>
      </w:pPr>
      <w:r>
        <w:t xml:space="preserve">K rukám: jméno Oprávněné osoby </w:t>
      </w:r>
      <w:r w:rsidR="00E425C5">
        <w:t>Objednatele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77777777" w:rsidR="00D377B0" w:rsidRPr="00D377B0" w:rsidRDefault="00D377B0" w:rsidP="00D377B0">
      <w:pPr>
        <w:pStyle w:val="Nadpis3"/>
      </w:pPr>
      <w:r w:rsidRPr="00D377B0">
        <w:rPr>
          <w:rStyle w:val="TMNormlnModrChar"/>
          <w:rFonts w:ascii="Verdana" w:eastAsiaTheme="minorHAnsi" w:hAnsi="Verdana" w:cstheme="minorBidi"/>
          <w:color w:val="auto"/>
          <w:szCs w:val="22"/>
          <w:lang w:eastAsia="en-US"/>
        </w:rPr>
        <w:t>Poskytovatel</w:t>
      </w:r>
    </w:p>
    <w:p w14:paraId="70757A64" w14:textId="77777777" w:rsidR="00D377B0" w:rsidRDefault="00D377B0" w:rsidP="00D377B0">
      <w:pPr>
        <w:pStyle w:val="Nadpis3"/>
        <w:numPr>
          <w:ilvl w:val="0"/>
          <w:numId w:val="0"/>
        </w:numPr>
        <w:ind w:left="1560"/>
      </w:pPr>
      <w:r w:rsidRPr="00A574EC">
        <w:t xml:space="preserve">Název: </w:t>
      </w:r>
      <w:r w:rsidRPr="00010E97">
        <w:rPr>
          <w:rFonts w:eastAsia="Calibri"/>
          <w:highlight w:val="yellow"/>
          <w:lang w:val="en-US"/>
        </w:rPr>
        <w:t>[</w:t>
      </w:r>
      <w:r w:rsidRPr="00010E97">
        <w:rPr>
          <w:rFonts w:eastAsia="Calibri"/>
          <w:highlight w:val="yellow"/>
        </w:rPr>
        <w:t>DOPLNÍ DODAVATEL]</w:t>
      </w:r>
    </w:p>
    <w:p w14:paraId="65E540E4" w14:textId="77777777" w:rsidR="00D377B0" w:rsidRDefault="00D377B0" w:rsidP="00D377B0">
      <w:pPr>
        <w:pStyle w:val="Nadpis3"/>
        <w:numPr>
          <w:ilvl w:val="0"/>
          <w:numId w:val="0"/>
        </w:numPr>
        <w:ind w:left="1560"/>
      </w:pPr>
      <w:r>
        <w:t xml:space="preserve">Adresa: </w:t>
      </w:r>
      <w:r w:rsidRPr="00010E97">
        <w:rPr>
          <w:rFonts w:eastAsia="Calibri"/>
          <w:highlight w:val="yellow"/>
          <w:lang w:val="en-US"/>
        </w:rPr>
        <w:t>[</w:t>
      </w:r>
      <w:r w:rsidRPr="00010E97">
        <w:rPr>
          <w:rFonts w:eastAsia="Calibri"/>
          <w:highlight w:val="yellow"/>
        </w:rPr>
        <w:t>DOPLNÍ DODAVATEL]</w:t>
      </w:r>
    </w:p>
    <w:p w14:paraId="26F760B1" w14:textId="77777777"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Pr="00520E18">
        <w:rPr>
          <w:rStyle w:val="TMNormlnModrChar"/>
          <w:rFonts w:ascii="Verdana" w:eastAsiaTheme="minorHAnsi" w:hAnsi="Verdana" w:cs="Arial"/>
          <w:color w:val="auto"/>
        </w:rPr>
        <w:t>Poskytovatele</w:t>
      </w:r>
    </w:p>
    <w:p w14:paraId="7B45356C" w14:textId="77777777" w:rsidR="00D377B0" w:rsidRPr="003958C3" w:rsidRDefault="00D377B0" w:rsidP="00D377B0">
      <w:pPr>
        <w:pStyle w:val="Nadpis3"/>
        <w:numPr>
          <w:ilvl w:val="0"/>
          <w:numId w:val="0"/>
        </w:numPr>
        <w:ind w:left="1560"/>
        <w:rPr>
          <w:rFonts w:eastAsia="Calibri"/>
        </w:rPr>
      </w:pPr>
      <w:r>
        <w:rPr>
          <w:rFonts w:eastAsia="Calibri"/>
        </w:rPr>
        <w:t xml:space="preserve">Datová schránka: </w:t>
      </w:r>
      <w:r w:rsidRPr="00010E97">
        <w:rPr>
          <w:rFonts w:eastAsia="Calibri"/>
          <w:highlight w:val="yellow"/>
          <w:lang w:val="en-US"/>
        </w:rPr>
        <w:t>[</w:t>
      </w:r>
      <w:r w:rsidRPr="00010E97">
        <w:rPr>
          <w:rFonts w:eastAsia="Calibri"/>
          <w:highlight w:val="yellow"/>
        </w:rPr>
        <w:t>DOPLNÍ DODAVATEL]</w:t>
      </w:r>
    </w:p>
    <w:p w14:paraId="291F693F" w14:textId="77777777" w:rsidR="00D377B0" w:rsidRPr="00E425C5" w:rsidRDefault="00D377B0" w:rsidP="00E425C5">
      <w:pPr>
        <w:pStyle w:val="Nadpis2"/>
      </w:pPr>
      <w:r w:rsidRPr="00E425C5">
        <w:t>Účinnost oznámení nastává v pracovní den následující po dni doručení tohoto oznámení druhé Smluvní straně, není-li ve Smlouvě v konkrétním případě stanoveno jinak.</w:t>
      </w:r>
    </w:p>
    <w:p w14:paraId="351556DA" w14:textId="23478A98"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rsidR="006039FD">
        <w:t>O</w:t>
      </w:r>
      <w:r w:rsidRPr="00E425C5">
        <w:t>právněných osob v kopii:</w:t>
      </w:r>
    </w:p>
    <w:p w14:paraId="0EB1AF2F" w14:textId="1ACC3A21" w:rsidR="00D377B0" w:rsidRPr="00E425C5" w:rsidRDefault="00D377B0" w:rsidP="00E425C5">
      <w:pPr>
        <w:pStyle w:val="Nadpis3"/>
      </w:pPr>
      <w:r w:rsidRPr="00E425C5">
        <w:t xml:space="preserve">Oprávněnou osobou </w:t>
      </w:r>
      <w:r w:rsidR="00E425C5">
        <w:t>Objednatele</w:t>
      </w:r>
      <w:r w:rsidRPr="00E425C5">
        <w:t xml:space="preserve"> je:</w:t>
      </w:r>
    </w:p>
    <w:p w14:paraId="519A4436" w14:textId="0DE2E845" w:rsidR="00D377B0" w:rsidRDefault="00D377B0" w:rsidP="00D377B0">
      <w:pPr>
        <w:pStyle w:val="Nadpis3"/>
        <w:numPr>
          <w:ilvl w:val="0"/>
          <w:numId w:val="0"/>
        </w:numPr>
        <w:ind w:left="1560"/>
      </w:pPr>
      <w:r>
        <w:t>Jméno</w:t>
      </w:r>
      <w:r w:rsidRPr="00652604">
        <w:rPr>
          <w:highlight w:val="green"/>
        </w:rPr>
        <w:t xml:space="preserve">: </w:t>
      </w:r>
      <w:r w:rsidR="00652604" w:rsidRPr="00652604">
        <w:rPr>
          <w:rFonts w:eastAsia="Calibri"/>
          <w:highlight w:val="green"/>
          <w:lang w:val="en-US"/>
        </w:rPr>
        <w:t>[</w:t>
      </w:r>
      <w:r w:rsidR="00652604" w:rsidRPr="00652604">
        <w:rPr>
          <w:rFonts w:eastAsia="Calibri"/>
          <w:highlight w:val="green"/>
        </w:rPr>
        <w:t>DOPLNÍ ZADAVATEL]</w:t>
      </w:r>
    </w:p>
    <w:p w14:paraId="2637B6EB" w14:textId="0424F393" w:rsidR="00D377B0" w:rsidRDefault="00D377B0" w:rsidP="00D377B0">
      <w:pPr>
        <w:pStyle w:val="Nadpis3"/>
        <w:numPr>
          <w:ilvl w:val="0"/>
          <w:numId w:val="0"/>
        </w:numPr>
        <w:ind w:left="1560"/>
      </w:pPr>
      <w:r>
        <w:t xml:space="preserve">E-mail: </w:t>
      </w:r>
      <w:r w:rsidR="00652604" w:rsidRPr="00652604">
        <w:rPr>
          <w:rFonts w:eastAsia="Calibri"/>
          <w:highlight w:val="green"/>
          <w:lang w:val="en-US"/>
        </w:rPr>
        <w:t>[</w:t>
      </w:r>
      <w:r w:rsidR="00652604" w:rsidRPr="00652604">
        <w:rPr>
          <w:rFonts w:eastAsia="Calibri"/>
          <w:highlight w:val="green"/>
        </w:rPr>
        <w:t>DOPLNÍ ZADAVATEL]</w:t>
      </w:r>
    </w:p>
    <w:p w14:paraId="42710D0B" w14:textId="75C0502A" w:rsidR="00D377B0" w:rsidRDefault="00D377B0" w:rsidP="00D377B0">
      <w:pPr>
        <w:pStyle w:val="Nadpis3"/>
        <w:numPr>
          <w:ilvl w:val="0"/>
          <w:numId w:val="0"/>
        </w:numPr>
        <w:ind w:left="1560"/>
      </w:pPr>
      <w:r>
        <w:t xml:space="preserve">Telefon: </w:t>
      </w:r>
      <w:r w:rsidR="00652604" w:rsidRPr="00652604">
        <w:rPr>
          <w:rFonts w:eastAsia="Calibri"/>
          <w:highlight w:val="green"/>
          <w:lang w:val="en-US"/>
        </w:rPr>
        <w:t>[</w:t>
      </w:r>
      <w:r w:rsidR="00652604" w:rsidRPr="00652604">
        <w:rPr>
          <w:rFonts w:eastAsia="Calibri"/>
          <w:highlight w:val="green"/>
        </w:rPr>
        <w:t>DOPLNÍ ZADAVATEL]</w:t>
      </w:r>
    </w:p>
    <w:p w14:paraId="060E3744" w14:textId="77777777" w:rsidR="00D377B0" w:rsidRPr="00E425C5" w:rsidRDefault="00D377B0" w:rsidP="00E425C5">
      <w:pPr>
        <w:pStyle w:val="Nadpis3"/>
      </w:pPr>
      <w:r w:rsidRPr="00E425C5">
        <w:t xml:space="preserve">Oprávněnou osobou </w:t>
      </w:r>
      <w:r w:rsidRPr="00E425C5">
        <w:rPr>
          <w:rStyle w:val="TMNormlnModrChar"/>
          <w:rFonts w:ascii="Verdana" w:eastAsiaTheme="minorHAnsi" w:hAnsi="Verdana" w:cstheme="minorBidi"/>
          <w:color w:val="auto"/>
          <w:szCs w:val="22"/>
          <w:lang w:eastAsia="en-US"/>
        </w:rPr>
        <w:t>Poskytovatele</w:t>
      </w:r>
      <w:r w:rsidRPr="00E425C5">
        <w:t xml:space="preserve"> je:</w:t>
      </w:r>
    </w:p>
    <w:p w14:paraId="6A6ADE21" w14:textId="77777777" w:rsidR="00D377B0" w:rsidRDefault="00D377B0" w:rsidP="00D377B0">
      <w:pPr>
        <w:pStyle w:val="Nadpis3"/>
        <w:numPr>
          <w:ilvl w:val="0"/>
          <w:numId w:val="0"/>
        </w:numPr>
        <w:ind w:left="1560"/>
      </w:pPr>
      <w:r>
        <w:t xml:space="preserve">Jméno: </w:t>
      </w:r>
      <w:r w:rsidRPr="00010E97">
        <w:rPr>
          <w:rFonts w:eastAsia="Calibri"/>
          <w:highlight w:val="yellow"/>
          <w:lang w:val="en-US"/>
        </w:rPr>
        <w:t>[</w:t>
      </w:r>
      <w:r w:rsidRPr="00010E97">
        <w:rPr>
          <w:rFonts w:eastAsia="Calibri"/>
          <w:highlight w:val="yellow"/>
        </w:rPr>
        <w:t>DOPLNÍ DODAVATEL]</w:t>
      </w:r>
    </w:p>
    <w:p w14:paraId="20D87B32" w14:textId="77777777" w:rsidR="00D377B0" w:rsidRDefault="00D377B0" w:rsidP="00D377B0">
      <w:pPr>
        <w:pStyle w:val="Nadpis3"/>
        <w:numPr>
          <w:ilvl w:val="0"/>
          <w:numId w:val="0"/>
        </w:numPr>
        <w:ind w:left="1560"/>
      </w:pPr>
      <w:r>
        <w:t xml:space="preserve">E-mail: </w:t>
      </w:r>
      <w:r w:rsidRPr="00010E97">
        <w:rPr>
          <w:rFonts w:eastAsia="Calibri"/>
          <w:highlight w:val="yellow"/>
          <w:lang w:val="en-US"/>
        </w:rPr>
        <w:t>[</w:t>
      </w:r>
      <w:r w:rsidRPr="00010E97">
        <w:rPr>
          <w:rFonts w:eastAsia="Calibri"/>
          <w:highlight w:val="yellow"/>
        </w:rPr>
        <w:t>DOPLNÍ DODAVATEL]</w:t>
      </w:r>
    </w:p>
    <w:p w14:paraId="2BFAF386" w14:textId="77777777" w:rsidR="00D377B0" w:rsidRDefault="00D377B0" w:rsidP="00D377B0">
      <w:pPr>
        <w:pStyle w:val="Nadpis3"/>
        <w:numPr>
          <w:ilvl w:val="0"/>
          <w:numId w:val="0"/>
        </w:numPr>
        <w:ind w:left="1560"/>
      </w:pPr>
      <w:r>
        <w:t xml:space="preserve">Telefon: </w:t>
      </w:r>
      <w:r w:rsidRPr="00010E97">
        <w:rPr>
          <w:rFonts w:eastAsia="Calibri"/>
          <w:highlight w:val="yellow"/>
          <w:lang w:val="en-US"/>
        </w:rPr>
        <w:t>[</w:t>
      </w:r>
      <w:r w:rsidRPr="00010E97">
        <w:rPr>
          <w:rFonts w:eastAsia="Calibri"/>
          <w:highlight w:val="yellow"/>
        </w:rPr>
        <w:t>DOPLNÍ DODAVATEL]</w:t>
      </w:r>
    </w:p>
    <w:p w14:paraId="555D24A9" w14:textId="7F841C17" w:rsidR="00D377B0" w:rsidRPr="00E425C5" w:rsidRDefault="00D377B0" w:rsidP="00E425C5">
      <w:pPr>
        <w:pStyle w:val="Nadpis2"/>
      </w:pPr>
      <w:r w:rsidRPr="00E425C5">
        <w:t xml:space="preserve">Ke změně nebo ukončení Smlouvy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Smlouvy nebo ukončení Smlouvy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7DEB1E6" w14:textId="62AC0B09" w:rsidR="00D377B0" w:rsidRPr="00E425C5" w:rsidRDefault="00D377B0" w:rsidP="00E425C5">
      <w:pPr>
        <w:pStyle w:val="Nadpis2"/>
      </w:pPr>
      <w:r w:rsidRPr="00E425C5">
        <w:lastRenderedPageBreak/>
        <w:t xml:space="preserve">Obě Smluvní strany souhlasí s tím, že podepsaná Smlouva (včetně příloh), jakož i její text, může být v elektronické formě zveřejněna na profilu </w:t>
      </w:r>
      <w:r w:rsidR="00BF406D">
        <w:t>Objednatele</w:t>
      </w:r>
      <w:r w:rsidRPr="00E425C5">
        <w:t xml:space="preserve"> ve smyslu ZZVZ, a dále v souladu s povinnostmi vyplývajícími z právních předpisů, a to bez časového omezení. </w:t>
      </w:r>
      <w:r w:rsidR="00BF406D">
        <w:t>Objednatel</w:t>
      </w:r>
      <w:r w:rsidRPr="00E425C5">
        <w:t xml:space="preserve"> se zavazuje, že Smlouvu v souladu se Zákonem o registru smluv uveřejní v registru smluv. Smluvní strany prohlašují, že tato Smlouva (vč. příloh) neobsahuje obchodní tajemství.</w:t>
      </w:r>
    </w:p>
    <w:p w14:paraId="455BB193" w14:textId="77777777" w:rsidR="00D377B0" w:rsidRPr="00E425C5" w:rsidRDefault="00D377B0" w:rsidP="00E425C5">
      <w:pPr>
        <w:pStyle w:val="Nadpis2"/>
      </w:pPr>
      <w:r w:rsidRPr="00E425C5">
        <w:t xml:space="preserve">Tato Smlouva se řídí Občanským zákoníkem a dalšími příslušnými právními předpisy České republiky. </w:t>
      </w:r>
    </w:p>
    <w:p w14:paraId="69B83941" w14:textId="77777777" w:rsidR="00D377B0" w:rsidRPr="00E425C5" w:rsidRDefault="00D377B0" w:rsidP="00E425C5">
      <w:pPr>
        <w:pStyle w:val="Nadpis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B795F2F" w14:textId="77777777" w:rsidR="00D377B0" w:rsidRPr="00E425C5" w:rsidRDefault="00D377B0" w:rsidP="00E425C5">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14:paraId="5A456F7B" w14:textId="503A9EF5"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4D2A09E" w14:textId="438E70EF" w:rsidR="00D377B0" w:rsidRPr="00E425C5" w:rsidRDefault="00D377B0" w:rsidP="00E425C5">
      <w:pPr>
        <w:pStyle w:val="Nadpis2"/>
      </w:pPr>
      <w:r w:rsidRPr="00E425C5">
        <w:t xml:space="preserve">Změny nebo doplňky této Smlouvy včetně příloh musejí být vyhotoveny písemně formou dodatku, datovány a podepsány oběma Smluvními stranami s podpisy Smluvních stran na jedné </w:t>
      </w:r>
      <w:r w:rsidR="00287A03">
        <w:t>písemnosti</w:t>
      </w:r>
      <w:r w:rsidRPr="00E425C5">
        <w:t>, ledaže Smlouva v konkrétním případě stanoví jinak.</w:t>
      </w:r>
    </w:p>
    <w:p w14:paraId="0F68AC90" w14:textId="1FF0207B" w:rsidR="00D377B0" w:rsidRPr="00E425C5" w:rsidRDefault="00D377B0" w:rsidP="00E425C5">
      <w:pPr>
        <w:pStyle w:val="Nadpis2"/>
      </w:pPr>
      <w:r w:rsidRPr="00E425C5">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287A03">
        <w:t>, přičemž rozhodným právem je právo české</w:t>
      </w:r>
      <w:r w:rsidRPr="00E425C5">
        <w:t>.</w:t>
      </w:r>
    </w:p>
    <w:p w14:paraId="3DB0B7A6" w14:textId="4E274FA2" w:rsidR="00D377B0" w:rsidRPr="00E425C5"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77777777"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výslovně prohlašuje, že se podrobně seznámil se všemi dokumenty týkajícími se Plnění, a že žádné z ustanovení tam uvedených nepovažuje za takové, které by nemohl rozumně předpokládat. </w:t>
      </w:r>
    </w:p>
    <w:p w14:paraId="03516631" w14:textId="25E01B89" w:rsidR="00D377B0" w:rsidRPr="00E425C5" w:rsidRDefault="00D377B0" w:rsidP="00E425C5">
      <w:pPr>
        <w:pStyle w:val="Nadpis2"/>
      </w:pPr>
      <w:r w:rsidRPr="00E425C5">
        <w:t>Smlouva se vyhotovuje ve 3 stejnopisech v českém jazyce, z nichž každý má platnost originálu a </w:t>
      </w:r>
      <w:r w:rsidR="000A62C2">
        <w:t>Objednatel</w:t>
      </w:r>
      <w:r w:rsidRPr="00E425C5">
        <w:t xml:space="preserve"> obdrží 2 vyhotovení a </w:t>
      </w:r>
      <w:r w:rsidR="000A62C2">
        <w:t xml:space="preserve">Poskytovatel </w:t>
      </w:r>
      <w:r w:rsidRPr="00E425C5">
        <w:t>1 vyhotovení.</w:t>
      </w:r>
    </w:p>
    <w:p w14:paraId="0DB4FA51" w14:textId="680679FF" w:rsidR="00915CDD" w:rsidRDefault="00D377B0" w:rsidP="00915CDD">
      <w:pPr>
        <w:pStyle w:val="Nadpis2"/>
      </w:pPr>
      <w:r w:rsidRPr="00E425C5">
        <w:t>Tato Smlouva nabývá platnosti dnem podpisu oběma Smluvními stranami a účinnosti dnem zveřejnění v registru smluv</w:t>
      </w:r>
      <w:r w:rsidR="00C120F8">
        <w:t>.</w:t>
      </w:r>
    </w:p>
    <w:p w14:paraId="5B83223F" w14:textId="7A28FBD2" w:rsidR="00C120F8" w:rsidRDefault="00C120F8" w:rsidP="00C120F8">
      <w:pPr>
        <w:pStyle w:val="Nadpis2"/>
      </w:pPr>
      <w:r>
        <w:t>Nedílnou součást Smlouvy tvoří tyto přílohy:</w:t>
      </w:r>
    </w:p>
    <w:p w14:paraId="11519E95" w14:textId="741CAA28" w:rsidR="00C120F8" w:rsidRDefault="00C120F8" w:rsidP="00C120F8">
      <w:pPr>
        <w:pStyle w:val="Nadpis3"/>
        <w:numPr>
          <w:ilvl w:val="0"/>
          <w:numId w:val="0"/>
        </w:numPr>
        <w:ind w:left="1560" w:hanging="851"/>
      </w:pPr>
      <w:r>
        <w:t>Příloha č. 1 – Sp</w:t>
      </w:r>
      <w:r w:rsidR="001F5986">
        <w:t>eci</w:t>
      </w:r>
      <w:r>
        <w:t xml:space="preserve">fikace Plnění a </w:t>
      </w:r>
      <w:r w:rsidR="001F5986">
        <w:t>Ceny za Plnění</w:t>
      </w:r>
    </w:p>
    <w:p w14:paraId="0AB8B247" w14:textId="6A9BF714" w:rsidR="00B70748" w:rsidRDefault="00B70748" w:rsidP="00B70748"/>
    <w:p w14:paraId="7C629753" w14:textId="6D543BEB" w:rsidR="00B70748" w:rsidRDefault="00B70748" w:rsidP="00B70748"/>
    <w:p w14:paraId="538B8E72" w14:textId="2BE490CB" w:rsidR="00B70748" w:rsidRDefault="00B70748" w:rsidP="00B70748"/>
    <w:p w14:paraId="7A938C5E" w14:textId="77777777" w:rsidR="00B70748" w:rsidRPr="00B70748" w:rsidRDefault="00B70748" w:rsidP="00B70748"/>
    <w:p w14:paraId="7BF75888" w14:textId="2272C4BE" w:rsidR="00C120F8" w:rsidRPr="00C120F8" w:rsidRDefault="00D377B0" w:rsidP="00C120F8">
      <w:pPr>
        <w:pStyle w:val="Nadpis2"/>
      </w:pPr>
      <w:r w:rsidRPr="00E425C5">
        <w:lastRenderedPageBreak/>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423C0B04" w14:textId="77777777" w:rsidR="00FC2612" w:rsidRPr="00FC2612" w:rsidRDefault="00FC2612" w:rsidP="00FC2612"/>
    <w:tbl>
      <w:tblPr>
        <w:tblW w:w="4900" w:type="pct"/>
        <w:tblInd w:w="2" w:type="dxa"/>
        <w:tblLook w:val="01E0" w:firstRow="1" w:lastRow="1" w:firstColumn="1" w:lastColumn="1" w:noHBand="0" w:noVBand="0"/>
      </w:tblPr>
      <w:tblGrid>
        <w:gridCol w:w="387"/>
        <w:gridCol w:w="1816"/>
        <w:gridCol w:w="686"/>
        <w:gridCol w:w="1509"/>
        <w:gridCol w:w="417"/>
        <w:gridCol w:w="424"/>
        <w:gridCol w:w="1611"/>
        <w:gridCol w:w="605"/>
        <w:gridCol w:w="1436"/>
      </w:tblGrid>
      <w:tr w:rsidR="00B95567" w:rsidRPr="007B5B47" w14:paraId="02B8E3AB" w14:textId="77777777" w:rsidTr="00DD7277">
        <w:tc>
          <w:tcPr>
            <w:tcW w:w="4501" w:type="dxa"/>
            <w:gridSpan w:val="4"/>
            <w:vAlign w:val="center"/>
          </w:tcPr>
          <w:p w14:paraId="2265C65B" w14:textId="77777777" w:rsidR="00B95567" w:rsidRDefault="00703C83" w:rsidP="00DD7277">
            <w:pPr>
              <w:keepNext/>
              <w:keepLines/>
              <w:spacing w:after="0" w:line="360" w:lineRule="auto"/>
              <w:rPr>
                <w:rFonts w:cs="Arial"/>
                <w:szCs w:val="18"/>
              </w:rPr>
            </w:pPr>
            <w:r>
              <w:rPr>
                <w:rFonts w:cs="Arial"/>
                <w:szCs w:val="18"/>
              </w:rPr>
              <w:t>Za O</w:t>
            </w:r>
            <w:r w:rsidR="00B95567" w:rsidRPr="007B5B47">
              <w:rPr>
                <w:rFonts w:cs="Arial"/>
                <w:szCs w:val="18"/>
              </w:rPr>
              <w:t>bjednatele:</w:t>
            </w:r>
          </w:p>
          <w:p w14:paraId="3577462F" w14:textId="77777777" w:rsidR="00384A97" w:rsidRPr="007B5B47" w:rsidRDefault="00384A97" w:rsidP="00DD7277">
            <w:pPr>
              <w:keepNext/>
              <w:keepLines/>
              <w:spacing w:after="0" w:line="360" w:lineRule="auto"/>
              <w:rPr>
                <w:rFonts w:cs="Arial"/>
                <w:szCs w:val="18"/>
              </w:rPr>
            </w:pPr>
          </w:p>
        </w:tc>
        <w:tc>
          <w:tcPr>
            <w:tcW w:w="425" w:type="dxa"/>
            <w:vAlign w:val="center"/>
          </w:tcPr>
          <w:p w14:paraId="3BCC4A99" w14:textId="77777777" w:rsidR="00B95567" w:rsidRPr="007B5B47" w:rsidRDefault="00B95567" w:rsidP="00DD7277">
            <w:pPr>
              <w:keepNext/>
              <w:keepLines/>
              <w:spacing w:after="0" w:line="360" w:lineRule="auto"/>
              <w:rPr>
                <w:rFonts w:cs="Arial"/>
                <w:szCs w:val="18"/>
              </w:rPr>
            </w:pPr>
          </w:p>
        </w:tc>
        <w:tc>
          <w:tcPr>
            <w:tcW w:w="4176" w:type="dxa"/>
            <w:gridSpan w:val="4"/>
            <w:vAlign w:val="center"/>
          </w:tcPr>
          <w:p w14:paraId="27569B09" w14:textId="77777777" w:rsidR="00B95567" w:rsidRDefault="00703C83" w:rsidP="00DD7277">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p w14:paraId="40867EBD" w14:textId="77777777" w:rsidR="00384A97" w:rsidRPr="007B5B47" w:rsidRDefault="00384A97" w:rsidP="00DD7277">
            <w:pPr>
              <w:keepNext/>
              <w:keepLines/>
              <w:spacing w:after="0" w:line="360" w:lineRule="auto"/>
              <w:rPr>
                <w:rFonts w:cs="Arial"/>
                <w:szCs w:val="18"/>
              </w:rPr>
            </w:pPr>
          </w:p>
        </w:tc>
      </w:tr>
      <w:tr w:rsidR="00B95567" w:rsidRPr="007B5B47" w14:paraId="09740050" w14:textId="77777777" w:rsidTr="00DD7277">
        <w:tc>
          <w:tcPr>
            <w:tcW w:w="390" w:type="dxa"/>
            <w:vAlign w:val="center"/>
          </w:tcPr>
          <w:p w14:paraId="0A02C3C8" w14:textId="77777777" w:rsidR="00B95567" w:rsidRPr="007B5B47" w:rsidRDefault="00B95567" w:rsidP="00DD7277">
            <w:pPr>
              <w:keepNext/>
              <w:keepLines/>
              <w:spacing w:after="0" w:line="360" w:lineRule="auto"/>
              <w:rPr>
                <w:rFonts w:cs="Arial"/>
                <w:szCs w:val="18"/>
              </w:rPr>
            </w:pPr>
            <w:r w:rsidRPr="007B5B47">
              <w:rPr>
                <w:rFonts w:cs="Arial"/>
                <w:szCs w:val="18"/>
              </w:rPr>
              <w:t>V</w:t>
            </w:r>
          </w:p>
        </w:tc>
        <w:tc>
          <w:tcPr>
            <w:tcW w:w="1860" w:type="dxa"/>
            <w:tcBorders>
              <w:bottom w:val="single" w:sz="4" w:space="0" w:color="auto"/>
            </w:tcBorders>
            <w:vAlign w:val="center"/>
          </w:tcPr>
          <w:p w14:paraId="271D8D07" w14:textId="77777777" w:rsidR="00B95567" w:rsidRPr="007B5B47" w:rsidRDefault="00B95567" w:rsidP="00DD7277">
            <w:pPr>
              <w:keepNext/>
              <w:keepLines/>
              <w:spacing w:after="0" w:line="360" w:lineRule="auto"/>
              <w:rPr>
                <w:rFonts w:cs="Arial"/>
                <w:szCs w:val="18"/>
              </w:rPr>
            </w:pPr>
            <w:r>
              <w:rPr>
                <w:rFonts w:cs="Arial"/>
                <w:szCs w:val="18"/>
              </w:rPr>
              <w:t>Praze</w:t>
            </w:r>
          </w:p>
        </w:tc>
        <w:tc>
          <w:tcPr>
            <w:tcW w:w="691" w:type="dxa"/>
            <w:vAlign w:val="center"/>
          </w:tcPr>
          <w:p w14:paraId="33B806F2" w14:textId="77777777" w:rsidR="00B95567" w:rsidRPr="007B5B47" w:rsidRDefault="00B95567" w:rsidP="00DD7277">
            <w:pPr>
              <w:keepNext/>
              <w:keepLines/>
              <w:spacing w:after="0" w:line="360" w:lineRule="auto"/>
              <w:rPr>
                <w:rFonts w:cs="Arial"/>
                <w:szCs w:val="18"/>
              </w:rPr>
            </w:pPr>
            <w:r w:rsidRPr="007B5B47">
              <w:rPr>
                <w:rFonts w:cs="Arial"/>
                <w:szCs w:val="18"/>
              </w:rPr>
              <w:t>dne</w:t>
            </w:r>
          </w:p>
        </w:tc>
        <w:tc>
          <w:tcPr>
            <w:tcW w:w="1560" w:type="dxa"/>
            <w:tcBorders>
              <w:bottom w:val="single" w:sz="4" w:space="0" w:color="auto"/>
            </w:tcBorders>
            <w:vAlign w:val="center"/>
          </w:tcPr>
          <w:p w14:paraId="35EF5276" w14:textId="77777777" w:rsidR="00B95567" w:rsidRPr="007B5B47" w:rsidRDefault="00B95567" w:rsidP="00DD7277">
            <w:pPr>
              <w:keepNext/>
              <w:keepLines/>
              <w:spacing w:after="0" w:line="360" w:lineRule="auto"/>
              <w:rPr>
                <w:rFonts w:cs="Arial"/>
                <w:szCs w:val="18"/>
              </w:rPr>
            </w:pPr>
          </w:p>
        </w:tc>
        <w:tc>
          <w:tcPr>
            <w:tcW w:w="425" w:type="dxa"/>
            <w:vAlign w:val="center"/>
          </w:tcPr>
          <w:p w14:paraId="393B4136" w14:textId="77777777" w:rsidR="00B95567" w:rsidRPr="007B5B47" w:rsidRDefault="00B95567" w:rsidP="00DD7277">
            <w:pPr>
              <w:keepNext/>
              <w:keepLines/>
              <w:spacing w:after="0" w:line="360" w:lineRule="auto"/>
              <w:rPr>
                <w:rFonts w:cs="Arial"/>
                <w:szCs w:val="18"/>
              </w:rPr>
            </w:pPr>
          </w:p>
        </w:tc>
        <w:tc>
          <w:tcPr>
            <w:tcW w:w="425" w:type="dxa"/>
            <w:vAlign w:val="center"/>
          </w:tcPr>
          <w:p w14:paraId="31418996" w14:textId="77777777" w:rsidR="00B95567" w:rsidRPr="007B5B47" w:rsidRDefault="00B95567" w:rsidP="00DD7277">
            <w:pPr>
              <w:keepNext/>
              <w:keepLines/>
              <w:spacing w:after="0" w:line="360" w:lineRule="auto"/>
              <w:rPr>
                <w:rFonts w:cs="Arial"/>
                <w:szCs w:val="18"/>
              </w:rPr>
            </w:pPr>
            <w:r w:rsidRPr="007B5B47">
              <w:rPr>
                <w:rFonts w:cs="Arial"/>
                <w:szCs w:val="18"/>
              </w:rPr>
              <w:t>V</w:t>
            </w:r>
          </w:p>
        </w:tc>
        <w:tc>
          <w:tcPr>
            <w:tcW w:w="1663" w:type="dxa"/>
            <w:tcBorders>
              <w:bottom w:val="single" w:sz="4" w:space="0" w:color="auto"/>
            </w:tcBorders>
            <w:vAlign w:val="center"/>
          </w:tcPr>
          <w:p w14:paraId="3A481895" w14:textId="77777777" w:rsidR="00B95567" w:rsidRPr="007B5B47" w:rsidRDefault="00B95567" w:rsidP="00DD7277">
            <w:pPr>
              <w:keepNext/>
              <w:keepLines/>
              <w:spacing w:after="0" w:line="360" w:lineRule="auto"/>
              <w:rPr>
                <w:rFonts w:cs="Arial"/>
                <w:szCs w:val="18"/>
              </w:rPr>
            </w:pPr>
          </w:p>
        </w:tc>
        <w:tc>
          <w:tcPr>
            <w:tcW w:w="605" w:type="dxa"/>
            <w:vAlign w:val="center"/>
          </w:tcPr>
          <w:p w14:paraId="7AE3E4D7" w14:textId="77777777" w:rsidR="00B95567" w:rsidRPr="007B5B47" w:rsidRDefault="00B95567" w:rsidP="00DD7277">
            <w:pPr>
              <w:keepNext/>
              <w:keepLines/>
              <w:spacing w:after="0" w:line="360" w:lineRule="auto"/>
              <w:rPr>
                <w:rFonts w:cs="Arial"/>
                <w:szCs w:val="18"/>
              </w:rPr>
            </w:pPr>
            <w:r w:rsidRPr="007B5B47">
              <w:rPr>
                <w:rFonts w:cs="Arial"/>
                <w:szCs w:val="18"/>
              </w:rPr>
              <w:t>dne</w:t>
            </w:r>
          </w:p>
        </w:tc>
        <w:tc>
          <w:tcPr>
            <w:tcW w:w="1483" w:type="dxa"/>
            <w:tcBorders>
              <w:bottom w:val="single" w:sz="4" w:space="0" w:color="auto"/>
            </w:tcBorders>
            <w:vAlign w:val="center"/>
          </w:tcPr>
          <w:p w14:paraId="13CF0EB5" w14:textId="77777777" w:rsidR="00B95567" w:rsidRPr="007B5B47" w:rsidRDefault="00B95567" w:rsidP="00DD7277">
            <w:pPr>
              <w:keepNext/>
              <w:keepLines/>
              <w:spacing w:after="0" w:line="360" w:lineRule="auto"/>
              <w:rPr>
                <w:rFonts w:cs="Arial"/>
                <w:szCs w:val="18"/>
              </w:rPr>
            </w:pPr>
          </w:p>
        </w:tc>
      </w:tr>
      <w:tr w:rsidR="00B95567" w:rsidRPr="007B5B47" w14:paraId="15600AEE" w14:textId="77777777" w:rsidTr="00DD7277">
        <w:tc>
          <w:tcPr>
            <w:tcW w:w="4501" w:type="dxa"/>
            <w:gridSpan w:val="4"/>
            <w:tcBorders>
              <w:bottom w:val="single" w:sz="4" w:space="0" w:color="auto"/>
            </w:tcBorders>
          </w:tcPr>
          <w:p w14:paraId="423CA646" w14:textId="77777777" w:rsidR="00B95567" w:rsidRPr="007B5B47" w:rsidRDefault="00B95567" w:rsidP="00DD7277">
            <w:pPr>
              <w:keepNext/>
              <w:keepLines/>
              <w:spacing w:after="0" w:line="360" w:lineRule="auto"/>
              <w:jc w:val="center"/>
              <w:rPr>
                <w:rFonts w:cs="Arial"/>
                <w:szCs w:val="18"/>
              </w:rPr>
            </w:pPr>
          </w:p>
          <w:p w14:paraId="2BC3A186" w14:textId="77777777" w:rsidR="00B95567" w:rsidRPr="007B5B47" w:rsidRDefault="00B95567" w:rsidP="00DD7277">
            <w:pPr>
              <w:keepNext/>
              <w:keepLines/>
              <w:spacing w:after="0" w:line="360" w:lineRule="auto"/>
              <w:jc w:val="center"/>
              <w:rPr>
                <w:rFonts w:cs="Arial"/>
                <w:szCs w:val="18"/>
              </w:rPr>
            </w:pPr>
          </w:p>
          <w:p w14:paraId="0B186035" w14:textId="77777777" w:rsidR="00B95567" w:rsidRPr="007B5B47" w:rsidRDefault="00B95567" w:rsidP="00DD7277">
            <w:pPr>
              <w:keepNext/>
              <w:keepLines/>
              <w:spacing w:after="0" w:line="360" w:lineRule="auto"/>
              <w:jc w:val="center"/>
              <w:rPr>
                <w:rFonts w:cs="Arial"/>
                <w:szCs w:val="18"/>
              </w:rPr>
            </w:pPr>
          </w:p>
          <w:p w14:paraId="412F9284" w14:textId="77777777" w:rsidR="00B95567" w:rsidRPr="007B5B47" w:rsidRDefault="00B95567" w:rsidP="00DD7277">
            <w:pPr>
              <w:keepNext/>
              <w:keepLines/>
              <w:spacing w:after="0" w:line="360" w:lineRule="auto"/>
              <w:jc w:val="center"/>
              <w:rPr>
                <w:rFonts w:cs="Arial"/>
                <w:szCs w:val="18"/>
              </w:rPr>
            </w:pPr>
          </w:p>
        </w:tc>
        <w:tc>
          <w:tcPr>
            <w:tcW w:w="425" w:type="dxa"/>
          </w:tcPr>
          <w:p w14:paraId="5914B3CF" w14:textId="77777777" w:rsidR="00B95567" w:rsidRPr="007B5B47" w:rsidRDefault="00B95567" w:rsidP="00DD7277">
            <w:pPr>
              <w:keepNext/>
              <w:keepLines/>
              <w:spacing w:after="0" w:line="360" w:lineRule="auto"/>
              <w:jc w:val="center"/>
              <w:rPr>
                <w:rFonts w:cs="Arial"/>
                <w:szCs w:val="18"/>
              </w:rPr>
            </w:pPr>
          </w:p>
        </w:tc>
        <w:tc>
          <w:tcPr>
            <w:tcW w:w="4176" w:type="dxa"/>
            <w:gridSpan w:val="4"/>
            <w:tcBorders>
              <w:bottom w:val="single" w:sz="4" w:space="0" w:color="auto"/>
            </w:tcBorders>
          </w:tcPr>
          <w:p w14:paraId="0A42EE95" w14:textId="77777777" w:rsidR="00B95567" w:rsidRPr="007B5B47" w:rsidRDefault="00B95567" w:rsidP="00DD7277">
            <w:pPr>
              <w:keepNext/>
              <w:keepLines/>
              <w:spacing w:after="0" w:line="360" w:lineRule="auto"/>
              <w:jc w:val="center"/>
              <w:rPr>
                <w:rFonts w:cs="Arial"/>
                <w:szCs w:val="18"/>
              </w:rPr>
            </w:pPr>
          </w:p>
          <w:p w14:paraId="44C79090" w14:textId="77777777" w:rsidR="00B95567" w:rsidRPr="007B5B47" w:rsidRDefault="00B95567" w:rsidP="00DD7277">
            <w:pPr>
              <w:keepNext/>
              <w:keepLines/>
              <w:spacing w:after="0" w:line="360" w:lineRule="auto"/>
              <w:jc w:val="center"/>
              <w:rPr>
                <w:rFonts w:cs="Arial"/>
                <w:szCs w:val="18"/>
              </w:rPr>
            </w:pPr>
          </w:p>
          <w:p w14:paraId="3701B443" w14:textId="77777777" w:rsidR="00B95567" w:rsidRPr="007B5B47" w:rsidRDefault="00B95567" w:rsidP="00DD7277">
            <w:pPr>
              <w:keepNext/>
              <w:keepLines/>
              <w:spacing w:after="0" w:line="360" w:lineRule="auto"/>
              <w:jc w:val="center"/>
              <w:rPr>
                <w:rFonts w:cs="Arial"/>
                <w:szCs w:val="18"/>
              </w:rPr>
            </w:pPr>
          </w:p>
          <w:p w14:paraId="576D40E9" w14:textId="77777777" w:rsidR="00B95567" w:rsidRPr="007B5B47" w:rsidRDefault="00B95567" w:rsidP="00DD7277">
            <w:pPr>
              <w:keepNext/>
              <w:keepLines/>
              <w:spacing w:after="0" w:line="360" w:lineRule="auto"/>
              <w:jc w:val="center"/>
              <w:rPr>
                <w:rFonts w:cs="Arial"/>
                <w:szCs w:val="18"/>
              </w:rPr>
            </w:pPr>
          </w:p>
        </w:tc>
      </w:tr>
      <w:tr w:rsidR="00B95567" w:rsidRPr="007B5B47" w14:paraId="25876906" w14:textId="77777777" w:rsidTr="00D93BE1">
        <w:trPr>
          <w:trHeight w:val="1266"/>
        </w:trPr>
        <w:tc>
          <w:tcPr>
            <w:tcW w:w="4501" w:type="dxa"/>
            <w:gridSpan w:val="4"/>
            <w:tcBorders>
              <w:top w:val="single" w:sz="4" w:space="0" w:color="auto"/>
            </w:tcBorders>
          </w:tcPr>
          <w:p w14:paraId="20900F99" w14:textId="77777777" w:rsidR="00084C7C" w:rsidRPr="00084C7C" w:rsidRDefault="00084C7C" w:rsidP="00084C7C">
            <w:pPr>
              <w:pStyle w:val="Bezmezer"/>
              <w:jc w:val="center"/>
              <w:rPr>
                <w:b/>
              </w:rPr>
            </w:pPr>
            <w:r w:rsidRPr="00084C7C">
              <w:rPr>
                <w:b/>
              </w:rPr>
              <w:t>Mgr. Jakub Richter</w:t>
            </w:r>
          </w:p>
          <w:p w14:paraId="51B330D4" w14:textId="55164396" w:rsidR="00B95567" w:rsidRPr="007B5B47" w:rsidRDefault="00084C7C" w:rsidP="00DD7277">
            <w:pPr>
              <w:keepNext/>
              <w:keepLines/>
              <w:spacing w:after="0" w:line="240" w:lineRule="auto"/>
              <w:jc w:val="center"/>
              <w:rPr>
                <w:rFonts w:cs="Arial"/>
                <w:szCs w:val="18"/>
              </w:rPr>
            </w:pPr>
            <w:r w:rsidRPr="004D0A8B">
              <w:t>1.</w:t>
            </w:r>
            <w:r>
              <w:t xml:space="preserve"> </w:t>
            </w:r>
            <w:r w:rsidRPr="004D0A8B">
              <w:t>zástupce generálního ředitele</w:t>
            </w:r>
          </w:p>
          <w:p w14:paraId="62652375" w14:textId="77777777" w:rsidR="00B95567" w:rsidRPr="007B5B47" w:rsidRDefault="00B95567" w:rsidP="00DD7277">
            <w:pPr>
              <w:keepNext/>
              <w:keepLines/>
              <w:spacing w:after="0" w:line="240" w:lineRule="auto"/>
              <w:jc w:val="center"/>
              <w:rPr>
                <w:rFonts w:cs="Arial"/>
                <w:szCs w:val="18"/>
              </w:rPr>
            </w:pPr>
            <w:r w:rsidRPr="007B5B47">
              <w:rPr>
                <w:rFonts w:cs="Arial"/>
                <w:szCs w:val="18"/>
              </w:rPr>
              <w:t>Státní pokladna Centrum sdílených služeb, s. p.</w:t>
            </w:r>
          </w:p>
        </w:tc>
        <w:tc>
          <w:tcPr>
            <w:tcW w:w="425" w:type="dxa"/>
          </w:tcPr>
          <w:p w14:paraId="5D0E35AA" w14:textId="77777777" w:rsidR="00B95567" w:rsidRPr="007B5B47" w:rsidRDefault="00B95567" w:rsidP="00DD7277">
            <w:pPr>
              <w:keepNext/>
              <w:keepLines/>
              <w:spacing w:after="0" w:line="240" w:lineRule="auto"/>
              <w:jc w:val="center"/>
              <w:rPr>
                <w:rFonts w:cs="Arial"/>
                <w:szCs w:val="18"/>
              </w:rPr>
            </w:pPr>
          </w:p>
        </w:tc>
        <w:tc>
          <w:tcPr>
            <w:tcW w:w="4176" w:type="dxa"/>
            <w:gridSpan w:val="4"/>
            <w:tcBorders>
              <w:top w:val="single" w:sz="4" w:space="0" w:color="auto"/>
            </w:tcBorders>
          </w:tcPr>
          <w:p w14:paraId="052DA5C2" w14:textId="77777777" w:rsidR="00D93BE1" w:rsidRDefault="00D93BE1" w:rsidP="00DD7277">
            <w:pPr>
              <w:keepNext/>
              <w:keepLines/>
              <w:spacing w:after="0" w:line="240" w:lineRule="auto"/>
              <w:jc w:val="center"/>
              <w:rPr>
                <w:rFonts w:cs="Arial"/>
                <w:szCs w:val="18"/>
              </w:rPr>
            </w:pPr>
          </w:p>
          <w:p w14:paraId="433CC5A3" w14:textId="77777777" w:rsidR="00D93BE1" w:rsidRDefault="00D93BE1" w:rsidP="00DD7277">
            <w:pPr>
              <w:keepNext/>
              <w:keepLines/>
              <w:spacing w:after="0" w:line="240" w:lineRule="auto"/>
              <w:jc w:val="center"/>
              <w:rPr>
                <w:rFonts w:cs="Arial"/>
                <w:szCs w:val="18"/>
              </w:rPr>
            </w:pPr>
          </w:p>
          <w:p w14:paraId="0D76E6F8" w14:textId="1AD10B9D" w:rsidR="00B95567" w:rsidRPr="007B5B47" w:rsidRDefault="00D93BE1" w:rsidP="00DD7277">
            <w:pPr>
              <w:keepNext/>
              <w:keepLines/>
              <w:spacing w:after="0" w:line="240" w:lineRule="auto"/>
              <w:jc w:val="center"/>
              <w:rPr>
                <w:rFonts w:cs="Arial"/>
                <w:szCs w:val="18"/>
              </w:rPr>
            </w:pPr>
            <w:r w:rsidRPr="0014257B">
              <w:rPr>
                <w:szCs w:val="18"/>
                <w:highlight w:val="yellow"/>
              </w:rPr>
              <w:t xml:space="preserve">[DOPLNÍ </w:t>
            </w:r>
            <w:r w:rsidR="0009486B">
              <w:rPr>
                <w:highlight w:val="yellow"/>
              </w:rPr>
              <w:t>DODAVATEL</w:t>
            </w:r>
            <w:r w:rsidRPr="0014257B">
              <w:rPr>
                <w:szCs w:val="18"/>
                <w:highlight w:val="yellow"/>
              </w:rPr>
              <w:t>]</w:t>
            </w:r>
          </w:p>
        </w:tc>
      </w:tr>
    </w:tbl>
    <w:p w14:paraId="2AAD4EF5" w14:textId="77777777" w:rsidR="00976CFE" w:rsidRDefault="00976CFE" w:rsidP="002A590A">
      <w:pPr>
        <w:sectPr w:rsidR="00976CFE" w:rsidSect="00976CFE">
          <w:headerReference w:type="even" r:id="rId9"/>
          <w:headerReference w:type="default" r:id="rId10"/>
          <w:footerReference w:type="even" r:id="rId11"/>
          <w:footerReference w:type="default" r:id="rId12"/>
          <w:headerReference w:type="first" r:id="rId13"/>
          <w:footerReference w:type="first" r:id="rId14"/>
          <w:pgSz w:w="11906" w:h="16838"/>
          <w:pgMar w:top="788" w:right="1417" w:bottom="1417" w:left="1417" w:header="708" w:footer="708" w:gutter="0"/>
          <w:cols w:space="708"/>
          <w:titlePg/>
          <w:docGrid w:linePitch="360"/>
        </w:sectPr>
      </w:pPr>
    </w:p>
    <w:p w14:paraId="56D4D61B" w14:textId="4E73C16F" w:rsidR="000538AA" w:rsidRDefault="00976CFE" w:rsidP="002A590A">
      <w:r w:rsidRPr="00976CFE">
        <w:rPr>
          <w:highlight w:val="yellow"/>
        </w:rPr>
        <w:lastRenderedPageBreak/>
        <w:t xml:space="preserve">[dodavatel převezme vyplněnou </w:t>
      </w:r>
      <w:r>
        <w:rPr>
          <w:highlight w:val="yellow"/>
        </w:rPr>
        <w:t xml:space="preserve">kompletní </w:t>
      </w:r>
      <w:r w:rsidRPr="00976CFE">
        <w:rPr>
          <w:highlight w:val="yellow"/>
        </w:rPr>
        <w:t>přílohu č. 3 ze zadávací dokumentace]</w:t>
      </w:r>
    </w:p>
    <w:sectPr w:rsidR="000538AA" w:rsidSect="00976CFE">
      <w:headerReference w:type="default" r:id="rId15"/>
      <w:headerReference w:type="first" r:id="rId16"/>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72E1" w14:textId="77777777" w:rsidR="009260F4" w:rsidRDefault="009260F4" w:rsidP="002F4B17">
      <w:pPr>
        <w:spacing w:after="0" w:line="240" w:lineRule="auto"/>
      </w:pPr>
      <w:r>
        <w:separator/>
      </w:r>
    </w:p>
  </w:endnote>
  <w:endnote w:type="continuationSeparator" w:id="0">
    <w:p w14:paraId="34489422" w14:textId="77777777" w:rsidR="009260F4" w:rsidRDefault="009260F4" w:rsidP="002F4B17">
      <w:pPr>
        <w:spacing w:after="0" w:line="240" w:lineRule="auto"/>
      </w:pPr>
      <w:r>
        <w:continuationSeparator/>
      </w:r>
    </w:p>
  </w:endnote>
  <w:endnote w:type="continuationNotice" w:id="1">
    <w:p w14:paraId="247E18BF" w14:textId="77777777" w:rsidR="009260F4" w:rsidRDefault="00926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ews Serif EE">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2A27" w14:textId="77777777" w:rsidR="001C4CDF" w:rsidRDefault="001C4C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p w14:paraId="3EDDEE64" w14:textId="77777777" w:rsidR="000538AA" w:rsidRDefault="002A590A"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sidR="00084C7C">
          <w:rPr>
            <w:bCs/>
            <w:noProof/>
            <w:szCs w:val="18"/>
          </w:rPr>
          <w:t>6</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sidR="00084C7C">
          <w:rPr>
            <w:bCs/>
            <w:noProof/>
            <w:szCs w:val="18"/>
          </w:rPr>
          <w:t>6</w:t>
        </w:r>
        <w:r w:rsidRPr="007E4468">
          <w:rPr>
            <w:bCs/>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74C" w14:textId="77777777" w:rsidR="001C4CDF" w:rsidRDefault="001C4C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2D3A" w14:textId="77777777" w:rsidR="009260F4" w:rsidRDefault="009260F4" w:rsidP="002F4B17">
      <w:pPr>
        <w:spacing w:after="0" w:line="240" w:lineRule="auto"/>
      </w:pPr>
      <w:r>
        <w:separator/>
      </w:r>
    </w:p>
  </w:footnote>
  <w:footnote w:type="continuationSeparator" w:id="0">
    <w:p w14:paraId="34337FFE" w14:textId="77777777" w:rsidR="009260F4" w:rsidRDefault="009260F4" w:rsidP="002F4B17">
      <w:pPr>
        <w:spacing w:after="0" w:line="240" w:lineRule="auto"/>
      </w:pPr>
      <w:r>
        <w:continuationSeparator/>
      </w:r>
    </w:p>
  </w:footnote>
  <w:footnote w:type="continuationNotice" w:id="1">
    <w:p w14:paraId="4AB50348" w14:textId="77777777" w:rsidR="009260F4" w:rsidRDefault="00926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6F3F" w14:textId="77777777" w:rsidR="001C4CDF" w:rsidRDefault="001C4C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303ABF" w:rsidRPr="00885DF2" w14:paraId="3F8E841F" w14:textId="77777777" w:rsidTr="00880EBE">
      <w:trPr>
        <w:trHeight w:val="555"/>
      </w:trPr>
      <w:tc>
        <w:tcPr>
          <w:tcW w:w="2369" w:type="dxa"/>
          <w:vMerge w:val="restart"/>
          <w:shd w:val="clear" w:color="auto" w:fill="auto"/>
          <w:vAlign w:val="center"/>
        </w:tcPr>
        <w:p w14:paraId="6F0FBE8E" w14:textId="77777777" w:rsidR="00303ABF" w:rsidRPr="000D23D8" w:rsidRDefault="00303ABF"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4A0E4459" w14:textId="77777777" w:rsidR="00303ABF" w:rsidRPr="002A590A" w:rsidRDefault="00303AB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w:t>
          </w:r>
          <w:r w:rsidR="006D55CE">
            <w:rPr>
              <w:rFonts w:ascii="Verdana" w:hAnsi="Verdana" w:cs="Calibri"/>
              <w:b/>
              <w:bCs/>
              <w:color w:val="004666"/>
              <w:sz w:val="18"/>
              <w:szCs w:val="18"/>
            </w:rPr>
            <w:t>maintenance</w:t>
          </w:r>
        </w:p>
      </w:tc>
      <w:tc>
        <w:tcPr>
          <w:tcW w:w="2126" w:type="dxa"/>
          <w:vMerge w:val="restart"/>
          <w:shd w:val="clear" w:color="auto" w:fill="auto"/>
          <w:vAlign w:val="center"/>
        </w:tcPr>
        <w:p w14:paraId="2060E06D" w14:textId="77777777" w:rsidR="00303ABF" w:rsidRPr="00880EBE" w:rsidRDefault="00880EBE" w:rsidP="00880EBE">
          <w:pPr>
            <w:spacing w:after="0" w:line="240" w:lineRule="auto"/>
            <w:rPr>
              <w:highlight w:val="green"/>
            </w:rPr>
          </w:pPr>
          <w:r w:rsidRPr="00880EBE">
            <w:rPr>
              <w:highlight w:val="green"/>
            </w:rPr>
            <w:t>[doplní zadavatel]</w:t>
          </w:r>
        </w:p>
      </w:tc>
    </w:tr>
    <w:tr w:rsidR="00303ABF" w:rsidRPr="00885DF2" w14:paraId="1F7B88D2" w14:textId="77777777" w:rsidTr="00880EBE">
      <w:trPr>
        <w:trHeight w:val="555"/>
      </w:trPr>
      <w:tc>
        <w:tcPr>
          <w:tcW w:w="2369" w:type="dxa"/>
          <w:vMerge/>
          <w:shd w:val="clear" w:color="auto" w:fill="auto"/>
          <w:vAlign w:val="center"/>
        </w:tcPr>
        <w:p w14:paraId="596F80E3" w14:textId="77777777" w:rsidR="00303ABF" w:rsidRPr="000D23D8" w:rsidRDefault="00303ABF" w:rsidP="00DD7277">
          <w:pPr>
            <w:pStyle w:val="ZKLADN"/>
            <w:spacing w:before="0" w:after="0" w:line="240" w:lineRule="auto"/>
            <w:jc w:val="center"/>
            <w:rPr>
              <w:noProof/>
              <w:sz w:val="18"/>
              <w:szCs w:val="18"/>
            </w:rPr>
          </w:pPr>
        </w:p>
      </w:tc>
      <w:tc>
        <w:tcPr>
          <w:tcW w:w="4861" w:type="dxa"/>
          <w:shd w:val="clear" w:color="auto" w:fill="auto"/>
          <w:vAlign w:val="center"/>
        </w:tcPr>
        <w:p w14:paraId="7B523A2B" w14:textId="23D494A0" w:rsidR="00303ABF" w:rsidRPr="000D23D8" w:rsidRDefault="00423B61"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Pořízení HW a SW maintenance</w:t>
          </w:r>
        </w:p>
      </w:tc>
      <w:tc>
        <w:tcPr>
          <w:tcW w:w="2126" w:type="dxa"/>
          <w:vMerge/>
          <w:shd w:val="clear" w:color="auto" w:fill="auto"/>
          <w:vAlign w:val="center"/>
        </w:tcPr>
        <w:p w14:paraId="1C8E706B" w14:textId="77777777" w:rsidR="00303ABF" w:rsidRPr="000D23D8" w:rsidRDefault="00303ABF" w:rsidP="00DD7277">
          <w:pPr>
            <w:pStyle w:val="ZKLADN"/>
            <w:spacing w:before="0" w:after="0" w:line="240" w:lineRule="auto"/>
            <w:jc w:val="center"/>
            <w:rPr>
              <w:rFonts w:ascii="Verdana" w:hAnsi="Verdana" w:cs="Calibri"/>
              <w:b/>
              <w:bCs/>
              <w:color w:val="004666"/>
              <w:sz w:val="18"/>
              <w:szCs w:val="18"/>
            </w:rPr>
          </w:pPr>
        </w:p>
      </w:tc>
    </w:tr>
  </w:tbl>
  <w:p w14:paraId="613CB2DC" w14:textId="77777777" w:rsidR="00303ABF" w:rsidRDefault="00303ABF" w:rsidP="002A59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Look w:val="04A0" w:firstRow="1" w:lastRow="0" w:firstColumn="1" w:lastColumn="0" w:noHBand="0" w:noVBand="1"/>
    </w:tblPr>
    <w:tblGrid>
      <w:gridCol w:w="2372"/>
      <w:gridCol w:w="4986"/>
      <w:gridCol w:w="1856"/>
    </w:tblGrid>
    <w:tr w:rsidR="00880EBE" w:rsidRPr="00885DF2" w14:paraId="4B8D98CA" w14:textId="77777777" w:rsidTr="00976CFE">
      <w:trPr>
        <w:trHeight w:val="555"/>
      </w:trPr>
      <w:tc>
        <w:tcPr>
          <w:tcW w:w="2372" w:type="dxa"/>
          <w:vMerge w:val="restart"/>
          <w:shd w:val="clear" w:color="auto" w:fill="auto"/>
          <w:vAlign w:val="center"/>
        </w:tcPr>
        <w:p w14:paraId="5B79EFD8" w14:textId="77777777" w:rsidR="00880EBE" w:rsidRPr="000D23D8" w:rsidRDefault="00880EBE" w:rsidP="00880EBE">
          <w:pPr>
            <w:pStyle w:val="ZKLADN"/>
            <w:jc w:val="center"/>
            <w:rPr>
              <w:rFonts w:ascii="Verdana" w:hAnsi="Verdana" w:cs="Calibri"/>
              <w:b/>
              <w:bCs/>
              <w:sz w:val="18"/>
              <w:szCs w:val="18"/>
            </w:rPr>
          </w:pPr>
          <w:r>
            <w:rPr>
              <w:noProof/>
              <w:sz w:val="18"/>
              <w:szCs w:val="18"/>
              <w:lang w:eastAsia="cs-CZ"/>
            </w:rPr>
            <w:drawing>
              <wp:inline distT="0" distB="0" distL="0" distR="0" wp14:anchorId="3DF4CC37" wp14:editId="734B31DE">
                <wp:extent cx="1304925" cy="542925"/>
                <wp:effectExtent l="0" t="0" r="9525" b="9525"/>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986" w:type="dxa"/>
          <w:shd w:val="clear" w:color="auto" w:fill="auto"/>
          <w:vAlign w:val="center"/>
        </w:tcPr>
        <w:p w14:paraId="5E44367C" w14:textId="77777777" w:rsidR="00880EBE" w:rsidRPr="000D23D8" w:rsidRDefault="00880EBE" w:rsidP="00880EBE">
          <w:pPr>
            <w:pStyle w:val="ZKLADN"/>
            <w:spacing w:before="0" w:after="0" w:line="240" w:lineRule="auto"/>
            <w:ind w:left="454"/>
            <w:jc w:val="left"/>
            <w:rPr>
              <w:b/>
              <w:color w:val="004666"/>
              <w:szCs w:val="18"/>
            </w:rPr>
          </w:pPr>
        </w:p>
      </w:tc>
      <w:tc>
        <w:tcPr>
          <w:tcW w:w="1856" w:type="dxa"/>
          <w:vMerge w:val="restart"/>
          <w:shd w:val="clear" w:color="auto" w:fill="auto"/>
          <w:vAlign w:val="center"/>
        </w:tcPr>
        <w:p w14:paraId="79EB1B92" w14:textId="72397FB0" w:rsidR="00880EBE" w:rsidRPr="003E2E8F" w:rsidRDefault="00880EBE" w:rsidP="00880EBE">
          <w:pPr>
            <w:spacing w:after="0" w:line="240" w:lineRule="auto"/>
            <w:rPr>
              <w:rFonts w:cs="Calibri"/>
              <w:b/>
              <w:bCs/>
              <w:color w:val="004666"/>
              <w:szCs w:val="18"/>
            </w:rPr>
          </w:pPr>
        </w:p>
      </w:tc>
    </w:tr>
    <w:tr w:rsidR="00880EBE" w:rsidRPr="00885DF2" w14:paraId="6D53876D" w14:textId="77777777" w:rsidTr="00976CFE">
      <w:trPr>
        <w:trHeight w:val="555"/>
      </w:trPr>
      <w:tc>
        <w:tcPr>
          <w:tcW w:w="2372" w:type="dxa"/>
          <w:vMerge/>
          <w:shd w:val="clear" w:color="auto" w:fill="auto"/>
          <w:vAlign w:val="center"/>
        </w:tcPr>
        <w:p w14:paraId="122B54D4" w14:textId="77777777" w:rsidR="00880EBE" w:rsidRPr="000D23D8" w:rsidRDefault="00880EBE" w:rsidP="00880EBE">
          <w:pPr>
            <w:pStyle w:val="ZKLADN"/>
            <w:spacing w:before="0" w:after="0" w:line="240" w:lineRule="auto"/>
            <w:jc w:val="center"/>
            <w:rPr>
              <w:noProof/>
              <w:sz w:val="18"/>
              <w:szCs w:val="18"/>
            </w:rPr>
          </w:pPr>
        </w:p>
      </w:tc>
      <w:tc>
        <w:tcPr>
          <w:tcW w:w="4986" w:type="dxa"/>
          <w:shd w:val="clear" w:color="auto" w:fill="auto"/>
          <w:vAlign w:val="center"/>
        </w:tcPr>
        <w:p w14:paraId="00FAE121" w14:textId="22E47FFF" w:rsidR="00880EBE" w:rsidRPr="000D23D8" w:rsidRDefault="00880EBE" w:rsidP="00880EBE">
          <w:pPr>
            <w:pStyle w:val="ZKLADN"/>
            <w:spacing w:before="0" w:after="0" w:line="240" w:lineRule="auto"/>
            <w:ind w:left="454"/>
            <w:jc w:val="left"/>
            <w:rPr>
              <w:rFonts w:ascii="Verdana" w:hAnsi="Verdana" w:cs="Calibri"/>
              <w:b/>
              <w:bCs/>
              <w:color w:val="009EE0"/>
              <w:sz w:val="18"/>
              <w:szCs w:val="18"/>
            </w:rPr>
          </w:pPr>
        </w:p>
      </w:tc>
      <w:tc>
        <w:tcPr>
          <w:tcW w:w="1856" w:type="dxa"/>
          <w:vMerge/>
          <w:shd w:val="clear" w:color="auto" w:fill="auto"/>
          <w:vAlign w:val="center"/>
        </w:tcPr>
        <w:p w14:paraId="339B713A" w14:textId="77777777" w:rsidR="00880EBE" w:rsidRPr="000D23D8" w:rsidRDefault="00880EBE" w:rsidP="00880EBE">
          <w:pPr>
            <w:pStyle w:val="ZKLADN"/>
            <w:spacing w:before="0" w:after="0" w:line="240" w:lineRule="auto"/>
            <w:jc w:val="center"/>
            <w:rPr>
              <w:rFonts w:ascii="Verdana" w:hAnsi="Verdana" w:cs="Calibri"/>
              <w:b/>
              <w:bCs/>
              <w:color w:val="004666"/>
              <w:sz w:val="18"/>
              <w:szCs w:val="18"/>
            </w:rPr>
          </w:pPr>
        </w:p>
      </w:tc>
    </w:tr>
  </w:tbl>
  <w:p w14:paraId="387F3F45" w14:textId="77777777" w:rsidR="00303ABF" w:rsidRPr="00E51A3F" w:rsidRDefault="00303ABF" w:rsidP="00E51A3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8918A9" w:rsidRPr="00885DF2" w14:paraId="095BAE7D" w14:textId="77777777" w:rsidTr="00880EBE">
      <w:trPr>
        <w:trHeight w:val="555"/>
      </w:trPr>
      <w:tc>
        <w:tcPr>
          <w:tcW w:w="2369" w:type="dxa"/>
          <w:vMerge w:val="restart"/>
          <w:shd w:val="clear" w:color="auto" w:fill="auto"/>
          <w:vAlign w:val="center"/>
        </w:tcPr>
        <w:p w14:paraId="7A5BD3E3" w14:textId="77777777" w:rsidR="008918A9" w:rsidRPr="000D23D8" w:rsidRDefault="008918A9" w:rsidP="00DD7277">
          <w:pPr>
            <w:pStyle w:val="ZKLADN"/>
            <w:jc w:val="center"/>
            <w:rPr>
              <w:rFonts w:ascii="Verdana" w:hAnsi="Verdana" w:cs="Calibri"/>
              <w:b/>
              <w:bCs/>
              <w:sz w:val="18"/>
              <w:szCs w:val="18"/>
            </w:rPr>
          </w:pPr>
          <w:r>
            <w:rPr>
              <w:noProof/>
              <w:sz w:val="18"/>
              <w:szCs w:val="18"/>
              <w:lang w:eastAsia="cs-CZ"/>
            </w:rPr>
            <w:drawing>
              <wp:inline distT="0" distB="0" distL="0" distR="0" wp14:anchorId="7C8A275F" wp14:editId="5B156F48">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1D85DD84" w14:textId="77777777" w:rsidR="008918A9" w:rsidRDefault="008918A9"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maintenance</w:t>
          </w:r>
        </w:p>
        <w:p w14:paraId="2FDCA932" w14:textId="679DB7D6" w:rsidR="008918A9" w:rsidRPr="002A590A" w:rsidRDefault="008918A9" w:rsidP="002A590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1 - </w:t>
          </w:r>
          <w:r w:rsidRPr="008918A9">
            <w:rPr>
              <w:rFonts w:ascii="Verdana" w:hAnsi="Verdana" w:cs="Calibri"/>
              <w:b/>
              <w:bCs/>
              <w:color w:val="004666"/>
              <w:sz w:val="18"/>
              <w:szCs w:val="18"/>
            </w:rPr>
            <w:t>Specifikace Plnění a Ceny za Plnění</w:t>
          </w:r>
        </w:p>
      </w:tc>
      <w:tc>
        <w:tcPr>
          <w:tcW w:w="2126" w:type="dxa"/>
          <w:vMerge w:val="restart"/>
          <w:shd w:val="clear" w:color="auto" w:fill="auto"/>
          <w:vAlign w:val="center"/>
        </w:tcPr>
        <w:p w14:paraId="3F53B536" w14:textId="77777777" w:rsidR="008918A9" w:rsidRPr="00880EBE" w:rsidRDefault="008918A9" w:rsidP="00880EBE">
          <w:pPr>
            <w:spacing w:after="0" w:line="240" w:lineRule="auto"/>
            <w:rPr>
              <w:highlight w:val="green"/>
            </w:rPr>
          </w:pPr>
          <w:r w:rsidRPr="00880EBE">
            <w:rPr>
              <w:highlight w:val="green"/>
            </w:rPr>
            <w:t>[doplní zadavatel]</w:t>
          </w:r>
        </w:p>
      </w:tc>
    </w:tr>
    <w:tr w:rsidR="008918A9" w:rsidRPr="00885DF2" w14:paraId="4AD17CBC" w14:textId="77777777" w:rsidTr="00880EBE">
      <w:trPr>
        <w:trHeight w:val="555"/>
      </w:trPr>
      <w:tc>
        <w:tcPr>
          <w:tcW w:w="2369" w:type="dxa"/>
          <w:vMerge/>
          <w:shd w:val="clear" w:color="auto" w:fill="auto"/>
          <w:vAlign w:val="center"/>
        </w:tcPr>
        <w:p w14:paraId="1D41AB08" w14:textId="77777777" w:rsidR="008918A9" w:rsidRPr="000D23D8" w:rsidRDefault="008918A9" w:rsidP="00DD7277">
          <w:pPr>
            <w:pStyle w:val="ZKLADN"/>
            <w:spacing w:before="0" w:after="0" w:line="240" w:lineRule="auto"/>
            <w:jc w:val="center"/>
            <w:rPr>
              <w:noProof/>
              <w:sz w:val="18"/>
              <w:szCs w:val="18"/>
            </w:rPr>
          </w:pPr>
        </w:p>
      </w:tc>
      <w:tc>
        <w:tcPr>
          <w:tcW w:w="4861" w:type="dxa"/>
          <w:shd w:val="clear" w:color="auto" w:fill="auto"/>
          <w:vAlign w:val="center"/>
        </w:tcPr>
        <w:p w14:paraId="7B4B1F87" w14:textId="77777777" w:rsidR="008918A9" w:rsidRPr="000D23D8" w:rsidRDefault="008918A9"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Pořízení HW a SW maintenance</w:t>
          </w:r>
        </w:p>
      </w:tc>
      <w:tc>
        <w:tcPr>
          <w:tcW w:w="2126" w:type="dxa"/>
          <w:vMerge/>
          <w:shd w:val="clear" w:color="auto" w:fill="auto"/>
          <w:vAlign w:val="center"/>
        </w:tcPr>
        <w:p w14:paraId="0C058524" w14:textId="77777777" w:rsidR="008918A9" w:rsidRPr="000D23D8" w:rsidRDefault="008918A9" w:rsidP="00DD7277">
          <w:pPr>
            <w:pStyle w:val="ZKLADN"/>
            <w:spacing w:before="0" w:after="0" w:line="240" w:lineRule="auto"/>
            <w:jc w:val="center"/>
            <w:rPr>
              <w:rFonts w:ascii="Verdana" w:hAnsi="Verdana" w:cs="Calibri"/>
              <w:b/>
              <w:bCs/>
              <w:color w:val="004666"/>
              <w:sz w:val="18"/>
              <w:szCs w:val="18"/>
            </w:rPr>
          </w:pPr>
        </w:p>
      </w:tc>
    </w:tr>
  </w:tbl>
  <w:p w14:paraId="61AB1D26" w14:textId="77777777" w:rsidR="008918A9" w:rsidRDefault="008918A9" w:rsidP="002A59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Borders>
        <w:bottom w:val="single" w:sz="2" w:space="0" w:color="004666"/>
      </w:tblBorders>
      <w:tblLook w:val="04A0" w:firstRow="1" w:lastRow="0" w:firstColumn="1" w:lastColumn="0" w:noHBand="0" w:noVBand="1"/>
    </w:tblPr>
    <w:tblGrid>
      <w:gridCol w:w="2372"/>
      <w:gridCol w:w="4986"/>
      <w:gridCol w:w="1856"/>
    </w:tblGrid>
    <w:tr w:rsidR="00976CFE" w:rsidRPr="00885DF2" w14:paraId="062ED59A" w14:textId="77777777" w:rsidTr="00880EBE">
      <w:trPr>
        <w:trHeight w:val="555"/>
      </w:trPr>
      <w:tc>
        <w:tcPr>
          <w:tcW w:w="2372" w:type="dxa"/>
          <w:vMerge w:val="restart"/>
          <w:shd w:val="clear" w:color="auto" w:fill="auto"/>
          <w:vAlign w:val="center"/>
        </w:tcPr>
        <w:p w14:paraId="7B8C4FAE" w14:textId="77777777" w:rsidR="00976CFE" w:rsidRPr="000D23D8" w:rsidRDefault="00976CFE" w:rsidP="00880EBE">
          <w:pPr>
            <w:pStyle w:val="ZKLADN"/>
            <w:jc w:val="center"/>
            <w:rPr>
              <w:rFonts w:ascii="Verdana" w:hAnsi="Verdana" w:cs="Calibri"/>
              <w:b/>
              <w:bCs/>
              <w:sz w:val="18"/>
              <w:szCs w:val="18"/>
            </w:rPr>
          </w:pPr>
          <w:r>
            <w:rPr>
              <w:noProof/>
              <w:sz w:val="18"/>
              <w:szCs w:val="18"/>
              <w:lang w:eastAsia="cs-CZ"/>
            </w:rPr>
            <w:drawing>
              <wp:inline distT="0" distB="0" distL="0" distR="0" wp14:anchorId="20563F59" wp14:editId="27C905C3">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986" w:type="dxa"/>
          <w:shd w:val="clear" w:color="auto" w:fill="auto"/>
          <w:vAlign w:val="center"/>
        </w:tcPr>
        <w:p w14:paraId="50D9D240" w14:textId="69801F0B" w:rsidR="00976CFE" w:rsidRDefault="00976CFE" w:rsidP="00880EBE">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maintenance</w:t>
          </w:r>
        </w:p>
        <w:p w14:paraId="4F63CDD2" w14:textId="73AF2321" w:rsidR="00976CFE" w:rsidRPr="00976CFE" w:rsidRDefault="00976CFE" w:rsidP="00976CFE">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1 - </w:t>
          </w:r>
          <w:r w:rsidRPr="00976CFE">
            <w:rPr>
              <w:rFonts w:ascii="Verdana" w:hAnsi="Verdana" w:cs="Calibri"/>
              <w:b/>
              <w:bCs/>
              <w:color w:val="004666"/>
              <w:sz w:val="18"/>
              <w:szCs w:val="18"/>
            </w:rPr>
            <w:t>Specifikace Plnění a Ceny za</w:t>
          </w:r>
          <w:r>
            <w:rPr>
              <w:rFonts w:ascii="Verdana" w:hAnsi="Verdana" w:cs="Calibri"/>
              <w:b/>
              <w:bCs/>
              <w:color w:val="004666"/>
              <w:sz w:val="18"/>
              <w:szCs w:val="18"/>
            </w:rPr>
            <w:t> </w:t>
          </w:r>
          <w:r w:rsidRPr="00976CFE">
            <w:rPr>
              <w:rFonts w:ascii="Verdana" w:hAnsi="Verdana" w:cs="Calibri"/>
              <w:b/>
              <w:bCs/>
              <w:color w:val="004666"/>
              <w:sz w:val="18"/>
              <w:szCs w:val="18"/>
            </w:rPr>
            <w:t>Plnění</w:t>
          </w:r>
        </w:p>
      </w:tc>
      <w:tc>
        <w:tcPr>
          <w:tcW w:w="1856" w:type="dxa"/>
          <w:vMerge w:val="restart"/>
          <w:shd w:val="clear" w:color="auto" w:fill="auto"/>
          <w:vAlign w:val="center"/>
        </w:tcPr>
        <w:p w14:paraId="42DBD2B2" w14:textId="77777777" w:rsidR="00976CFE" w:rsidRPr="003E2E8F" w:rsidRDefault="00976CFE" w:rsidP="00880EBE">
          <w:pPr>
            <w:spacing w:after="0" w:line="240" w:lineRule="auto"/>
            <w:rPr>
              <w:rFonts w:cs="Calibri"/>
              <w:b/>
              <w:bCs/>
              <w:color w:val="004666"/>
              <w:szCs w:val="18"/>
            </w:rPr>
          </w:pPr>
          <w:r w:rsidRPr="00D2127E">
            <w:rPr>
              <w:highlight w:val="green"/>
            </w:rPr>
            <w:t>[</w:t>
          </w:r>
          <w:r>
            <w:rPr>
              <w:highlight w:val="green"/>
            </w:rPr>
            <w:t>d</w:t>
          </w:r>
          <w:r w:rsidRPr="00D2127E">
            <w:rPr>
              <w:highlight w:val="green"/>
            </w:rPr>
            <w:t>oplní zadavatel]</w:t>
          </w:r>
        </w:p>
      </w:tc>
    </w:tr>
    <w:tr w:rsidR="00976CFE" w:rsidRPr="00885DF2" w14:paraId="2DC9A41B" w14:textId="77777777" w:rsidTr="00880EBE">
      <w:trPr>
        <w:trHeight w:val="555"/>
      </w:trPr>
      <w:tc>
        <w:tcPr>
          <w:tcW w:w="2372" w:type="dxa"/>
          <w:vMerge/>
          <w:shd w:val="clear" w:color="auto" w:fill="auto"/>
          <w:vAlign w:val="center"/>
        </w:tcPr>
        <w:p w14:paraId="4DC52DBE" w14:textId="77777777" w:rsidR="00976CFE" w:rsidRPr="000D23D8" w:rsidRDefault="00976CFE" w:rsidP="00880EBE">
          <w:pPr>
            <w:pStyle w:val="ZKLADN"/>
            <w:spacing w:before="0" w:after="0" w:line="240" w:lineRule="auto"/>
            <w:jc w:val="center"/>
            <w:rPr>
              <w:noProof/>
              <w:sz w:val="18"/>
              <w:szCs w:val="18"/>
            </w:rPr>
          </w:pPr>
        </w:p>
      </w:tc>
      <w:tc>
        <w:tcPr>
          <w:tcW w:w="4986" w:type="dxa"/>
          <w:shd w:val="clear" w:color="auto" w:fill="auto"/>
          <w:vAlign w:val="center"/>
        </w:tcPr>
        <w:p w14:paraId="20789FBA" w14:textId="77777777" w:rsidR="00976CFE" w:rsidRPr="000D23D8" w:rsidRDefault="00976CFE"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Pořízení HW a SW maintenance</w:t>
          </w:r>
        </w:p>
      </w:tc>
      <w:tc>
        <w:tcPr>
          <w:tcW w:w="1856" w:type="dxa"/>
          <w:vMerge/>
          <w:shd w:val="clear" w:color="auto" w:fill="auto"/>
          <w:vAlign w:val="center"/>
        </w:tcPr>
        <w:p w14:paraId="4E9463E8" w14:textId="77777777" w:rsidR="00976CFE" w:rsidRPr="000D23D8" w:rsidRDefault="00976CFE" w:rsidP="00880EBE">
          <w:pPr>
            <w:pStyle w:val="ZKLADN"/>
            <w:spacing w:before="0" w:after="0" w:line="240" w:lineRule="auto"/>
            <w:jc w:val="center"/>
            <w:rPr>
              <w:rFonts w:ascii="Verdana" w:hAnsi="Verdana" w:cs="Calibri"/>
              <w:b/>
              <w:bCs/>
              <w:color w:val="004666"/>
              <w:sz w:val="18"/>
              <w:szCs w:val="18"/>
            </w:rPr>
          </w:pPr>
        </w:p>
      </w:tc>
    </w:tr>
  </w:tbl>
  <w:p w14:paraId="2BA97E12" w14:textId="77777777" w:rsidR="00976CFE" w:rsidRPr="00E51A3F" w:rsidRDefault="00976CFE" w:rsidP="00E51A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1515"/>
    <w:multiLevelType w:val="hybridMultilevel"/>
    <w:tmpl w:val="A0D6C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3"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CE13CB"/>
    <w:multiLevelType w:val="hybridMultilevel"/>
    <w:tmpl w:val="DDBE61EC"/>
    <w:lvl w:ilvl="0" w:tplc="F6D60C80">
      <w:start w:val="1"/>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5"/>
  </w:num>
  <w:num w:numId="2">
    <w:abstractNumId w:val="2"/>
  </w:num>
  <w:num w:numId="3">
    <w:abstractNumId w:val="2"/>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3"/>
  </w:num>
  <w:num w:numId="5">
    <w:abstractNumId w:val="1"/>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021C"/>
    <w:rsid w:val="00000ACD"/>
    <w:rsid w:val="000013B5"/>
    <w:rsid w:val="0000558C"/>
    <w:rsid w:val="0002103D"/>
    <w:rsid w:val="000223EB"/>
    <w:rsid w:val="00023FB3"/>
    <w:rsid w:val="00033F1A"/>
    <w:rsid w:val="00045146"/>
    <w:rsid w:val="00047FD4"/>
    <w:rsid w:val="000518A5"/>
    <w:rsid w:val="00053368"/>
    <w:rsid w:val="000538AA"/>
    <w:rsid w:val="00061510"/>
    <w:rsid w:val="00070D29"/>
    <w:rsid w:val="00083C68"/>
    <w:rsid w:val="0008469D"/>
    <w:rsid w:val="00084C7C"/>
    <w:rsid w:val="0009486B"/>
    <w:rsid w:val="0009524F"/>
    <w:rsid w:val="00095E6E"/>
    <w:rsid w:val="000A0244"/>
    <w:rsid w:val="000A62C2"/>
    <w:rsid w:val="000A71F6"/>
    <w:rsid w:val="000B1623"/>
    <w:rsid w:val="000B3566"/>
    <w:rsid w:val="000C0405"/>
    <w:rsid w:val="000C766F"/>
    <w:rsid w:val="000E0751"/>
    <w:rsid w:val="000E2722"/>
    <w:rsid w:val="000E3537"/>
    <w:rsid w:val="000E52B0"/>
    <w:rsid w:val="000F0B76"/>
    <w:rsid w:val="000F0F39"/>
    <w:rsid w:val="000F24F8"/>
    <w:rsid w:val="000F48B9"/>
    <w:rsid w:val="001057DB"/>
    <w:rsid w:val="00114591"/>
    <w:rsid w:val="00114A85"/>
    <w:rsid w:val="00120062"/>
    <w:rsid w:val="001200B8"/>
    <w:rsid w:val="0012359C"/>
    <w:rsid w:val="001320A8"/>
    <w:rsid w:val="001350F9"/>
    <w:rsid w:val="00136A72"/>
    <w:rsid w:val="00140EE9"/>
    <w:rsid w:val="00143678"/>
    <w:rsid w:val="0014705F"/>
    <w:rsid w:val="00150124"/>
    <w:rsid w:val="00150C0D"/>
    <w:rsid w:val="00157861"/>
    <w:rsid w:val="00162C12"/>
    <w:rsid w:val="00163239"/>
    <w:rsid w:val="00181A08"/>
    <w:rsid w:val="001941F0"/>
    <w:rsid w:val="001A792D"/>
    <w:rsid w:val="001B3CCF"/>
    <w:rsid w:val="001C3781"/>
    <w:rsid w:val="001C4CDF"/>
    <w:rsid w:val="001D1E58"/>
    <w:rsid w:val="001D2265"/>
    <w:rsid w:val="001D2DFD"/>
    <w:rsid w:val="001D3CAA"/>
    <w:rsid w:val="001D579B"/>
    <w:rsid w:val="001D6315"/>
    <w:rsid w:val="001E253A"/>
    <w:rsid w:val="001E6BB1"/>
    <w:rsid w:val="001F441C"/>
    <w:rsid w:val="001F5986"/>
    <w:rsid w:val="00203EB0"/>
    <w:rsid w:val="00204603"/>
    <w:rsid w:val="00205081"/>
    <w:rsid w:val="00207640"/>
    <w:rsid w:val="00210E60"/>
    <w:rsid w:val="00213A1E"/>
    <w:rsid w:val="0021602F"/>
    <w:rsid w:val="002221BC"/>
    <w:rsid w:val="0022528A"/>
    <w:rsid w:val="002266B9"/>
    <w:rsid w:val="00227561"/>
    <w:rsid w:val="002278AC"/>
    <w:rsid w:val="00230DB6"/>
    <w:rsid w:val="00231040"/>
    <w:rsid w:val="002330A6"/>
    <w:rsid w:val="00246C89"/>
    <w:rsid w:val="00246F9F"/>
    <w:rsid w:val="00252D01"/>
    <w:rsid w:val="00257DBA"/>
    <w:rsid w:val="00274DC5"/>
    <w:rsid w:val="00277A8D"/>
    <w:rsid w:val="00280957"/>
    <w:rsid w:val="00280B9C"/>
    <w:rsid w:val="00283097"/>
    <w:rsid w:val="00287A03"/>
    <w:rsid w:val="00291999"/>
    <w:rsid w:val="00296E51"/>
    <w:rsid w:val="00297BA8"/>
    <w:rsid w:val="002A23EF"/>
    <w:rsid w:val="002A590A"/>
    <w:rsid w:val="002B1583"/>
    <w:rsid w:val="002B6B2C"/>
    <w:rsid w:val="002C1E47"/>
    <w:rsid w:val="002C36F2"/>
    <w:rsid w:val="002D070F"/>
    <w:rsid w:val="002D0A62"/>
    <w:rsid w:val="002D2D83"/>
    <w:rsid w:val="002D5574"/>
    <w:rsid w:val="002D714E"/>
    <w:rsid w:val="002E43B1"/>
    <w:rsid w:val="002E53F9"/>
    <w:rsid w:val="002F006D"/>
    <w:rsid w:val="002F3442"/>
    <w:rsid w:val="002F4B17"/>
    <w:rsid w:val="002F52A2"/>
    <w:rsid w:val="00303ABF"/>
    <w:rsid w:val="00305A8D"/>
    <w:rsid w:val="0030688E"/>
    <w:rsid w:val="0031136D"/>
    <w:rsid w:val="00317862"/>
    <w:rsid w:val="00327945"/>
    <w:rsid w:val="003344B1"/>
    <w:rsid w:val="00335070"/>
    <w:rsid w:val="0033547C"/>
    <w:rsid w:val="0034322F"/>
    <w:rsid w:val="00344813"/>
    <w:rsid w:val="00345E93"/>
    <w:rsid w:val="00346B85"/>
    <w:rsid w:val="0035185D"/>
    <w:rsid w:val="00362CE3"/>
    <w:rsid w:val="0036724B"/>
    <w:rsid w:val="0037076C"/>
    <w:rsid w:val="00372B96"/>
    <w:rsid w:val="00384A97"/>
    <w:rsid w:val="00395BCE"/>
    <w:rsid w:val="003A76D5"/>
    <w:rsid w:val="003B62B7"/>
    <w:rsid w:val="003C177F"/>
    <w:rsid w:val="003C46CB"/>
    <w:rsid w:val="003D0AAA"/>
    <w:rsid w:val="003D13DA"/>
    <w:rsid w:val="003E06FD"/>
    <w:rsid w:val="003E512D"/>
    <w:rsid w:val="003E70A6"/>
    <w:rsid w:val="003F0869"/>
    <w:rsid w:val="003F0974"/>
    <w:rsid w:val="00401B8A"/>
    <w:rsid w:val="00405FCC"/>
    <w:rsid w:val="0041361E"/>
    <w:rsid w:val="00415203"/>
    <w:rsid w:val="0042132D"/>
    <w:rsid w:val="00423B61"/>
    <w:rsid w:val="004244BC"/>
    <w:rsid w:val="00425159"/>
    <w:rsid w:val="004316CC"/>
    <w:rsid w:val="0043443B"/>
    <w:rsid w:val="00434736"/>
    <w:rsid w:val="00434FE8"/>
    <w:rsid w:val="004352D7"/>
    <w:rsid w:val="00435612"/>
    <w:rsid w:val="004400CE"/>
    <w:rsid w:val="004443B4"/>
    <w:rsid w:val="00457CF0"/>
    <w:rsid w:val="00461A15"/>
    <w:rsid w:val="00462B30"/>
    <w:rsid w:val="004714AE"/>
    <w:rsid w:val="004760A3"/>
    <w:rsid w:val="00485502"/>
    <w:rsid w:val="00485FF4"/>
    <w:rsid w:val="00486217"/>
    <w:rsid w:val="00486A9C"/>
    <w:rsid w:val="0049315B"/>
    <w:rsid w:val="004A019A"/>
    <w:rsid w:val="004A30F7"/>
    <w:rsid w:val="004B1544"/>
    <w:rsid w:val="004B32ED"/>
    <w:rsid w:val="004B50B7"/>
    <w:rsid w:val="004B5B59"/>
    <w:rsid w:val="004B7686"/>
    <w:rsid w:val="004C2D42"/>
    <w:rsid w:val="004C54B8"/>
    <w:rsid w:val="004D7FAA"/>
    <w:rsid w:val="004E1069"/>
    <w:rsid w:val="004E112A"/>
    <w:rsid w:val="004E1A54"/>
    <w:rsid w:val="004E4C7D"/>
    <w:rsid w:val="004E7756"/>
    <w:rsid w:val="004F0B17"/>
    <w:rsid w:val="004F119C"/>
    <w:rsid w:val="004F1A94"/>
    <w:rsid w:val="004F33A7"/>
    <w:rsid w:val="004F4AAA"/>
    <w:rsid w:val="00501A57"/>
    <w:rsid w:val="005029F1"/>
    <w:rsid w:val="00506799"/>
    <w:rsid w:val="00506835"/>
    <w:rsid w:val="0051661E"/>
    <w:rsid w:val="00520DA8"/>
    <w:rsid w:val="00520E18"/>
    <w:rsid w:val="00531872"/>
    <w:rsid w:val="005347E5"/>
    <w:rsid w:val="005358CA"/>
    <w:rsid w:val="005404F6"/>
    <w:rsid w:val="0054513E"/>
    <w:rsid w:val="00550FBF"/>
    <w:rsid w:val="0055100D"/>
    <w:rsid w:val="00560DEA"/>
    <w:rsid w:val="0057059F"/>
    <w:rsid w:val="00575E4C"/>
    <w:rsid w:val="00577AD6"/>
    <w:rsid w:val="005871A0"/>
    <w:rsid w:val="005912D5"/>
    <w:rsid w:val="00591332"/>
    <w:rsid w:val="00591F39"/>
    <w:rsid w:val="005A31FF"/>
    <w:rsid w:val="005B069A"/>
    <w:rsid w:val="005B2309"/>
    <w:rsid w:val="005B6EB7"/>
    <w:rsid w:val="005C086F"/>
    <w:rsid w:val="005C3D5B"/>
    <w:rsid w:val="005C493D"/>
    <w:rsid w:val="005C4D5E"/>
    <w:rsid w:val="005C5644"/>
    <w:rsid w:val="005D3674"/>
    <w:rsid w:val="005E1707"/>
    <w:rsid w:val="005E1F30"/>
    <w:rsid w:val="005F1D9A"/>
    <w:rsid w:val="005F2050"/>
    <w:rsid w:val="005F6192"/>
    <w:rsid w:val="005F69EC"/>
    <w:rsid w:val="005F7962"/>
    <w:rsid w:val="005F7F47"/>
    <w:rsid w:val="00601064"/>
    <w:rsid w:val="006039FD"/>
    <w:rsid w:val="0061054A"/>
    <w:rsid w:val="00613AF5"/>
    <w:rsid w:val="00620742"/>
    <w:rsid w:val="006252A2"/>
    <w:rsid w:val="00626289"/>
    <w:rsid w:val="00627273"/>
    <w:rsid w:val="0063282A"/>
    <w:rsid w:val="00635CB4"/>
    <w:rsid w:val="00635D33"/>
    <w:rsid w:val="00642FC7"/>
    <w:rsid w:val="0064361A"/>
    <w:rsid w:val="00644D01"/>
    <w:rsid w:val="00650F24"/>
    <w:rsid w:val="00652604"/>
    <w:rsid w:val="006560EC"/>
    <w:rsid w:val="00656F1C"/>
    <w:rsid w:val="006578E3"/>
    <w:rsid w:val="00663FDE"/>
    <w:rsid w:val="006651E6"/>
    <w:rsid w:val="00667228"/>
    <w:rsid w:val="00672DCD"/>
    <w:rsid w:val="00676C13"/>
    <w:rsid w:val="006822B8"/>
    <w:rsid w:val="00684F5A"/>
    <w:rsid w:val="00686B37"/>
    <w:rsid w:val="00691010"/>
    <w:rsid w:val="00695C30"/>
    <w:rsid w:val="0069686C"/>
    <w:rsid w:val="006969DD"/>
    <w:rsid w:val="006A128E"/>
    <w:rsid w:val="006A16EE"/>
    <w:rsid w:val="006A1A1F"/>
    <w:rsid w:val="006A2AC7"/>
    <w:rsid w:val="006A4363"/>
    <w:rsid w:val="006A4449"/>
    <w:rsid w:val="006A6A50"/>
    <w:rsid w:val="006A6C51"/>
    <w:rsid w:val="006A76CD"/>
    <w:rsid w:val="006B0FFF"/>
    <w:rsid w:val="006B464B"/>
    <w:rsid w:val="006B4EAA"/>
    <w:rsid w:val="006C0BB3"/>
    <w:rsid w:val="006C16C1"/>
    <w:rsid w:val="006C341C"/>
    <w:rsid w:val="006C503E"/>
    <w:rsid w:val="006D2FFB"/>
    <w:rsid w:val="006D55CE"/>
    <w:rsid w:val="006E3706"/>
    <w:rsid w:val="006F1C9F"/>
    <w:rsid w:val="006F1EB3"/>
    <w:rsid w:val="006F5F77"/>
    <w:rsid w:val="006F68C8"/>
    <w:rsid w:val="00703C83"/>
    <w:rsid w:val="00711545"/>
    <w:rsid w:val="0071342E"/>
    <w:rsid w:val="0071575D"/>
    <w:rsid w:val="00715C6F"/>
    <w:rsid w:val="007228BC"/>
    <w:rsid w:val="00725008"/>
    <w:rsid w:val="007452BD"/>
    <w:rsid w:val="007502D0"/>
    <w:rsid w:val="0075162C"/>
    <w:rsid w:val="007611B8"/>
    <w:rsid w:val="00761E5F"/>
    <w:rsid w:val="0076559B"/>
    <w:rsid w:val="007739D4"/>
    <w:rsid w:val="00775052"/>
    <w:rsid w:val="00776BBB"/>
    <w:rsid w:val="0077743A"/>
    <w:rsid w:val="0078490F"/>
    <w:rsid w:val="00791C35"/>
    <w:rsid w:val="00792D91"/>
    <w:rsid w:val="00793716"/>
    <w:rsid w:val="0079585B"/>
    <w:rsid w:val="00796383"/>
    <w:rsid w:val="007963E2"/>
    <w:rsid w:val="007A66F4"/>
    <w:rsid w:val="007A7115"/>
    <w:rsid w:val="007B154E"/>
    <w:rsid w:val="007B5284"/>
    <w:rsid w:val="007D46D5"/>
    <w:rsid w:val="007D6314"/>
    <w:rsid w:val="007E5100"/>
    <w:rsid w:val="007E5B36"/>
    <w:rsid w:val="007F6143"/>
    <w:rsid w:val="007F6261"/>
    <w:rsid w:val="00801E12"/>
    <w:rsid w:val="008127D7"/>
    <w:rsid w:val="00814726"/>
    <w:rsid w:val="00814D8D"/>
    <w:rsid w:val="00831D20"/>
    <w:rsid w:val="00832AD4"/>
    <w:rsid w:val="008350E0"/>
    <w:rsid w:val="008423B6"/>
    <w:rsid w:val="008434C1"/>
    <w:rsid w:val="008571F8"/>
    <w:rsid w:val="008571FB"/>
    <w:rsid w:val="00857296"/>
    <w:rsid w:val="00864A94"/>
    <w:rsid w:val="00865E23"/>
    <w:rsid w:val="008675C5"/>
    <w:rsid w:val="00880EBE"/>
    <w:rsid w:val="00882D76"/>
    <w:rsid w:val="00891761"/>
    <w:rsid w:val="008918A9"/>
    <w:rsid w:val="00893986"/>
    <w:rsid w:val="008947EF"/>
    <w:rsid w:val="008958E5"/>
    <w:rsid w:val="00896116"/>
    <w:rsid w:val="008A0E42"/>
    <w:rsid w:val="008A1611"/>
    <w:rsid w:val="008A2840"/>
    <w:rsid w:val="008A3EB2"/>
    <w:rsid w:val="008A6352"/>
    <w:rsid w:val="008B03BE"/>
    <w:rsid w:val="008B1BC6"/>
    <w:rsid w:val="008B2EF9"/>
    <w:rsid w:val="008C16E9"/>
    <w:rsid w:val="008C2ABE"/>
    <w:rsid w:val="008C7411"/>
    <w:rsid w:val="008D28BF"/>
    <w:rsid w:val="008D6A0A"/>
    <w:rsid w:val="008E77B6"/>
    <w:rsid w:val="008F169F"/>
    <w:rsid w:val="009024CA"/>
    <w:rsid w:val="009026B3"/>
    <w:rsid w:val="009030BF"/>
    <w:rsid w:val="009040E2"/>
    <w:rsid w:val="0090680C"/>
    <w:rsid w:val="00912C89"/>
    <w:rsid w:val="00915CDD"/>
    <w:rsid w:val="0092165D"/>
    <w:rsid w:val="009260F4"/>
    <w:rsid w:val="00926950"/>
    <w:rsid w:val="0092718C"/>
    <w:rsid w:val="009323D5"/>
    <w:rsid w:val="00935371"/>
    <w:rsid w:val="00937891"/>
    <w:rsid w:val="00940E51"/>
    <w:rsid w:val="009425D8"/>
    <w:rsid w:val="009425FF"/>
    <w:rsid w:val="009451EB"/>
    <w:rsid w:val="0094643F"/>
    <w:rsid w:val="00962546"/>
    <w:rsid w:val="009649B4"/>
    <w:rsid w:val="00971B2A"/>
    <w:rsid w:val="00976CFE"/>
    <w:rsid w:val="00985D2F"/>
    <w:rsid w:val="00992672"/>
    <w:rsid w:val="00992AA5"/>
    <w:rsid w:val="00992E2B"/>
    <w:rsid w:val="009966E1"/>
    <w:rsid w:val="0099758E"/>
    <w:rsid w:val="009A1B01"/>
    <w:rsid w:val="009B0F51"/>
    <w:rsid w:val="009B1D20"/>
    <w:rsid w:val="009B2935"/>
    <w:rsid w:val="009B5CD3"/>
    <w:rsid w:val="009C6BDD"/>
    <w:rsid w:val="009D08E1"/>
    <w:rsid w:val="009D1A50"/>
    <w:rsid w:val="009D74E3"/>
    <w:rsid w:val="009E0C1F"/>
    <w:rsid w:val="009E1F13"/>
    <w:rsid w:val="009E5784"/>
    <w:rsid w:val="009F2297"/>
    <w:rsid w:val="009F280A"/>
    <w:rsid w:val="009F294D"/>
    <w:rsid w:val="00A02C13"/>
    <w:rsid w:val="00A049B5"/>
    <w:rsid w:val="00A1241D"/>
    <w:rsid w:val="00A20F72"/>
    <w:rsid w:val="00A214D8"/>
    <w:rsid w:val="00A21A9B"/>
    <w:rsid w:val="00A22FA0"/>
    <w:rsid w:val="00A25172"/>
    <w:rsid w:val="00A25852"/>
    <w:rsid w:val="00A4137A"/>
    <w:rsid w:val="00A42DE3"/>
    <w:rsid w:val="00A43635"/>
    <w:rsid w:val="00A470F9"/>
    <w:rsid w:val="00A5162E"/>
    <w:rsid w:val="00A53256"/>
    <w:rsid w:val="00A5475B"/>
    <w:rsid w:val="00A7279A"/>
    <w:rsid w:val="00A77A30"/>
    <w:rsid w:val="00A860F6"/>
    <w:rsid w:val="00A87D68"/>
    <w:rsid w:val="00A9024E"/>
    <w:rsid w:val="00A908BC"/>
    <w:rsid w:val="00A962DD"/>
    <w:rsid w:val="00A96EF9"/>
    <w:rsid w:val="00AB124B"/>
    <w:rsid w:val="00AB3AA9"/>
    <w:rsid w:val="00AB602F"/>
    <w:rsid w:val="00AB64DF"/>
    <w:rsid w:val="00AB7FB3"/>
    <w:rsid w:val="00AC3477"/>
    <w:rsid w:val="00AC47AA"/>
    <w:rsid w:val="00AD28B3"/>
    <w:rsid w:val="00AD2FCC"/>
    <w:rsid w:val="00AE41F8"/>
    <w:rsid w:val="00AE5488"/>
    <w:rsid w:val="00AF3B91"/>
    <w:rsid w:val="00AF7D44"/>
    <w:rsid w:val="00B03ACE"/>
    <w:rsid w:val="00B10669"/>
    <w:rsid w:val="00B1445F"/>
    <w:rsid w:val="00B1537E"/>
    <w:rsid w:val="00B16DE0"/>
    <w:rsid w:val="00B17D43"/>
    <w:rsid w:val="00B3127D"/>
    <w:rsid w:val="00B4052B"/>
    <w:rsid w:val="00B430DF"/>
    <w:rsid w:val="00B448A0"/>
    <w:rsid w:val="00B4762F"/>
    <w:rsid w:val="00B53348"/>
    <w:rsid w:val="00B57657"/>
    <w:rsid w:val="00B65DC6"/>
    <w:rsid w:val="00B70748"/>
    <w:rsid w:val="00B71618"/>
    <w:rsid w:val="00B72F28"/>
    <w:rsid w:val="00B80C3C"/>
    <w:rsid w:val="00B90BE3"/>
    <w:rsid w:val="00B92376"/>
    <w:rsid w:val="00B95567"/>
    <w:rsid w:val="00B96730"/>
    <w:rsid w:val="00BA04BC"/>
    <w:rsid w:val="00BA09CA"/>
    <w:rsid w:val="00BA1EFB"/>
    <w:rsid w:val="00BA4204"/>
    <w:rsid w:val="00BB6992"/>
    <w:rsid w:val="00BC2456"/>
    <w:rsid w:val="00BC3882"/>
    <w:rsid w:val="00BC58A6"/>
    <w:rsid w:val="00BD0F66"/>
    <w:rsid w:val="00BD2BDE"/>
    <w:rsid w:val="00BD4777"/>
    <w:rsid w:val="00BE4F22"/>
    <w:rsid w:val="00BE71CD"/>
    <w:rsid w:val="00BF1EB9"/>
    <w:rsid w:val="00BF406D"/>
    <w:rsid w:val="00BF5FF1"/>
    <w:rsid w:val="00C01B25"/>
    <w:rsid w:val="00C06CB4"/>
    <w:rsid w:val="00C120F8"/>
    <w:rsid w:val="00C158B6"/>
    <w:rsid w:val="00C2037E"/>
    <w:rsid w:val="00C2388E"/>
    <w:rsid w:val="00C246FF"/>
    <w:rsid w:val="00C261AE"/>
    <w:rsid w:val="00C35D3F"/>
    <w:rsid w:val="00C37CDA"/>
    <w:rsid w:val="00C4056B"/>
    <w:rsid w:val="00C46A67"/>
    <w:rsid w:val="00C54888"/>
    <w:rsid w:val="00C56935"/>
    <w:rsid w:val="00C613FF"/>
    <w:rsid w:val="00C628D6"/>
    <w:rsid w:val="00C63EE2"/>
    <w:rsid w:val="00C65E1D"/>
    <w:rsid w:val="00C65F76"/>
    <w:rsid w:val="00C662F5"/>
    <w:rsid w:val="00C66305"/>
    <w:rsid w:val="00C70675"/>
    <w:rsid w:val="00C75839"/>
    <w:rsid w:val="00C851F9"/>
    <w:rsid w:val="00C853D7"/>
    <w:rsid w:val="00C9224E"/>
    <w:rsid w:val="00C9536D"/>
    <w:rsid w:val="00CB1586"/>
    <w:rsid w:val="00CB39D8"/>
    <w:rsid w:val="00CB7B00"/>
    <w:rsid w:val="00CC536C"/>
    <w:rsid w:val="00CD3D32"/>
    <w:rsid w:val="00CE12D3"/>
    <w:rsid w:val="00CE1F23"/>
    <w:rsid w:val="00CE47AA"/>
    <w:rsid w:val="00CE4CA8"/>
    <w:rsid w:val="00CE60C4"/>
    <w:rsid w:val="00CE75B9"/>
    <w:rsid w:val="00CE7A5B"/>
    <w:rsid w:val="00CE7C5A"/>
    <w:rsid w:val="00CF18C7"/>
    <w:rsid w:val="00CF7ACF"/>
    <w:rsid w:val="00D04601"/>
    <w:rsid w:val="00D10C6D"/>
    <w:rsid w:val="00D11797"/>
    <w:rsid w:val="00D11C01"/>
    <w:rsid w:val="00D12C49"/>
    <w:rsid w:val="00D15250"/>
    <w:rsid w:val="00D15E89"/>
    <w:rsid w:val="00D17308"/>
    <w:rsid w:val="00D177C3"/>
    <w:rsid w:val="00D2127E"/>
    <w:rsid w:val="00D23451"/>
    <w:rsid w:val="00D25345"/>
    <w:rsid w:val="00D260B7"/>
    <w:rsid w:val="00D34700"/>
    <w:rsid w:val="00D36264"/>
    <w:rsid w:val="00D36E7A"/>
    <w:rsid w:val="00D377B0"/>
    <w:rsid w:val="00D37EBC"/>
    <w:rsid w:val="00D524B1"/>
    <w:rsid w:val="00D5658A"/>
    <w:rsid w:val="00D619D3"/>
    <w:rsid w:val="00D62506"/>
    <w:rsid w:val="00D66DE0"/>
    <w:rsid w:val="00D73E81"/>
    <w:rsid w:val="00D75862"/>
    <w:rsid w:val="00D76660"/>
    <w:rsid w:val="00D804D7"/>
    <w:rsid w:val="00D86E72"/>
    <w:rsid w:val="00D91FAE"/>
    <w:rsid w:val="00D93BE1"/>
    <w:rsid w:val="00D95910"/>
    <w:rsid w:val="00D97BA7"/>
    <w:rsid w:val="00DA20E5"/>
    <w:rsid w:val="00DA47A8"/>
    <w:rsid w:val="00DA7391"/>
    <w:rsid w:val="00DB10C8"/>
    <w:rsid w:val="00DB72AE"/>
    <w:rsid w:val="00DB76E9"/>
    <w:rsid w:val="00DC6ECF"/>
    <w:rsid w:val="00DD7277"/>
    <w:rsid w:val="00DE33CA"/>
    <w:rsid w:val="00DE6595"/>
    <w:rsid w:val="00DF420C"/>
    <w:rsid w:val="00E04B5E"/>
    <w:rsid w:val="00E056F1"/>
    <w:rsid w:val="00E11635"/>
    <w:rsid w:val="00E134EE"/>
    <w:rsid w:val="00E13B80"/>
    <w:rsid w:val="00E172F2"/>
    <w:rsid w:val="00E178B3"/>
    <w:rsid w:val="00E210D7"/>
    <w:rsid w:val="00E21396"/>
    <w:rsid w:val="00E25939"/>
    <w:rsid w:val="00E260BC"/>
    <w:rsid w:val="00E33633"/>
    <w:rsid w:val="00E34AF5"/>
    <w:rsid w:val="00E41128"/>
    <w:rsid w:val="00E425C5"/>
    <w:rsid w:val="00E428F6"/>
    <w:rsid w:val="00E51A3F"/>
    <w:rsid w:val="00E5270C"/>
    <w:rsid w:val="00E54320"/>
    <w:rsid w:val="00E549F1"/>
    <w:rsid w:val="00E557E5"/>
    <w:rsid w:val="00E62414"/>
    <w:rsid w:val="00E63903"/>
    <w:rsid w:val="00E7457F"/>
    <w:rsid w:val="00E74D40"/>
    <w:rsid w:val="00E75177"/>
    <w:rsid w:val="00E84236"/>
    <w:rsid w:val="00E86589"/>
    <w:rsid w:val="00E87465"/>
    <w:rsid w:val="00E91D88"/>
    <w:rsid w:val="00E96E1C"/>
    <w:rsid w:val="00E9796C"/>
    <w:rsid w:val="00EA120B"/>
    <w:rsid w:val="00EB3ABE"/>
    <w:rsid w:val="00EC00A1"/>
    <w:rsid w:val="00ED29DA"/>
    <w:rsid w:val="00ED5813"/>
    <w:rsid w:val="00ED6655"/>
    <w:rsid w:val="00EE6DD0"/>
    <w:rsid w:val="00EE6F63"/>
    <w:rsid w:val="00EF6D55"/>
    <w:rsid w:val="00F01DDA"/>
    <w:rsid w:val="00F035F8"/>
    <w:rsid w:val="00F138FB"/>
    <w:rsid w:val="00F1458B"/>
    <w:rsid w:val="00F16CA6"/>
    <w:rsid w:val="00F20176"/>
    <w:rsid w:val="00F25CCC"/>
    <w:rsid w:val="00F2612F"/>
    <w:rsid w:val="00F322E4"/>
    <w:rsid w:val="00F32DE2"/>
    <w:rsid w:val="00F412DB"/>
    <w:rsid w:val="00F42D5B"/>
    <w:rsid w:val="00F54B8E"/>
    <w:rsid w:val="00F56F86"/>
    <w:rsid w:val="00F614D6"/>
    <w:rsid w:val="00F6269F"/>
    <w:rsid w:val="00F73532"/>
    <w:rsid w:val="00F76856"/>
    <w:rsid w:val="00F81DE5"/>
    <w:rsid w:val="00F8605F"/>
    <w:rsid w:val="00F86FA9"/>
    <w:rsid w:val="00F92E3B"/>
    <w:rsid w:val="00F9498F"/>
    <w:rsid w:val="00F9559F"/>
    <w:rsid w:val="00F96F7D"/>
    <w:rsid w:val="00F977B2"/>
    <w:rsid w:val="00FB4BD1"/>
    <w:rsid w:val="00FB71A6"/>
    <w:rsid w:val="00FB7CA0"/>
    <w:rsid w:val="00FC08EA"/>
    <w:rsid w:val="00FC2612"/>
    <w:rsid w:val="00FC38D7"/>
    <w:rsid w:val="00FD529D"/>
    <w:rsid w:val="00FD7CAE"/>
    <w:rsid w:val="00FE2DFC"/>
    <w:rsid w:val="00FF3453"/>
    <w:rsid w:val="00FF5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51453"/>
  <w15:docId w15:val="{3DE475DA-B759-4DC1-BDE8-3F6F51F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
    <w:basedOn w:val="Normln"/>
    <w:next w:val="Odstavecseseznamem"/>
    <w:link w:val="Nadpis1Char"/>
    <w:uiPriority w:val="9"/>
    <w:qFormat/>
    <w:rsid w:val="002A590A"/>
    <w:pPr>
      <w:keepNext/>
      <w:keepLines/>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2A590A"/>
    <w:pPr>
      <w:spacing w:before="60" w:after="60"/>
      <w:jc w:val="both"/>
      <w:outlineLvl w:val="1"/>
    </w:pPr>
  </w:style>
  <w:style w:type="paragraph" w:styleId="Nadpis3">
    <w:name w:val="heading 3"/>
    <w:basedOn w:val="Nadpis2"/>
    <w:next w:val="Normln"/>
    <w:link w:val="Nadpis3Char"/>
    <w:uiPriority w:val="9"/>
    <w:unhideWhenUsed/>
    <w:qFormat/>
    <w:rsid w:val="002A590A"/>
    <w:pPr>
      <w:numPr>
        <w:ilvl w:val="2"/>
      </w:numPr>
      <w:ind w:left="1560"/>
      <w:outlineLvl w:val="2"/>
    </w:pPr>
  </w:style>
  <w:style w:type="paragraph" w:styleId="Nadpis4">
    <w:name w:val="heading 4"/>
    <w:basedOn w:val="Normln"/>
    <w:next w:val="Normln"/>
    <w:link w:val="Nadpis4Char"/>
    <w:uiPriority w:val="9"/>
    <w:semiHidden/>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
    <w:rsid w:val="002A590A"/>
    <w:rPr>
      <w:rFonts w:ascii="Verdana" w:eastAsiaTheme="majorEastAsia" w:hAnsi="Verdana" w:cstheme="majorBidi"/>
      <w:b/>
      <w:bCs/>
      <w:caps/>
      <w:sz w:val="20"/>
      <w:szCs w:val="20"/>
    </w:rPr>
  </w:style>
  <w:style w:type="character" w:customStyle="1" w:styleId="Nadpis2Char">
    <w:name w:val="Nadpis 2 Char"/>
    <w:basedOn w:val="Standardnpsmoodstavce"/>
    <w:link w:val="Nadpis2"/>
    <w:uiPriority w:val="9"/>
    <w:rsid w:val="002A590A"/>
    <w:rPr>
      <w:rFonts w:ascii="Verdana" w:hAnsi="Verdana"/>
      <w:sz w:val="18"/>
    </w:rPr>
  </w:style>
  <w:style w:type="character" w:customStyle="1" w:styleId="Nadpis3Char">
    <w:name w:val="Nadpis 3 Char"/>
    <w:basedOn w:val="Standardnpsmoodstavce"/>
    <w:link w:val="Nadpis3"/>
    <w:uiPriority w:val="9"/>
    <w:rsid w:val="002A590A"/>
    <w:rPr>
      <w:rFonts w:ascii="Verdana" w:hAnsi="Verdana"/>
      <w:sz w:val="18"/>
    </w:rPr>
  </w:style>
  <w:style w:type="character" w:customStyle="1" w:styleId="Nadpis4Char">
    <w:name w:val="Nadpis 4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semiHidden/>
    <w:unhideWhenUsed/>
    <w:rsid w:val="002D5574"/>
    <w:rPr>
      <w:sz w:val="16"/>
      <w:szCs w:val="16"/>
    </w:rPr>
  </w:style>
  <w:style w:type="paragraph" w:styleId="Textkomente">
    <w:name w:val="annotation text"/>
    <w:basedOn w:val="Normln"/>
    <w:link w:val="TextkomenteChar"/>
    <w:uiPriority w:val="99"/>
    <w:semiHidden/>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semiHidden/>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Default">
    <w:name w:val="Default"/>
    <w:rsid w:val="0012359C"/>
    <w:pPr>
      <w:widowControl w:val="0"/>
      <w:suppressAutoHyphens/>
      <w:autoSpaceDE w:val="0"/>
      <w:spacing w:after="0" w:line="240" w:lineRule="auto"/>
    </w:pPr>
    <w:rPr>
      <w:rFonts w:ascii="News Serif EE" w:eastAsia="Times New Roman" w:hAnsi="News Serif EE" w:cs="News Serif EE"/>
      <w:color w:val="000000"/>
      <w:sz w:val="24"/>
      <w:szCs w:val="24"/>
      <w:lang w:eastAsia="zh-CN"/>
    </w:rPr>
  </w:style>
  <w:style w:type="paragraph" w:customStyle="1" w:styleId="TMslovanodstavectun">
    <w:name w:val="TM_Číslovaný_odstavec_tučný"/>
    <w:basedOn w:val="Normln"/>
    <w:rsid w:val="0030688E"/>
    <w:pPr>
      <w:numPr>
        <w:numId w:val="5"/>
      </w:numPr>
      <w:spacing w:before="240" w:after="120" w:line="280" w:lineRule="exact"/>
      <w:ind w:right="14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30688E"/>
    <w:pPr>
      <w:numPr>
        <w:ilvl w:val="1"/>
      </w:numPr>
      <w:tabs>
        <w:tab w:val="clear" w:pos="3196"/>
        <w:tab w:val="num" w:pos="360"/>
      </w:tabs>
      <w:spacing w:before="120"/>
      <w:ind w:left="360"/>
    </w:pPr>
    <w:rPr>
      <w:b w:val="0"/>
    </w:rPr>
  </w:style>
  <w:style w:type="paragraph" w:customStyle="1" w:styleId="cpNormal1">
    <w:name w:val="cp_Normal_1"/>
    <w:basedOn w:val="Normln"/>
    <w:qFormat/>
    <w:rsid w:val="009040E2"/>
    <w:pPr>
      <w:spacing w:after="320" w:line="320" w:lineRule="exact"/>
    </w:pPr>
    <w:rPr>
      <w:rFonts w:ascii="Times New Roman" w:eastAsia="Calibri" w:hAnsi="Times New Roman" w:cs="Times New Roman"/>
      <w:sz w:val="22"/>
    </w:rPr>
  </w:style>
  <w:style w:type="character" w:styleId="Nevyeenzmnka">
    <w:name w:val="Unresolved Mention"/>
    <w:basedOn w:val="Standardnpsmoodstavce"/>
    <w:uiPriority w:val="99"/>
    <w:semiHidden/>
    <w:unhideWhenUsed/>
    <w:rsid w:val="004E1069"/>
    <w:rPr>
      <w:color w:val="605E5C"/>
      <w:shd w:val="clear" w:color="auto" w:fill="E1DFDD"/>
    </w:rPr>
  </w:style>
  <w:style w:type="character" w:styleId="Sledovanodkaz">
    <w:name w:val="FollowedHyperlink"/>
    <w:basedOn w:val="Standardnpsmoodstavce"/>
    <w:uiPriority w:val="99"/>
    <w:semiHidden/>
    <w:unhideWhenUsed/>
    <w:rsid w:val="00274DC5"/>
    <w:rPr>
      <w:color w:val="800080" w:themeColor="followedHyperlink"/>
      <w:u w:val="single"/>
    </w:rPr>
  </w:style>
  <w:style w:type="paragraph" w:styleId="Revize">
    <w:name w:val="Revision"/>
    <w:hidden/>
    <w:uiPriority w:val="99"/>
    <w:semiHidden/>
    <w:rsid w:val="00D23451"/>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tas.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9330-6922-4403-8E24-283AB6FF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4683</Words>
  <Characters>27636</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5</cp:revision>
  <cp:lastPrinted>2017-08-07T09:44:00Z</cp:lastPrinted>
  <dcterms:created xsi:type="dcterms:W3CDTF">2019-01-07T11:01:00Z</dcterms:created>
  <dcterms:modified xsi:type="dcterms:W3CDTF">2019-01-08T11:04:00Z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ies>
</file>