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2E42A" w14:textId="77777777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Contract Fulfilment 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443"/>
        <w:gridCol w:w="4039"/>
      </w:tblGrid>
      <w:tr w:rsidR="007904B7" w:rsidRPr="00226D75" w14:paraId="0CAEE3CD" w14:textId="77777777" w:rsidTr="00791A32">
        <w:trPr>
          <w:cantSplit/>
          <w:trHeight w:val="579"/>
        </w:trPr>
        <w:tc>
          <w:tcPr>
            <w:tcW w:w="2905" w:type="dxa"/>
            <w:vAlign w:val="center"/>
          </w:tcPr>
          <w:p w14:paraId="73997CE6" w14:textId="77777777"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Deadline:</w:t>
            </w:r>
          </w:p>
        </w:tc>
        <w:tc>
          <w:tcPr>
            <w:tcW w:w="7443" w:type="dxa"/>
            <w:vAlign w:val="center"/>
          </w:tcPr>
          <w:p w14:paraId="62598C13" w14:textId="77777777"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4039" w:type="dxa"/>
            <w:vAlign w:val="center"/>
          </w:tcPr>
          <w:p w14:paraId="205F8CF2" w14:textId="77777777"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2F6AA4" w:rsidRPr="00226D75" w14:paraId="7C345D25" w14:textId="77777777" w:rsidTr="00791A32">
        <w:trPr>
          <w:trHeight w:val="443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14:paraId="2C65F8AE" w14:textId="77777777" w:rsidR="002F6AA4" w:rsidRPr="00226D75" w:rsidRDefault="002F6AA4" w:rsidP="0051427D">
            <w:pPr>
              <w:rPr>
                <w:rFonts w:cs="Arial"/>
                <w:b/>
              </w:rPr>
            </w:pPr>
          </w:p>
        </w:tc>
        <w:tc>
          <w:tcPr>
            <w:tcW w:w="7443" w:type="dxa"/>
            <w:vAlign w:val="center"/>
          </w:tcPr>
          <w:p w14:paraId="5F01F071" w14:textId="77777777" w:rsidR="002F6AA4" w:rsidRPr="00226D75" w:rsidRDefault="002F6AA4" w:rsidP="008007F5">
            <w:pPr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Purchase Contract </w:t>
            </w:r>
            <w:r w:rsidR="008007F5" w:rsidRPr="00226D75">
              <w:rPr>
                <w:rFonts w:cs="Arial"/>
                <w:color w:val="000000"/>
              </w:rPr>
              <w:t>Conclusion</w:t>
            </w:r>
            <w:r w:rsidRPr="00226D75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4039" w:type="dxa"/>
            <w:vAlign w:val="center"/>
          </w:tcPr>
          <w:p w14:paraId="687218F5" w14:textId="77777777" w:rsidR="002F6AA4" w:rsidRPr="00226D75" w:rsidRDefault="002F6AA4" w:rsidP="0051427D">
            <w:pPr>
              <w:rPr>
                <w:rFonts w:cs="Arial"/>
                <w:color w:val="000000"/>
              </w:rPr>
            </w:pPr>
          </w:p>
        </w:tc>
      </w:tr>
      <w:tr w:rsidR="001B5F4B" w:rsidRPr="00226D75" w14:paraId="49DFF5CD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7FE65517" w14:textId="77777777" w:rsidR="001B5F4B" w:rsidRPr="00226D75" w:rsidRDefault="002E0229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 week as of Purchase Contract Effectiveness</w:t>
            </w:r>
          </w:p>
        </w:tc>
        <w:tc>
          <w:tcPr>
            <w:tcW w:w="7443" w:type="dxa"/>
            <w:vAlign w:val="center"/>
          </w:tcPr>
          <w:p w14:paraId="425B4EEA" w14:textId="7693BF17"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Handover of the proforma invoice of </w:t>
            </w:r>
            <w:r w:rsidR="003D6556">
              <w:rPr>
                <w:rFonts w:cs="Arial"/>
                <w:color w:val="000000"/>
              </w:rPr>
              <w:t>4</w:t>
            </w:r>
            <w:r w:rsidR="003D6556" w:rsidRPr="00226D75">
              <w:rPr>
                <w:rFonts w:cs="Arial"/>
                <w:color w:val="000000"/>
              </w:rPr>
              <w:t xml:space="preserve">0 </w:t>
            </w:r>
            <w:r w:rsidRPr="00226D75">
              <w:rPr>
                <w:rFonts w:cs="Arial"/>
                <w:color w:val="000000"/>
              </w:rPr>
              <w:t>% of the total price</w:t>
            </w:r>
          </w:p>
        </w:tc>
        <w:tc>
          <w:tcPr>
            <w:tcW w:w="4039" w:type="dxa"/>
            <w:vAlign w:val="center"/>
          </w:tcPr>
          <w:p w14:paraId="43EF2EB7" w14:textId="77777777"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Art. VI (1) </w:t>
            </w:r>
            <w:r w:rsidR="00226D75" w:rsidRPr="00226D75">
              <w:rPr>
                <w:rFonts w:cs="Arial"/>
                <w:color w:val="000000"/>
              </w:rPr>
              <w:t>(</w:t>
            </w:r>
            <w:r w:rsidRPr="00226D75">
              <w:rPr>
                <w:rFonts w:cs="Arial"/>
                <w:color w:val="000000"/>
              </w:rPr>
              <w:t>a</w:t>
            </w:r>
            <w:r w:rsidR="00226D75" w:rsidRPr="00226D75">
              <w:rPr>
                <w:rFonts w:cs="Arial"/>
                <w:color w:val="000000"/>
              </w:rPr>
              <w:t>)</w:t>
            </w:r>
          </w:p>
        </w:tc>
      </w:tr>
      <w:tr w:rsidR="002F6AA4" w:rsidRPr="00226D75" w14:paraId="314D1A8B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2FE592B7" w14:textId="1D16D33D" w:rsidR="002F6AA4" w:rsidRPr="00226D75" w:rsidRDefault="00E04F96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Within </w:t>
            </w:r>
            <w:r w:rsidR="003D6556">
              <w:rPr>
                <w:rFonts w:cs="Arial"/>
                <w:color w:val="000000"/>
              </w:rPr>
              <w:t xml:space="preserve">22 </w:t>
            </w:r>
            <w:r>
              <w:rPr>
                <w:rFonts w:cs="Arial"/>
                <w:color w:val="000000"/>
              </w:rPr>
              <w:t xml:space="preserve">weeks </w:t>
            </w:r>
            <w:r w:rsidRPr="00E04F96">
              <w:rPr>
                <w:rFonts w:cs="Arial"/>
                <w:color w:val="000000"/>
              </w:rPr>
              <w:t>as of Purchase Contract Effectiveness</w:t>
            </w:r>
          </w:p>
        </w:tc>
        <w:tc>
          <w:tcPr>
            <w:tcW w:w="7443" w:type="dxa"/>
            <w:vAlign w:val="center"/>
          </w:tcPr>
          <w:p w14:paraId="153A36C6" w14:textId="77777777" w:rsidR="002F6AA4" w:rsidRPr="00226D75" w:rsidRDefault="00D458A7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 xml:space="preserve">Device </w:t>
            </w:r>
            <w:r w:rsidR="00E04F96">
              <w:rPr>
                <w:rFonts w:cs="Arial"/>
                <w:color w:val="000000"/>
              </w:rPr>
              <w:t>Factory</w:t>
            </w:r>
            <w:r w:rsidR="002F6AA4" w:rsidRPr="00226D75">
              <w:rPr>
                <w:rFonts w:cs="Arial"/>
                <w:color w:val="000000"/>
              </w:rPr>
              <w:t xml:space="preserve"> Acceptance Tests (FAT) at the manufacturer's facility - before shipping </w:t>
            </w:r>
          </w:p>
        </w:tc>
        <w:tc>
          <w:tcPr>
            <w:tcW w:w="4039" w:type="dxa"/>
            <w:vAlign w:val="center"/>
          </w:tcPr>
          <w:p w14:paraId="7553F78F" w14:textId="77777777"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E04F96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  <w:tr w:rsidR="00791A32" w:rsidRPr="00226D75" w14:paraId="3FC34B66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7600080E" w14:textId="4E96FA8A" w:rsidR="00791A32" w:rsidRPr="00E04F96" w:rsidRDefault="00791A32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No later than </w:t>
            </w:r>
            <w:r w:rsidR="003D6556">
              <w:rPr>
                <w:rFonts w:cs="Arial"/>
                <w:color w:val="000000"/>
              </w:rPr>
              <w:t>10 working days</w:t>
            </w:r>
            <w:r>
              <w:rPr>
                <w:rFonts w:cs="Arial"/>
                <w:color w:val="000000"/>
              </w:rPr>
              <w:t xml:space="preserve"> </w:t>
            </w:r>
            <w:r w:rsidR="00D20BB6">
              <w:rPr>
                <w:rFonts w:cs="Arial"/>
                <w:color w:val="000000"/>
              </w:rPr>
              <w:t>from performing</w:t>
            </w:r>
            <w:r>
              <w:rPr>
                <w:rFonts w:cs="Arial"/>
                <w:color w:val="000000"/>
              </w:rPr>
              <w:t xml:space="preserve"> of FAT</w:t>
            </w:r>
            <w:r w:rsidR="00D20BB6">
              <w:rPr>
                <w:rFonts w:cs="Arial"/>
                <w:color w:val="000000"/>
              </w:rPr>
              <w:t xml:space="preserve"> (obtaining of test samples</w:t>
            </w:r>
            <w:r w:rsidR="004928B5">
              <w:rPr>
                <w:rFonts w:cs="Arial"/>
                <w:color w:val="000000"/>
              </w:rPr>
              <w:t>)</w:t>
            </w:r>
          </w:p>
        </w:tc>
        <w:tc>
          <w:tcPr>
            <w:tcW w:w="7443" w:type="dxa"/>
            <w:vAlign w:val="center"/>
          </w:tcPr>
          <w:p w14:paraId="7A41FED0" w14:textId="77777777" w:rsidR="00791A32" w:rsidRPr="00226D75" w:rsidRDefault="00791A32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791A32">
              <w:rPr>
                <w:rFonts w:cs="Arial"/>
                <w:color w:val="000000"/>
              </w:rPr>
              <w:t xml:space="preserve">Evaluation and acceptance of FAT results meeting the required parameters </w:t>
            </w:r>
            <w:r>
              <w:rPr>
                <w:rFonts w:cs="Arial"/>
                <w:color w:val="000000"/>
              </w:rPr>
              <w:t>by</w:t>
            </w:r>
            <w:r w:rsidRPr="00791A32">
              <w:rPr>
                <w:rFonts w:cs="Arial"/>
                <w:color w:val="000000"/>
              </w:rPr>
              <w:t xml:space="preserve"> the </w:t>
            </w:r>
            <w:r>
              <w:rPr>
                <w:rFonts w:cs="Arial"/>
                <w:color w:val="000000"/>
              </w:rPr>
              <w:t>B</w:t>
            </w:r>
            <w:r w:rsidRPr="00791A32">
              <w:rPr>
                <w:rFonts w:cs="Arial"/>
                <w:color w:val="000000"/>
              </w:rPr>
              <w:t>uyer - signing of the record on the successful acceptance tests</w:t>
            </w:r>
            <w:r>
              <w:rPr>
                <w:rFonts w:cs="Arial"/>
                <w:color w:val="000000"/>
              </w:rPr>
              <w:t xml:space="preserve"> result</w:t>
            </w:r>
          </w:p>
        </w:tc>
        <w:tc>
          <w:tcPr>
            <w:tcW w:w="4039" w:type="dxa"/>
            <w:vAlign w:val="center"/>
          </w:tcPr>
          <w:p w14:paraId="50D969F9" w14:textId="77777777" w:rsidR="00791A32" w:rsidRPr="00226D75" w:rsidRDefault="00791A32" w:rsidP="002E0229">
            <w:pPr>
              <w:jc w:val="both"/>
              <w:rPr>
                <w:rFonts w:cs="Arial"/>
                <w:color w:val="000000"/>
              </w:rPr>
            </w:pPr>
          </w:p>
        </w:tc>
      </w:tr>
      <w:tr w:rsidR="00791A32" w:rsidRPr="00226D75" w14:paraId="1A83E08F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42306F02" w14:textId="77777777" w:rsidR="00791A32" w:rsidRPr="00E04F96" w:rsidRDefault="00791A32" w:rsidP="002E0229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443" w:type="dxa"/>
            <w:vAlign w:val="center"/>
          </w:tcPr>
          <w:p w14:paraId="571F693B" w14:textId="77777777" w:rsidR="00791A32" w:rsidRPr="00226D75" w:rsidRDefault="00791A32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791A32">
              <w:rPr>
                <w:rFonts w:cs="Arial"/>
                <w:color w:val="000000"/>
              </w:rPr>
              <w:t xml:space="preserve">In the case of a negative evaluation of the FAT results </w:t>
            </w:r>
            <w:r>
              <w:rPr>
                <w:rFonts w:cs="Arial"/>
                <w:color w:val="000000"/>
              </w:rPr>
              <w:t>by</w:t>
            </w:r>
            <w:r w:rsidRPr="00791A32">
              <w:rPr>
                <w:rFonts w:cs="Arial"/>
                <w:color w:val="000000"/>
              </w:rPr>
              <w:t xml:space="preserve"> the </w:t>
            </w:r>
            <w:r>
              <w:rPr>
                <w:rFonts w:cs="Arial"/>
                <w:color w:val="000000"/>
              </w:rPr>
              <w:t>B</w:t>
            </w:r>
            <w:r w:rsidRPr="00791A32">
              <w:rPr>
                <w:rFonts w:cs="Arial"/>
                <w:color w:val="000000"/>
              </w:rPr>
              <w:t xml:space="preserve">uyer information to the </w:t>
            </w:r>
            <w:r>
              <w:rPr>
                <w:rFonts w:cs="Arial"/>
                <w:color w:val="000000"/>
              </w:rPr>
              <w:t>S</w:t>
            </w:r>
            <w:r w:rsidRPr="00791A32">
              <w:rPr>
                <w:rFonts w:cs="Arial"/>
                <w:color w:val="000000"/>
              </w:rPr>
              <w:t>eller</w:t>
            </w:r>
            <w:r>
              <w:rPr>
                <w:rFonts w:cs="Arial"/>
                <w:color w:val="000000"/>
              </w:rPr>
              <w:t xml:space="preserve"> will be send</w:t>
            </w:r>
            <w:r w:rsidRPr="00791A32">
              <w:rPr>
                <w:rFonts w:cs="Arial"/>
                <w:color w:val="000000"/>
              </w:rPr>
              <w:t xml:space="preserve"> and a record of the </w:t>
            </w:r>
            <w:r>
              <w:rPr>
                <w:rFonts w:cs="Arial"/>
                <w:color w:val="000000"/>
              </w:rPr>
              <w:t xml:space="preserve">acceptance </w:t>
            </w:r>
            <w:r w:rsidRPr="00791A32">
              <w:rPr>
                <w:rFonts w:cs="Arial"/>
                <w:color w:val="000000"/>
              </w:rPr>
              <w:t>test result of non-compliance with the required parameters</w:t>
            </w:r>
            <w:r>
              <w:rPr>
                <w:rFonts w:cs="Arial"/>
                <w:color w:val="000000"/>
              </w:rPr>
              <w:t xml:space="preserve"> will be signed;</w:t>
            </w:r>
            <w:r w:rsidRPr="00791A32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R</w:t>
            </w:r>
            <w:r w:rsidRPr="00791A32">
              <w:rPr>
                <w:rFonts w:cs="Arial"/>
                <w:color w:val="000000"/>
              </w:rPr>
              <w:t>epetition of the FAT</w:t>
            </w:r>
            <w:r>
              <w:rPr>
                <w:rFonts w:cs="Arial"/>
                <w:color w:val="000000"/>
              </w:rPr>
              <w:t xml:space="preserve"> should take place</w:t>
            </w:r>
            <w:r w:rsidRPr="00791A32">
              <w:rPr>
                <w:rFonts w:cs="Arial"/>
                <w:color w:val="000000"/>
              </w:rPr>
              <w:t xml:space="preserve"> no later than 2 weeks after notification of the negative evaluation of </w:t>
            </w:r>
            <w:r>
              <w:rPr>
                <w:rFonts w:cs="Arial"/>
                <w:color w:val="000000"/>
              </w:rPr>
              <w:t xml:space="preserve">acceptance </w:t>
            </w:r>
            <w:r w:rsidRPr="00791A32">
              <w:rPr>
                <w:rFonts w:cs="Arial"/>
                <w:color w:val="000000"/>
              </w:rPr>
              <w:t>test results.</w:t>
            </w:r>
          </w:p>
        </w:tc>
        <w:tc>
          <w:tcPr>
            <w:tcW w:w="4039" w:type="dxa"/>
            <w:vAlign w:val="center"/>
          </w:tcPr>
          <w:p w14:paraId="6B14DD8A" w14:textId="77777777" w:rsidR="00791A32" w:rsidRPr="00226D75" w:rsidRDefault="00791A32" w:rsidP="002E0229">
            <w:pPr>
              <w:jc w:val="both"/>
              <w:rPr>
                <w:rFonts w:cs="Arial"/>
                <w:color w:val="000000"/>
              </w:rPr>
            </w:pPr>
            <w:r w:rsidRPr="00791A32">
              <w:rPr>
                <w:rFonts w:cs="Arial"/>
                <w:color w:val="000000"/>
              </w:rPr>
              <w:t xml:space="preserve">In case of a negative evaluation of the results of the second FAT test, it is possible to perform the last third FAT, if even after this test the results are not acceptable, the </w:t>
            </w:r>
            <w:r>
              <w:rPr>
                <w:rFonts w:cs="Arial"/>
                <w:color w:val="000000"/>
              </w:rPr>
              <w:t>B</w:t>
            </w:r>
            <w:r w:rsidRPr="00791A32">
              <w:rPr>
                <w:rFonts w:cs="Arial"/>
                <w:color w:val="000000"/>
              </w:rPr>
              <w:t xml:space="preserve">uyer has the right to withdraw from the </w:t>
            </w:r>
            <w:r>
              <w:rPr>
                <w:rFonts w:cs="Arial"/>
                <w:color w:val="000000"/>
              </w:rPr>
              <w:t>C</w:t>
            </w:r>
            <w:r w:rsidRPr="00791A32">
              <w:rPr>
                <w:rFonts w:cs="Arial"/>
                <w:color w:val="000000"/>
              </w:rPr>
              <w:t>ontract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2E0229" w:rsidRPr="00226D75" w14:paraId="28A165F0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504A974E" w14:textId="77777777" w:rsidR="002E0229" w:rsidRPr="00226D75" w:rsidRDefault="00E04F96" w:rsidP="002E0229">
            <w:pPr>
              <w:jc w:val="center"/>
              <w:rPr>
                <w:rFonts w:cs="Arial"/>
                <w:color w:val="000000"/>
              </w:rPr>
            </w:pPr>
            <w:r w:rsidRPr="00E04F96">
              <w:rPr>
                <w:rFonts w:cs="Arial"/>
                <w:color w:val="000000"/>
              </w:rPr>
              <w:t xml:space="preserve">no later than 2 weeks after the </w:t>
            </w:r>
            <w:r w:rsidR="007B573D">
              <w:rPr>
                <w:rFonts w:cs="Arial"/>
                <w:color w:val="000000"/>
              </w:rPr>
              <w:t xml:space="preserve">notification of </w:t>
            </w:r>
            <w:r w:rsidRPr="00E04F96">
              <w:rPr>
                <w:rFonts w:cs="Arial"/>
                <w:color w:val="000000"/>
              </w:rPr>
              <w:t xml:space="preserve">successful </w:t>
            </w:r>
            <w:r w:rsidR="007B573D">
              <w:rPr>
                <w:rFonts w:cs="Arial"/>
                <w:color w:val="000000"/>
              </w:rPr>
              <w:t>evaluation</w:t>
            </w:r>
            <w:r w:rsidRPr="00E04F96">
              <w:rPr>
                <w:rFonts w:cs="Arial"/>
                <w:color w:val="000000"/>
              </w:rPr>
              <w:t xml:space="preserve"> of the acceptance tests (FAT)</w:t>
            </w:r>
          </w:p>
        </w:tc>
        <w:tc>
          <w:tcPr>
            <w:tcW w:w="7443" w:type="dxa"/>
            <w:vAlign w:val="center"/>
          </w:tcPr>
          <w:p w14:paraId="589B5E81" w14:textId="77777777" w:rsidR="002E0229" w:rsidRPr="00226D75" w:rsidRDefault="002E0229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the </w:t>
            </w:r>
            <w:r w:rsidRPr="00226D75">
              <w:rPr>
                <w:rFonts w:cs="Arial"/>
              </w:rPr>
              <w:t>Device – signing of the delivery note</w:t>
            </w:r>
          </w:p>
        </w:tc>
        <w:tc>
          <w:tcPr>
            <w:tcW w:w="4039" w:type="dxa"/>
            <w:vAlign w:val="center"/>
          </w:tcPr>
          <w:p w14:paraId="5B856C87" w14:textId="1116691C" w:rsidR="002E0229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3D6556"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)</w:t>
            </w:r>
            <w:r w:rsidR="00E04F96">
              <w:rPr>
                <w:rFonts w:cs="Arial"/>
                <w:color w:val="000000"/>
              </w:rPr>
              <w:t xml:space="preserve"> </w:t>
            </w:r>
          </w:p>
        </w:tc>
      </w:tr>
      <w:tr w:rsidR="002F6AA4" w:rsidRPr="00226D75" w14:paraId="6CA96642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52D07B6F" w14:textId="77777777" w:rsidR="002F6AA4" w:rsidRPr="00226D75" w:rsidRDefault="00226D75" w:rsidP="00226D7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3 weeks after signing the delivery note (delivery of the Device)</w:t>
            </w:r>
          </w:p>
        </w:tc>
        <w:tc>
          <w:tcPr>
            <w:tcW w:w="7443" w:type="dxa"/>
            <w:vAlign w:val="center"/>
          </w:tcPr>
          <w:p w14:paraId="231C2399" w14:textId="77777777" w:rsidR="00226D75" w:rsidRPr="00226D75" w:rsidRDefault="00170985" w:rsidP="00226D7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 xml:space="preserve"> signing</w:t>
            </w:r>
            <w:r w:rsidR="00226D75" w:rsidRPr="00226D75">
              <w:rPr>
                <w:rFonts w:cs="Arial"/>
                <w:color w:val="000000"/>
              </w:rPr>
              <w:t xml:space="preserve"> confirming:</w:t>
            </w:r>
          </w:p>
          <w:p w14:paraId="098E68FF" w14:textId="77777777" w:rsidR="00226D75" w:rsidRPr="00226D75" w:rsidRDefault="00F331CB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i</w:t>
            </w:r>
            <w:r w:rsidR="001A215C" w:rsidRPr="00226D75">
              <w:rPr>
                <w:rFonts w:cs="Arial"/>
                <w:color w:val="000000"/>
              </w:rPr>
              <w:t xml:space="preserve">nstallation of the </w:t>
            </w:r>
            <w:r w:rsidR="00D458A7" w:rsidRPr="00226D75">
              <w:rPr>
                <w:rFonts w:cs="Arial"/>
              </w:rPr>
              <w:t>Device</w:t>
            </w:r>
            <w:r w:rsidR="001A215C" w:rsidRPr="00226D75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7777777" w:rsidR="00F331CB" w:rsidRPr="00226D75" w:rsidRDefault="001A215C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delivery of necessary documents required by the Contract</w:t>
            </w:r>
            <w:r w:rsidR="00605D0A" w:rsidRPr="00226D75">
              <w:rPr>
                <w:rFonts w:cs="Arial"/>
                <w:color w:val="000000"/>
              </w:rPr>
              <w:t xml:space="preserve"> including </w:t>
            </w:r>
            <w:r w:rsidR="00F331CB" w:rsidRPr="00226D75">
              <w:rPr>
                <w:rFonts w:cs="Arial"/>
              </w:rPr>
              <w:t>handover of documents and technical documentation according to Annex No. 2</w:t>
            </w:r>
          </w:p>
          <w:p w14:paraId="6C7C79B7" w14:textId="77777777"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training of the </w:t>
            </w:r>
            <w:r w:rsidR="00E04F96">
              <w:rPr>
                <w:rFonts w:cs="Arial"/>
                <w:color w:val="000000"/>
              </w:rPr>
              <w:t>Buyer</w:t>
            </w:r>
            <w:r w:rsidRPr="00226D75">
              <w:rPr>
                <w:rFonts w:cs="Arial"/>
                <w:color w:val="000000"/>
              </w:rPr>
              <w:t xml:space="preserve"> operator and </w:t>
            </w:r>
            <w:r>
              <w:rPr>
                <w:rFonts w:cs="Arial"/>
                <w:color w:val="000000"/>
              </w:rPr>
              <w:t>maintenance personnel</w:t>
            </w:r>
          </w:p>
          <w:p w14:paraId="7E565D55" w14:textId="77777777" w:rsidR="00226D75" w:rsidRPr="004438F1" w:rsidRDefault="004438F1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d</w:t>
            </w:r>
            <w:r w:rsidR="00226D75" w:rsidRPr="00226D75">
              <w:rPr>
                <w:rFonts w:cs="Arial"/>
              </w:rPr>
              <w:t>evice acceptance tests</w:t>
            </w:r>
            <w:r>
              <w:rPr>
                <w:rFonts w:cs="Arial"/>
              </w:rPr>
              <w:t xml:space="preserve"> in the Buyer’s premises</w:t>
            </w:r>
            <w:r w:rsidR="00226D75" w:rsidRPr="00226D75">
              <w:rPr>
                <w:rFonts w:cs="Arial"/>
              </w:rPr>
              <w:t xml:space="preserve"> (SAT)</w:t>
            </w:r>
          </w:p>
          <w:p w14:paraId="52478FD2" w14:textId="77777777" w:rsidR="004438F1" w:rsidRPr="00226D75" w:rsidRDefault="004438F1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beginning of the 30-days test run</w:t>
            </w:r>
          </w:p>
        </w:tc>
        <w:tc>
          <w:tcPr>
            <w:tcW w:w="4039" w:type="dxa"/>
            <w:vAlign w:val="center"/>
          </w:tcPr>
          <w:p w14:paraId="1E655491" w14:textId="77777777" w:rsidR="00F072CB" w:rsidRPr="00226D75" w:rsidRDefault="004438F1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Article II (2) (b), </w:t>
            </w:r>
            <w:r w:rsidR="00226D75" w:rsidRPr="00226D75">
              <w:rPr>
                <w:rFonts w:cs="Arial"/>
                <w:color w:val="000000"/>
              </w:rPr>
              <w:t>Article IV (</w:t>
            </w:r>
            <w:r w:rsidR="00E04F96">
              <w:rPr>
                <w:rFonts w:cs="Arial"/>
                <w:color w:val="000000"/>
              </w:rPr>
              <w:t>4</w:t>
            </w:r>
            <w:r w:rsidR="00F072CB" w:rsidRPr="00226D75">
              <w:rPr>
                <w:rFonts w:cs="Arial"/>
                <w:color w:val="000000"/>
              </w:rPr>
              <w:t>)</w:t>
            </w:r>
            <w:r w:rsidR="00226D75" w:rsidRPr="00226D75">
              <w:rPr>
                <w:rFonts w:cs="Arial"/>
                <w:color w:val="000000"/>
              </w:rPr>
              <w:t xml:space="preserve"> and</w:t>
            </w:r>
          </w:p>
          <w:p w14:paraId="3069FA05" w14:textId="77777777"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</w:t>
            </w:r>
            <w:r w:rsidR="00226D75" w:rsidRPr="00226D75">
              <w:rPr>
                <w:rFonts w:cs="Arial"/>
                <w:color w:val="000000"/>
              </w:rPr>
              <w:t xml:space="preserve">X </w:t>
            </w:r>
            <w:r w:rsidR="00F331CB" w:rsidRPr="00226D75">
              <w:rPr>
                <w:rFonts w:cs="Arial"/>
                <w:color w:val="000000"/>
              </w:rPr>
              <w:t>(4)</w:t>
            </w:r>
          </w:p>
        </w:tc>
      </w:tr>
      <w:tr w:rsidR="00226D75" w:rsidRPr="00226D75" w14:paraId="09460C12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39C4E704" w14:textId="77777777" w:rsidR="00226D75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10 days after signing of the Protocol No. 1</w:t>
            </w:r>
          </w:p>
        </w:tc>
        <w:tc>
          <w:tcPr>
            <w:tcW w:w="7443" w:type="dxa"/>
            <w:vAlign w:val="center"/>
          </w:tcPr>
          <w:p w14:paraId="51DF53CD" w14:textId="77777777"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 w:rsidR="004438F1">
              <w:rPr>
                <w:rFonts w:cs="Arial"/>
                <w:color w:val="000000"/>
              </w:rPr>
              <w:t xml:space="preserve">, </w:t>
            </w:r>
            <w:r w:rsidR="004438F1"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4039" w:type="dxa"/>
            <w:vAlign w:val="center"/>
          </w:tcPr>
          <w:p w14:paraId="7F9EC705" w14:textId="77777777"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VI (1) (b)</w:t>
            </w:r>
          </w:p>
        </w:tc>
      </w:tr>
      <w:tr w:rsidR="002F6AA4" w:rsidRPr="00226D75" w14:paraId="35BFF0CE" w14:textId="77777777" w:rsidTr="00791A32">
        <w:trPr>
          <w:trHeight w:val="443"/>
        </w:trPr>
        <w:tc>
          <w:tcPr>
            <w:tcW w:w="2905" w:type="dxa"/>
            <w:vAlign w:val="center"/>
          </w:tcPr>
          <w:p w14:paraId="5F49CEC0" w14:textId="77777777" w:rsidR="002F6AA4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30 days after</w:t>
            </w:r>
            <w:r>
              <w:rPr>
                <w:rFonts w:cs="Arial"/>
                <w:color w:val="000000"/>
              </w:rPr>
              <w:t xml:space="preserve"> </w:t>
            </w:r>
            <w:r w:rsidR="00170985">
              <w:rPr>
                <w:rFonts w:cs="Arial"/>
                <w:color w:val="000000"/>
              </w:rPr>
              <w:t>beginning of the test run</w:t>
            </w:r>
          </w:p>
        </w:tc>
        <w:tc>
          <w:tcPr>
            <w:tcW w:w="7443" w:type="dxa"/>
            <w:vAlign w:val="center"/>
          </w:tcPr>
          <w:p w14:paraId="2D8D8F24" w14:textId="77777777" w:rsidR="002F6AA4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the 30-day test </w:t>
            </w:r>
            <w:r w:rsidRPr="00226D75">
              <w:rPr>
                <w:rFonts w:cs="Arial"/>
                <w:color w:val="000000"/>
              </w:rPr>
              <w:t>run</w:t>
            </w:r>
          </w:p>
          <w:p w14:paraId="2AB9276E" w14:textId="4224944B" w:rsidR="00170985" w:rsidRPr="00226D75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Protocol No. 2 signing</w:t>
            </w:r>
            <w:r>
              <w:rPr>
                <w:rFonts w:cs="Arial"/>
                <w:color w:val="000000"/>
              </w:rPr>
              <w:t xml:space="preserve">, 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 w:rsidR="004438F1">
              <w:rPr>
                <w:rFonts w:cs="Arial"/>
                <w:color w:val="000000"/>
              </w:rPr>
              <w:t xml:space="preserve">, final </w:t>
            </w:r>
            <w:r w:rsidR="004438F1" w:rsidRPr="004438F1">
              <w:rPr>
                <w:rFonts w:cs="Arial"/>
                <w:color w:val="000000"/>
              </w:rPr>
              <w:t xml:space="preserve">payment of </w:t>
            </w:r>
            <w:r w:rsidR="003D6556">
              <w:rPr>
                <w:rFonts w:cs="Arial"/>
                <w:color w:val="000000"/>
              </w:rPr>
              <w:t>1</w:t>
            </w:r>
            <w:r w:rsidR="003D6556" w:rsidRPr="004438F1">
              <w:rPr>
                <w:rFonts w:cs="Arial"/>
                <w:color w:val="000000"/>
              </w:rPr>
              <w:t>0</w:t>
            </w:r>
            <w:r w:rsidR="004438F1" w:rsidRPr="004438F1">
              <w:rPr>
                <w:rFonts w:cs="Arial"/>
                <w:color w:val="000000"/>
              </w:rPr>
              <w:t>% of the total price</w:t>
            </w:r>
          </w:p>
        </w:tc>
        <w:tc>
          <w:tcPr>
            <w:tcW w:w="4039" w:type="dxa"/>
            <w:vAlign w:val="center"/>
          </w:tcPr>
          <w:p w14:paraId="1C2A6827" w14:textId="77777777" w:rsidR="00F75D78" w:rsidRPr="00226D75" w:rsidRDefault="0017098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IX (7)</w:t>
            </w:r>
            <w:bookmarkStart w:id="0" w:name="_GoBack"/>
            <w:r w:rsidR="003D6556">
              <w:rPr>
                <w:rFonts w:cs="Arial"/>
                <w:color w:val="000000"/>
              </w:rPr>
              <w:t>, Article VI (1) (c)</w:t>
            </w:r>
            <w:bookmarkEnd w:id="0"/>
          </w:p>
          <w:p w14:paraId="21EA54B2" w14:textId="77777777" w:rsidR="00F072CB" w:rsidRPr="00226D75" w:rsidRDefault="00F072CB" w:rsidP="002E0229">
            <w:pPr>
              <w:jc w:val="both"/>
              <w:rPr>
                <w:rFonts w:cs="Arial"/>
                <w:color w:val="000000"/>
                <w:highlight w:val="cyan"/>
              </w:rPr>
            </w:pPr>
          </w:p>
        </w:tc>
      </w:tr>
      <w:tr w:rsidR="002F6AA4" w:rsidRPr="00226D75" w14:paraId="0B89A565" w14:textId="77777777" w:rsidTr="00791A32">
        <w:trPr>
          <w:trHeight w:val="429"/>
        </w:trPr>
        <w:tc>
          <w:tcPr>
            <w:tcW w:w="2905" w:type="dxa"/>
            <w:vAlign w:val="center"/>
          </w:tcPr>
          <w:p w14:paraId="1F85D4E5" w14:textId="77777777" w:rsidR="006B6E46" w:rsidRPr="00226D75" w:rsidRDefault="00170985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 months</w:t>
            </w:r>
            <w:r w:rsidR="006B6E46" w:rsidRPr="00226D75">
              <w:rPr>
                <w:rFonts w:cs="Arial"/>
                <w:color w:val="000000"/>
              </w:rPr>
              <w:t xml:space="preserve"> after signing</w:t>
            </w:r>
          </w:p>
          <w:p w14:paraId="6C4528A9" w14:textId="77777777" w:rsidR="002F6AA4" w:rsidRPr="00226D75" w:rsidRDefault="006B6E46" w:rsidP="0017098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 w:rsidR="00170985">
              <w:rPr>
                <w:rFonts w:cs="Arial"/>
                <w:color w:val="000000"/>
              </w:rPr>
              <w:t>2</w:t>
            </w:r>
          </w:p>
        </w:tc>
        <w:tc>
          <w:tcPr>
            <w:tcW w:w="7443" w:type="dxa"/>
            <w:vAlign w:val="center"/>
          </w:tcPr>
          <w:p w14:paraId="3435C292" w14:textId="77777777" w:rsidR="002F6AA4" w:rsidRPr="00170985" w:rsidRDefault="00170985" w:rsidP="00170985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4039" w:type="dxa"/>
            <w:vAlign w:val="center"/>
          </w:tcPr>
          <w:p w14:paraId="0D763987" w14:textId="77777777" w:rsidR="00605D0A" w:rsidRPr="00226D75" w:rsidRDefault="00605D0A" w:rsidP="0017098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</w:t>
            </w:r>
            <w:r w:rsidR="00170985">
              <w:rPr>
                <w:rFonts w:cs="Arial"/>
                <w:color w:val="000000"/>
              </w:rPr>
              <w:t xml:space="preserve">rticle </w:t>
            </w:r>
            <w:r w:rsidRPr="00226D75">
              <w:rPr>
                <w:rFonts w:cs="Arial"/>
                <w:color w:val="000000"/>
              </w:rPr>
              <w:t>X (</w:t>
            </w:r>
            <w:r w:rsidR="00170985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</w:tbl>
    <w:p w14:paraId="3A9AD3C1" w14:textId="77777777" w:rsidR="003D78E1" w:rsidRPr="00226D75" w:rsidRDefault="003D78E1" w:rsidP="002E0229">
      <w:pPr>
        <w:jc w:val="both"/>
        <w:rPr>
          <w:rFonts w:cs="Arial"/>
        </w:rPr>
      </w:pPr>
    </w:p>
    <w:p w14:paraId="60BA7891" w14:textId="77777777" w:rsidR="00A4324E" w:rsidRPr="00D458A7" w:rsidRDefault="001A215C" w:rsidP="00A4324E">
      <w:pPr>
        <w:rPr>
          <w:rFonts w:cs="Arial"/>
          <w:sz w:val="22"/>
          <w:szCs w:val="22"/>
        </w:rPr>
      </w:pPr>
      <w:r w:rsidRPr="00226D75">
        <w:rPr>
          <w:rFonts w:cs="Arial"/>
        </w:rPr>
        <w:t xml:space="preserve">Any changes to this </w:t>
      </w:r>
      <w:r w:rsidR="00E52FC2" w:rsidRPr="00226D75">
        <w:rPr>
          <w:rFonts w:cs="Arial"/>
        </w:rPr>
        <w:t>Time Schedule</w:t>
      </w:r>
      <w:r w:rsidRPr="00226D75">
        <w:rPr>
          <w:rFonts w:cs="Arial"/>
        </w:rPr>
        <w:t xml:space="preserve"> may be made, in justified cases and except for the deadline for </w:t>
      </w:r>
      <w:r w:rsidR="00E04F96">
        <w:rPr>
          <w:rFonts w:cs="Arial"/>
        </w:rPr>
        <w:t>factory Acceptance tests (FAT) in accordance with</w:t>
      </w:r>
      <w:r w:rsidRPr="00226D75">
        <w:rPr>
          <w:rFonts w:cs="Arial"/>
        </w:rPr>
        <w:t xml:space="preserve"> Article IV </w:t>
      </w:r>
      <w:r w:rsidR="00E04F96">
        <w:rPr>
          <w:rFonts w:cs="Arial"/>
        </w:rPr>
        <w:t xml:space="preserve">(2) </w:t>
      </w:r>
      <w:r w:rsidRPr="00226D75">
        <w:rPr>
          <w:rFonts w:cs="Arial"/>
        </w:rPr>
        <w:t xml:space="preserve">of the Contract, in the form of a written </w:t>
      </w:r>
      <w:r w:rsidR="00170985">
        <w:rPr>
          <w:rFonts w:cs="Arial"/>
        </w:rPr>
        <w:t>protocol</w:t>
      </w:r>
      <w:r w:rsidR="004D1D48" w:rsidRPr="00226D75">
        <w:rPr>
          <w:rFonts w:cs="Arial"/>
        </w:rPr>
        <w:t xml:space="preserve"> </w:t>
      </w:r>
      <w:r w:rsidRPr="00226D75">
        <w:rPr>
          <w:rFonts w:cs="Arial"/>
        </w:rPr>
        <w:t>signed by authorized representatives of both</w:t>
      </w:r>
      <w:r w:rsidR="00170985">
        <w:rPr>
          <w:rFonts w:cs="Arial"/>
        </w:rPr>
        <w:t xml:space="preserve"> Contracting</w:t>
      </w:r>
      <w:r w:rsidRPr="00226D75">
        <w:rPr>
          <w:rFonts w:cs="Arial"/>
        </w:rPr>
        <w:t xml:space="preserve"> Parties.</w:t>
      </w:r>
    </w:p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77777777" w:rsidR="00222A96" w:rsidRPr="00D458A7" w:rsidRDefault="001A215C" w:rsidP="00A4324E">
      <w:pPr>
        <w:tabs>
          <w:tab w:val="left" w:pos="11252"/>
        </w:tabs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C423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41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7ADE" w14:textId="77777777" w:rsidR="00DB522F" w:rsidRDefault="00DB522F">
      <w:r>
        <w:separator/>
      </w:r>
    </w:p>
  </w:endnote>
  <w:endnote w:type="continuationSeparator" w:id="0">
    <w:p w14:paraId="6F47C6E8" w14:textId="77777777" w:rsidR="00DB522F" w:rsidRDefault="00DB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BD186" w14:textId="77777777" w:rsidR="00050A8E" w:rsidRDefault="00050A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F4496" w14:textId="77777777" w:rsidR="00050A8E" w:rsidRDefault="00050A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A35C1" w14:textId="77777777" w:rsidR="00050A8E" w:rsidRDefault="00050A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24404" w14:textId="77777777" w:rsidR="00DB522F" w:rsidRDefault="00DB522F">
      <w:r>
        <w:separator/>
      </w:r>
    </w:p>
  </w:footnote>
  <w:footnote w:type="continuationSeparator" w:id="0">
    <w:p w14:paraId="3C4A4C8B" w14:textId="77777777" w:rsidR="00DB522F" w:rsidRDefault="00DB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A46B5" w14:textId="77777777" w:rsidR="00050A8E" w:rsidRDefault="00050A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A71BA" w14:textId="77777777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Purchase Contract No. </w:t>
    </w:r>
    <w:r w:rsidR="00B60154" w:rsidRPr="00B60154">
      <w:rPr>
        <w:b/>
        <w:sz w:val="22"/>
        <w:szCs w:val="22"/>
      </w:rPr>
      <w:t>0</w:t>
    </w:r>
    <w:r w:rsidR="00050A8E">
      <w:rPr>
        <w:b/>
        <w:sz w:val="22"/>
        <w:szCs w:val="22"/>
      </w:rPr>
      <w:t>55</w:t>
    </w:r>
    <w:r w:rsidR="00B60154" w:rsidRPr="00B60154">
      <w:rPr>
        <w:b/>
        <w:sz w:val="22"/>
        <w:szCs w:val="22"/>
      </w:rPr>
      <w:t>/OS/20</w:t>
    </w:r>
    <w:r w:rsidR="00980771">
      <w:rPr>
        <w:b/>
        <w:sz w:val="22"/>
        <w:szCs w:val="22"/>
      </w:rPr>
      <w:t>20</w:t>
    </w:r>
  </w:p>
  <w:p w14:paraId="4F09D8EB" w14:textId="77777777" w:rsidR="002E0229" w:rsidRDefault="002E02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1B57" w14:textId="77777777" w:rsidR="00050A8E" w:rsidRDefault="00050A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5939"/>
    <w:rsid w:val="000668D0"/>
    <w:rsid w:val="00071A33"/>
    <w:rsid w:val="000869F4"/>
    <w:rsid w:val="000A12BF"/>
    <w:rsid w:val="000C6803"/>
    <w:rsid w:val="000E1CCC"/>
    <w:rsid w:val="000E66E1"/>
    <w:rsid w:val="000E675A"/>
    <w:rsid w:val="000E766D"/>
    <w:rsid w:val="0010354A"/>
    <w:rsid w:val="00103853"/>
    <w:rsid w:val="001065E0"/>
    <w:rsid w:val="001365EC"/>
    <w:rsid w:val="0016068B"/>
    <w:rsid w:val="00167281"/>
    <w:rsid w:val="00170985"/>
    <w:rsid w:val="0019309C"/>
    <w:rsid w:val="001A215C"/>
    <w:rsid w:val="001A7C50"/>
    <w:rsid w:val="001B5F4B"/>
    <w:rsid w:val="001F409E"/>
    <w:rsid w:val="002053E9"/>
    <w:rsid w:val="00222A96"/>
    <w:rsid w:val="00226D75"/>
    <w:rsid w:val="00243BAC"/>
    <w:rsid w:val="00251D2C"/>
    <w:rsid w:val="00252082"/>
    <w:rsid w:val="00274CDB"/>
    <w:rsid w:val="00284F31"/>
    <w:rsid w:val="002879CB"/>
    <w:rsid w:val="00295F6B"/>
    <w:rsid w:val="0029661A"/>
    <w:rsid w:val="002B36AC"/>
    <w:rsid w:val="002D3083"/>
    <w:rsid w:val="002E0229"/>
    <w:rsid w:val="002F6AA4"/>
    <w:rsid w:val="00306CBE"/>
    <w:rsid w:val="00322F71"/>
    <w:rsid w:val="00324760"/>
    <w:rsid w:val="003247E5"/>
    <w:rsid w:val="00332084"/>
    <w:rsid w:val="00344FDE"/>
    <w:rsid w:val="00345E1A"/>
    <w:rsid w:val="00363008"/>
    <w:rsid w:val="00395E17"/>
    <w:rsid w:val="00396124"/>
    <w:rsid w:val="003B2941"/>
    <w:rsid w:val="003D1C9F"/>
    <w:rsid w:val="003D55ED"/>
    <w:rsid w:val="003D6556"/>
    <w:rsid w:val="003D78E1"/>
    <w:rsid w:val="003E5280"/>
    <w:rsid w:val="0041614A"/>
    <w:rsid w:val="00427A43"/>
    <w:rsid w:val="004345F5"/>
    <w:rsid w:val="004438F1"/>
    <w:rsid w:val="00447DE8"/>
    <w:rsid w:val="00456048"/>
    <w:rsid w:val="00456BFA"/>
    <w:rsid w:val="00464F2E"/>
    <w:rsid w:val="004724BE"/>
    <w:rsid w:val="004928B5"/>
    <w:rsid w:val="004958CD"/>
    <w:rsid w:val="004C581D"/>
    <w:rsid w:val="004D1D48"/>
    <w:rsid w:val="004D78C2"/>
    <w:rsid w:val="0051191E"/>
    <w:rsid w:val="0051427D"/>
    <w:rsid w:val="00571EEC"/>
    <w:rsid w:val="0059226A"/>
    <w:rsid w:val="00605D0A"/>
    <w:rsid w:val="006408AF"/>
    <w:rsid w:val="00642445"/>
    <w:rsid w:val="006579E3"/>
    <w:rsid w:val="00672971"/>
    <w:rsid w:val="006778B3"/>
    <w:rsid w:val="00680461"/>
    <w:rsid w:val="00695AC3"/>
    <w:rsid w:val="006960B8"/>
    <w:rsid w:val="006B3544"/>
    <w:rsid w:val="006B6E46"/>
    <w:rsid w:val="006E06A7"/>
    <w:rsid w:val="006F1D45"/>
    <w:rsid w:val="00703579"/>
    <w:rsid w:val="00721B5A"/>
    <w:rsid w:val="00734990"/>
    <w:rsid w:val="007556EF"/>
    <w:rsid w:val="0075655F"/>
    <w:rsid w:val="007752BB"/>
    <w:rsid w:val="007904B7"/>
    <w:rsid w:val="00791A32"/>
    <w:rsid w:val="007A4FC7"/>
    <w:rsid w:val="007B2822"/>
    <w:rsid w:val="007B573D"/>
    <w:rsid w:val="007B5FE3"/>
    <w:rsid w:val="007F3B28"/>
    <w:rsid w:val="008007F5"/>
    <w:rsid w:val="00810222"/>
    <w:rsid w:val="0085507D"/>
    <w:rsid w:val="00872AE9"/>
    <w:rsid w:val="008A0DDB"/>
    <w:rsid w:val="008A141D"/>
    <w:rsid w:val="008A7DED"/>
    <w:rsid w:val="008D1F3D"/>
    <w:rsid w:val="0090353E"/>
    <w:rsid w:val="009058C2"/>
    <w:rsid w:val="00913C30"/>
    <w:rsid w:val="00925C05"/>
    <w:rsid w:val="00965851"/>
    <w:rsid w:val="00970BF2"/>
    <w:rsid w:val="00980771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5C67"/>
    <w:rsid w:val="00AE11B5"/>
    <w:rsid w:val="00B021C9"/>
    <w:rsid w:val="00B03DAC"/>
    <w:rsid w:val="00B44BCC"/>
    <w:rsid w:val="00B54ADB"/>
    <w:rsid w:val="00B60154"/>
    <w:rsid w:val="00B82DE8"/>
    <w:rsid w:val="00B96B31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2329"/>
    <w:rsid w:val="00C44BE7"/>
    <w:rsid w:val="00C6777B"/>
    <w:rsid w:val="00C94C85"/>
    <w:rsid w:val="00D20BB6"/>
    <w:rsid w:val="00D21C23"/>
    <w:rsid w:val="00D458A7"/>
    <w:rsid w:val="00D45D2B"/>
    <w:rsid w:val="00D847FE"/>
    <w:rsid w:val="00DA40B7"/>
    <w:rsid w:val="00DB522F"/>
    <w:rsid w:val="00DC6923"/>
    <w:rsid w:val="00DE2D5B"/>
    <w:rsid w:val="00DE413D"/>
    <w:rsid w:val="00DE7A02"/>
    <w:rsid w:val="00DF5324"/>
    <w:rsid w:val="00DF774B"/>
    <w:rsid w:val="00E04F96"/>
    <w:rsid w:val="00E13CFB"/>
    <w:rsid w:val="00E22190"/>
    <w:rsid w:val="00E3010B"/>
    <w:rsid w:val="00E31A57"/>
    <w:rsid w:val="00E407CD"/>
    <w:rsid w:val="00E52FC2"/>
    <w:rsid w:val="00E56DFE"/>
    <w:rsid w:val="00E619E1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79C3"/>
    <w:rsid w:val="00F331CB"/>
    <w:rsid w:val="00F513BF"/>
    <w:rsid w:val="00F75D78"/>
    <w:rsid w:val="00F9526D"/>
    <w:rsid w:val="00F95509"/>
    <w:rsid w:val="00FA42BD"/>
    <w:rsid w:val="00FA60BD"/>
    <w:rsid w:val="00FC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4232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STC/000335/ÚSF/2020</CisloJednaci>
    <NazevDokumentu xmlns="b246a3c9-e8b6-4373-bafd-ef843f8c6aef">Kupní smlouva na dodávku Laminačního lisu</NazevDokumentu>
    <JID xmlns="b246a3c9-e8b6-4373-bafd-ef843f8c6aef">R_STCSPS_0003852</J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6C416-2789-49DE-9EE6-B95A8D5CE327}"/>
</file>

<file path=customXml/itemProps2.xml><?xml version="1.0" encoding="utf-8"?>
<ds:datastoreItem xmlns:ds="http://schemas.openxmlformats.org/officeDocument/2006/customXml" ds:itemID="{18DA38B7-F94F-4A2E-9562-2C8058FFF0E0}"/>
</file>

<file path=customXml/itemProps3.xml><?xml version="1.0" encoding="utf-8"?>
<ds:datastoreItem xmlns:ds="http://schemas.openxmlformats.org/officeDocument/2006/customXml" ds:itemID="{9011E4FA-4792-4238-8B29-AA4C19465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Tomašáková Martina</cp:lastModifiedBy>
  <cp:revision>24</cp:revision>
  <cp:lastPrinted>2017-05-11T12:19:00Z</cp:lastPrinted>
  <dcterms:created xsi:type="dcterms:W3CDTF">2019-03-12T15:17:00Z</dcterms:created>
  <dcterms:modified xsi:type="dcterms:W3CDTF">2020-11-03T07:04:00Z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