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2D79B5E5" w14:textId="6DBC6AC0" w:rsidR="008237E2" w:rsidRPr="006B218F" w:rsidRDefault="006B218F" w:rsidP="00902C18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8E25" w14:textId="77777777" w:rsidR="0028144E" w:rsidRDefault="0028144E" w:rsidP="003A4756">
      <w:r>
        <w:separator/>
      </w:r>
    </w:p>
  </w:endnote>
  <w:endnote w:type="continuationSeparator" w:id="0">
    <w:p w14:paraId="55C0441A" w14:textId="77777777" w:rsidR="0028144E" w:rsidRDefault="0028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3C96" w14:textId="77777777" w:rsidR="0028144E" w:rsidRDefault="0028144E" w:rsidP="003A4756">
      <w:r>
        <w:separator/>
      </w:r>
    </w:p>
  </w:footnote>
  <w:footnote w:type="continuationSeparator" w:id="0">
    <w:p w14:paraId="31037D4C" w14:textId="77777777" w:rsidR="0028144E" w:rsidRDefault="0028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29C4A5E2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8323E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4ED684C4" w:rsidR="00723AE3" w:rsidRPr="00F4229D" w:rsidRDefault="00536734" w:rsidP="00902C18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VZ20210</w:t>
          </w:r>
          <w:r w:rsidR="002377DF">
            <w:rPr>
              <w:rFonts w:cs="Calibri"/>
              <w:b/>
              <w:bCs/>
              <w:color w:val="004666"/>
              <w:szCs w:val="18"/>
            </w:rPr>
            <w:t>28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79D86D47" w:rsidR="00723AE3" w:rsidRPr="006B218F" w:rsidRDefault="0048323E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D38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Subskripce pro platformu pro centrální správu logů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0394"/>
    <w:rsid w:val="000216E9"/>
    <w:rsid w:val="00035960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377DF"/>
    <w:rsid w:val="00240141"/>
    <w:rsid w:val="00245B80"/>
    <w:rsid w:val="00263866"/>
    <w:rsid w:val="0028144E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323E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734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5D9F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C18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4B007-AF27-4B1F-9C42-C31E68CC4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E0243D-73ED-47C5-A88F-8BC69BA6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2117</Characters>
  <Application>Microsoft Office Word</Application>
  <DocSecurity>0</DocSecurity>
  <Lines>68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10</cp:revision>
  <cp:lastPrinted>2019-12-06T07:17:00Z</cp:lastPrinted>
  <dcterms:created xsi:type="dcterms:W3CDTF">2020-03-24T14:37:00Z</dcterms:created>
  <dcterms:modified xsi:type="dcterms:W3CDTF">2021-04-01T11:04:00Z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221600</vt:r8>
  </property>
</Properties>
</file>