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CB" w:rsidRPr="00EC673A" w:rsidRDefault="00583ECE" w:rsidP="000F003B">
      <w:pPr>
        <w:rPr>
          <w:b/>
        </w:rPr>
      </w:pPr>
      <w:r w:rsidRPr="00EC673A">
        <w:rPr>
          <w:b/>
        </w:rPr>
        <w:t xml:space="preserve">Odůvodnění veřejné zakázky </w:t>
      </w:r>
      <w:r w:rsidR="00BE4539" w:rsidRPr="00EC673A">
        <w:rPr>
          <w:b/>
        </w:rPr>
        <w:t>Modernizace CS - celní a daňové řízení</w:t>
      </w:r>
      <w:r w:rsidRPr="00EC673A">
        <w:rPr>
          <w:b/>
        </w:rPr>
        <w:t>.</w:t>
      </w:r>
    </w:p>
    <w:p w:rsidR="009A395B" w:rsidRPr="009A395B" w:rsidRDefault="009A395B" w:rsidP="000F003B"/>
    <w:p w:rsidR="00CC218A" w:rsidRDefault="00CC218A" w:rsidP="000F003B"/>
    <w:tbl>
      <w:tblPr>
        <w:tblStyle w:val="Mkatabulky"/>
        <w:tblW w:w="9464" w:type="dxa"/>
        <w:tblLook w:val="04A0"/>
      </w:tblPr>
      <w:tblGrid>
        <w:gridCol w:w="3227"/>
        <w:gridCol w:w="6237"/>
      </w:tblGrid>
      <w:tr w:rsidR="00CC218A" w:rsidRPr="00B424B5" w:rsidTr="003C0F7B">
        <w:tc>
          <w:tcPr>
            <w:tcW w:w="9464" w:type="dxa"/>
            <w:gridSpan w:val="2"/>
          </w:tcPr>
          <w:p w:rsidR="00CC218A" w:rsidRPr="00B424B5" w:rsidRDefault="00CC218A" w:rsidP="000F003B">
            <w:pPr>
              <w:rPr>
                <w:b/>
              </w:rPr>
            </w:pPr>
            <w:r w:rsidRPr="00B424B5">
              <w:rPr>
                <w:b/>
              </w:rPr>
              <w:t>Odůvodnění účelnosti veřejné zakázky</w:t>
            </w:r>
          </w:p>
        </w:tc>
      </w:tr>
      <w:tr w:rsidR="00CC218A" w:rsidTr="003C0F7B">
        <w:tc>
          <w:tcPr>
            <w:tcW w:w="3227" w:type="dxa"/>
          </w:tcPr>
          <w:p w:rsidR="00CC218A" w:rsidRDefault="00CC218A" w:rsidP="00332E41">
            <w:pPr>
              <w:jc w:val="both"/>
            </w:pPr>
            <w:r w:rsidRPr="002E6D56">
              <w:t>Plánovaný cíl veřejné zakázky</w:t>
            </w:r>
          </w:p>
        </w:tc>
        <w:tc>
          <w:tcPr>
            <w:tcW w:w="6237" w:type="dxa"/>
          </w:tcPr>
          <w:p w:rsidR="00910D3A" w:rsidRDefault="00910D3A" w:rsidP="00332E41">
            <w:pPr>
              <w:jc w:val="both"/>
            </w:pPr>
            <w:r>
              <w:t>Cílem zakázky je v </w:t>
            </w:r>
            <w:r w:rsidRPr="000F003B">
              <w:t>období</w:t>
            </w:r>
            <w:r>
              <w:t xml:space="preserve"> od podpisu</w:t>
            </w:r>
            <w:r w:rsidR="000F003B">
              <w:t xml:space="preserve"> smlouvy do 31.</w:t>
            </w:r>
            <w:r w:rsidR="0066423B">
              <w:t> </w:t>
            </w:r>
            <w:r w:rsidR="000F003B">
              <w:t>3.</w:t>
            </w:r>
            <w:r w:rsidR="0066423B">
              <w:t> </w:t>
            </w:r>
            <w:r w:rsidR="000F003B">
              <w:t>2014 zajistit rozvoj aplikace ME-SPD/</w:t>
            </w:r>
            <w:proofErr w:type="spellStart"/>
            <w:r w:rsidR="000F003B">
              <w:t>DěS</w:t>
            </w:r>
            <w:proofErr w:type="spellEnd"/>
            <w:r w:rsidR="0066423B">
              <w:t xml:space="preserve"> a dalších systémů pro podporu procesů v celním řízení (ECS, NCTS, TIR, intranetových aplikací a dalších)</w:t>
            </w:r>
            <w:r w:rsidR="000F003B">
              <w:t xml:space="preserve"> </w:t>
            </w:r>
            <w:r w:rsidR="0066423B">
              <w:t>v souvislosti s modernizací organizační struktury celní správy účinné od 1. 1. 2013</w:t>
            </w:r>
            <w:r w:rsidR="000F003B">
              <w:t>.</w:t>
            </w:r>
          </w:p>
          <w:p w:rsidR="006B291D" w:rsidRDefault="000F003B" w:rsidP="00332E41">
            <w:pPr>
              <w:jc w:val="both"/>
            </w:pPr>
            <w:r w:rsidRPr="0018138E">
              <w:t>Požadované změny jsou blíže specifikovány v zadávací dokumentaci.</w:t>
            </w:r>
          </w:p>
        </w:tc>
      </w:tr>
      <w:tr w:rsidR="00CC218A" w:rsidTr="003C0F7B">
        <w:tc>
          <w:tcPr>
            <w:tcW w:w="3227" w:type="dxa"/>
          </w:tcPr>
          <w:p w:rsidR="00CC218A" w:rsidRDefault="00CC218A" w:rsidP="00332E41">
            <w:pPr>
              <w:jc w:val="both"/>
            </w:pPr>
            <w:r w:rsidRPr="002E6D56">
              <w:t>Popis vzájemného vztahu mezi realizovanou veřejnou zakázkou a plánovaným cílem</w:t>
            </w:r>
          </w:p>
        </w:tc>
        <w:tc>
          <w:tcPr>
            <w:tcW w:w="6237" w:type="dxa"/>
          </w:tcPr>
          <w:p w:rsidR="00CC218A" w:rsidRDefault="00CC218A" w:rsidP="00332E41">
            <w:pPr>
              <w:jc w:val="both"/>
            </w:pPr>
            <w:r w:rsidRPr="009A395B">
              <w:t>Plánovan</w:t>
            </w:r>
            <w:r w:rsidR="00EC673A">
              <w:t>ý</w:t>
            </w:r>
            <w:r w:rsidRPr="009A395B">
              <w:t xml:space="preserve"> cíl</w:t>
            </w:r>
            <w:r w:rsidR="00EC673A">
              <w:t xml:space="preserve"> </w:t>
            </w:r>
            <w:r w:rsidRPr="009A395B">
              <w:t>není možné naplnit jinou cestou, než realizací předmětné veřejné zakázky.</w:t>
            </w:r>
          </w:p>
        </w:tc>
      </w:tr>
      <w:tr w:rsidR="00CC218A" w:rsidTr="003C0F7B">
        <w:tc>
          <w:tcPr>
            <w:tcW w:w="3227" w:type="dxa"/>
          </w:tcPr>
          <w:p w:rsidR="00CC218A" w:rsidRDefault="00CC218A" w:rsidP="00332E41">
            <w:pPr>
              <w:jc w:val="both"/>
            </w:pPr>
            <w:r w:rsidRPr="002E6D56">
              <w:t>Popis alternativ naplnění plánovaného cíle a zdůvodnění zvolené varianty veřejné zakázky</w:t>
            </w:r>
          </w:p>
        </w:tc>
        <w:tc>
          <w:tcPr>
            <w:tcW w:w="6237" w:type="dxa"/>
          </w:tcPr>
          <w:p w:rsidR="00CC218A" w:rsidRDefault="00CC218A" w:rsidP="00332E41">
            <w:pPr>
              <w:jc w:val="both"/>
            </w:pPr>
            <w:r w:rsidRPr="009A395B">
              <w:t>Neexistuje jiná alternativa naplnění plánovaného cíle než realizace této veřejné zakázky</w:t>
            </w:r>
            <w:r>
              <w:t>.</w:t>
            </w:r>
          </w:p>
        </w:tc>
      </w:tr>
      <w:tr w:rsidR="00CC218A" w:rsidTr="003C0F7B">
        <w:tc>
          <w:tcPr>
            <w:tcW w:w="3227" w:type="dxa"/>
          </w:tcPr>
          <w:p w:rsidR="00CC218A" w:rsidRDefault="00CC218A" w:rsidP="00332E41">
            <w:pPr>
              <w:jc w:val="both"/>
            </w:pPr>
            <w:r w:rsidRPr="009A395B">
              <w:t>Popis toho, do jaké míry ovlivní veřejná zakázka plnění plánovaného cíle</w:t>
            </w:r>
          </w:p>
        </w:tc>
        <w:tc>
          <w:tcPr>
            <w:tcW w:w="6237" w:type="dxa"/>
          </w:tcPr>
          <w:p w:rsidR="00CC218A" w:rsidRDefault="000F003B" w:rsidP="00332E41">
            <w:pPr>
              <w:jc w:val="both"/>
            </w:pPr>
            <w:r>
              <w:t>R</w:t>
            </w:r>
            <w:r w:rsidR="00CC218A" w:rsidRPr="009A395B">
              <w:t>ealizace této veřejné zakázky zabezpečí naplnění plánovan</w:t>
            </w:r>
            <w:r w:rsidR="0031686A">
              <w:t>ýc</w:t>
            </w:r>
            <w:r w:rsidR="00CC218A" w:rsidRPr="009A395B">
              <w:t>h cíl</w:t>
            </w:r>
            <w:r w:rsidR="0031686A">
              <w:t>ů</w:t>
            </w:r>
            <w:r w:rsidR="00CC218A">
              <w:t xml:space="preserve">, </w:t>
            </w:r>
            <w:r w:rsidR="00BE4539">
              <w:t>tj.</w:t>
            </w:r>
            <w:r w:rsidR="00BE4539" w:rsidRPr="009A395B">
              <w:t xml:space="preserve"> </w:t>
            </w:r>
            <w:r w:rsidR="00BE4539">
              <w:t>zajištění</w:t>
            </w:r>
            <w:r w:rsidR="0066423B">
              <w:t xml:space="preserve"> funkčnosti systémů uvedených v zadávací dokumentaci v prostředí dvoustupňové organizační struktury</w:t>
            </w:r>
            <w:r w:rsidR="00CC383D">
              <w:t>.</w:t>
            </w:r>
          </w:p>
        </w:tc>
      </w:tr>
    </w:tbl>
    <w:p w:rsidR="003C0F7B" w:rsidRDefault="003C0F7B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p w:rsidR="00EC673A" w:rsidRDefault="00EC673A" w:rsidP="000F003B"/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EC673A" w:rsidRPr="000B66EE" w:rsidTr="00030238">
        <w:tc>
          <w:tcPr>
            <w:tcW w:w="9212" w:type="dxa"/>
            <w:gridSpan w:val="2"/>
          </w:tcPr>
          <w:p w:rsidR="00EC673A" w:rsidRPr="000B66EE" w:rsidRDefault="00EC673A" w:rsidP="0003023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Odůvodnění vymezení obchodních podmínek veřejné zakázky na dodávky a veřejné služby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</w:t>
            </w: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t>ve vztahu k potřebám veřejného zadavatele</w:t>
            </w:r>
          </w:p>
          <w:p w:rsidR="00EC673A" w:rsidRPr="000B66EE" w:rsidRDefault="00EC673A" w:rsidP="00030238">
            <w:pPr>
              <w:jc w:val="center"/>
              <w:rPr>
                <w:b/>
              </w:rPr>
            </w:pPr>
          </w:p>
        </w:tc>
      </w:tr>
      <w:tr w:rsidR="00EC673A" w:rsidRPr="000B66EE" w:rsidTr="00030238">
        <w:tc>
          <w:tcPr>
            <w:tcW w:w="3652" w:type="dxa"/>
          </w:tcPr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splatnost faktur. </w:t>
            </w:r>
          </w:p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EC673A" w:rsidRPr="000B66EE" w:rsidRDefault="00EC673A" w:rsidP="00332E41">
            <w:pPr>
              <w:ind w:firstLine="34"/>
              <w:jc w:val="both"/>
            </w:pPr>
            <w:r w:rsidRPr="000B66EE">
              <w:t xml:space="preserve">30 </w:t>
            </w:r>
            <w:r>
              <w:t>kalendářních dnů od data doručení faktury na adresu objednatele</w:t>
            </w:r>
            <w:r w:rsidRPr="000B66EE">
              <w:t>, doba obvyklá v rámci Celní správy</w:t>
            </w:r>
          </w:p>
        </w:tc>
      </w:tr>
      <w:tr w:rsidR="00EC673A" w:rsidRPr="000B66EE" w:rsidTr="00030238">
        <w:tc>
          <w:tcPr>
            <w:tcW w:w="3652" w:type="dxa"/>
          </w:tcPr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>Odůvodnění vymezení obchodní podmínky stanovící požadavek na pojištění odpovědnosti za škodu</w:t>
            </w:r>
            <w:r w:rsidR="00132A7A">
              <w:rPr>
                <w:rFonts w:asciiTheme="minorHAnsi" w:hAnsiTheme="minorHAnsi"/>
                <w:sz w:val="22"/>
                <w:szCs w:val="22"/>
              </w:rPr>
              <w:t xml:space="preserve"> způsobenou dodavatelem třetím osobám</w:t>
            </w:r>
          </w:p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EC673A" w:rsidRPr="000B66EE" w:rsidRDefault="00EC673A" w:rsidP="00332E41">
            <w:pPr>
              <w:jc w:val="both"/>
            </w:pPr>
            <w:r>
              <w:t>Netýká se</w:t>
            </w:r>
          </w:p>
        </w:tc>
      </w:tr>
      <w:tr w:rsidR="00EC673A" w:rsidRPr="000B66EE" w:rsidTr="00030238">
        <w:tc>
          <w:tcPr>
            <w:tcW w:w="3652" w:type="dxa"/>
          </w:tcPr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požadavek bankovní záruky. </w:t>
            </w:r>
          </w:p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EC673A" w:rsidRPr="000B66EE" w:rsidRDefault="00EC673A" w:rsidP="00332E41">
            <w:pPr>
              <w:ind w:firstLine="34"/>
              <w:jc w:val="both"/>
            </w:pPr>
            <w:r>
              <w:t>Netýká se</w:t>
            </w:r>
          </w:p>
        </w:tc>
      </w:tr>
      <w:tr w:rsidR="00EC673A" w:rsidRPr="000B66EE" w:rsidTr="00030238">
        <w:tc>
          <w:tcPr>
            <w:tcW w:w="3652" w:type="dxa"/>
          </w:tcPr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záruční lhůtu. </w:t>
            </w:r>
          </w:p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EC673A" w:rsidRPr="000B66EE" w:rsidRDefault="00EC673A" w:rsidP="00332E41">
            <w:pPr>
              <w:ind w:firstLine="34"/>
              <w:jc w:val="both"/>
            </w:pPr>
            <w:r w:rsidRPr="000B66EE">
              <w:t>Záruka</w:t>
            </w:r>
            <w:r>
              <w:t xml:space="preserve"> na dílo činí 24 měsíců ode dne převzetí objednatelem. Je to záruční lhůta obvyklá v obdobných smluvních vztazích CS, odpovídá záruce ve spotřebitelských smlouvách.</w:t>
            </w:r>
          </w:p>
        </w:tc>
      </w:tr>
      <w:tr w:rsidR="00EC673A" w:rsidRPr="000B66EE" w:rsidTr="00030238">
        <w:tc>
          <w:tcPr>
            <w:tcW w:w="3652" w:type="dxa"/>
          </w:tcPr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smluvní pokutu za prodlení dodavatele. </w:t>
            </w:r>
          </w:p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EC673A" w:rsidRPr="000B66EE" w:rsidRDefault="004D1BB3" w:rsidP="00332E41">
            <w:pPr>
              <w:ind w:firstLine="34"/>
              <w:jc w:val="both"/>
            </w:pPr>
            <w:r>
              <w:t>Stanovená pokuta ve výši 1.</w:t>
            </w:r>
            <w:r w:rsidR="00EC673A">
              <w:t>000,- Kč v případě prodlení zhotovitele s dokončením dílčí</w:t>
            </w:r>
            <w:r w:rsidR="00EA6A0F">
              <w:t xml:space="preserve">ho plnění uvedeného v zadávacím listu, </w:t>
            </w:r>
            <w:r w:rsidR="00EC673A">
              <w:t xml:space="preserve">v případě prodlení zhotovitele </w:t>
            </w:r>
            <w:r w:rsidR="00EA6A0F">
              <w:t xml:space="preserve">se zahájením prací na odstranění oznámeného závažného technického problému nebo </w:t>
            </w:r>
            <w:r w:rsidR="00EC673A">
              <w:t> </w:t>
            </w:r>
            <w:r w:rsidR="00EA6A0F">
              <w:t xml:space="preserve">s odstraněním oznámeného závažného technického problému </w:t>
            </w:r>
            <w:r w:rsidR="00500430">
              <w:t xml:space="preserve">a v případě prodlení zhotovitele s </w:t>
            </w:r>
            <w:r w:rsidR="00EC673A">
              <w:t>odstraněním oznámené vady, je podle našich zkušeností plně funkční  a zamezuje neplnění závazků Celní správy.</w:t>
            </w:r>
          </w:p>
        </w:tc>
      </w:tr>
      <w:tr w:rsidR="00EC673A" w:rsidRPr="000B66EE" w:rsidTr="00030238">
        <w:tc>
          <w:tcPr>
            <w:tcW w:w="3652" w:type="dxa"/>
          </w:tcPr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smluvní pokutu za prodlení zadavatele s úhradou faktur. </w:t>
            </w:r>
          </w:p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EC673A" w:rsidRPr="000B66EE" w:rsidRDefault="00EC673A" w:rsidP="00332E41">
            <w:pPr>
              <w:jc w:val="both"/>
            </w:pPr>
            <w:r>
              <w:t xml:space="preserve">Není ve smlouvě stanovena. </w:t>
            </w:r>
          </w:p>
        </w:tc>
      </w:tr>
      <w:tr w:rsidR="00EC673A" w:rsidRPr="000B66EE" w:rsidTr="00030238">
        <w:tc>
          <w:tcPr>
            <w:tcW w:w="3652" w:type="dxa"/>
          </w:tcPr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dalších obchodních podmínek. </w:t>
            </w:r>
          </w:p>
          <w:p w:rsidR="00EC673A" w:rsidRPr="000B66EE" w:rsidRDefault="00EC673A" w:rsidP="0003023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EC673A" w:rsidRPr="000B66EE" w:rsidRDefault="00EC673A" w:rsidP="00332E41">
            <w:pPr>
              <w:jc w:val="both"/>
            </w:pPr>
            <w:r>
              <w:t>Výslovný souhlas zhotovitele s právem objednatele do díla zasahovat jak ze stravy objednatele, tak ze strany jiného subjektu vybraného objednatelem. Důvodem tohoto ustanovení je neomezování hospodářské soutěže a aplikace zásad § 6 ZVZ.</w:t>
            </w:r>
          </w:p>
        </w:tc>
      </w:tr>
    </w:tbl>
    <w:p w:rsidR="00EC673A" w:rsidRPr="000B66EE" w:rsidRDefault="00EC673A" w:rsidP="00EC673A"/>
    <w:p w:rsidR="00EC673A" w:rsidRPr="000B66EE" w:rsidRDefault="00EC673A" w:rsidP="00EC673A"/>
    <w:p w:rsidR="00EC673A" w:rsidRPr="000B66EE" w:rsidRDefault="00EC673A" w:rsidP="00EC673A"/>
    <w:p w:rsidR="00EC673A" w:rsidRPr="000B66EE" w:rsidRDefault="00EC673A" w:rsidP="00EC673A"/>
    <w:p w:rsidR="00EC673A" w:rsidRPr="000B66EE" w:rsidRDefault="00EC673A" w:rsidP="00EC673A"/>
    <w:p w:rsidR="00EC673A" w:rsidRPr="000B66EE" w:rsidRDefault="00EC673A" w:rsidP="00EC673A"/>
    <w:p w:rsidR="00EC673A" w:rsidRPr="000B66EE" w:rsidRDefault="00EC673A" w:rsidP="00EC673A"/>
    <w:p w:rsidR="003C0F7B" w:rsidRDefault="003C0F7B" w:rsidP="000F003B">
      <w:r>
        <w:br w:type="page"/>
      </w:r>
    </w:p>
    <w:p w:rsidR="00CC218A" w:rsidRDefault="00CC218A" w:rsidP="000F003B"/>
    <w:p w:rsidR="00CC218A" w:rsidRDefault="00CC218A" w:rsidP="000F003B"/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="00CC218A" w:rsidRPr="00B424B5" w:rsidTr="00ED38B3">
        <w:tc>
          <w:tcPr>
            <w:tcW w:w="9212" w:type="dxa"/>
            <w:gridSpan w:val="2"/>
          </w:tcPr>
          <w:p w:rsidR="00CC218A" w:rsidRPr="00B424B5" w:rsidRDefault="00CC218A" w:rsidP="000F003B">
            <w:pPr>
              <w:rPr>
                <w:b/>
              </w:rPr>
            </w:pPr>
            <w:r w:rsidRPr="00B424B5">
              <w:rPr>
                <w:b/>
              </w:rPr>
              <w:t>Odůvodnění vymezení technických podmínek veřejné zakázky ve vztahu k potřebám veřejného zadavatele</w:t>
            </w:r>
          </w:p>
        </w:tc>
      </w:tr>
      <w:tr w:rsidR="00CC218A" w:rsidRPr="00B424B5" w:rsidTr="003C0F7B">
        <w:tc>
          <w:tcPr>
            <w:tcW w:w="4077" w:type="dxa"/>
          </w:tcPr>
          <w:p w:rsidR="00CC218A" w:rsidRPr="00B424B5" w:rsidRDefault="003C0F7B" w:rsidP="000F003B">
            <w:pPr>
              <w:rPr>
                <w:b/>
              </w:rPr>
            </w:pPr>
            <w:r w:rsidRPr="00B424B5">
              <w:rPr>
                <w:b/>
              </w:rPr>
              <w:t>Technická podmínka</w:t>
            </w:r>
          </w:p>
        </w:tc>
        <w:tc>
          <w:tcPr>
            <w:tcW w:w="5135" w:type="dxa"/>
          </w:tcPr>
          <w:p w:rsidR="00CC218A" w:rsidRPr="00B424B5" w:rsidRDefault="003C0F7B" w:rsidP="000F003B">
            <w:pPr>
              <w:rPr>
                <w:b/>
              </w:rPr>
            </w:pPr>
            <w:r w:rsidRPr="00B424B5">
              <w:rPr>
                <w:b/>
              </w:rPr>
              <w:t>Odůvodnění technické podmínky</w:t>
            </w:r>
          </w:p>
        </w:tc>
      </w:tr>
      <w:tr w:rsidR="00CC218A" w:rsidTr="003C0F7B">
        <w:tc>
          <w:tcPr>
            <w:tcW w:w="4077" w:type="dxa"/>
          </w:tcPr>
          <w:p w:rsidR="00CC218A" w:rsidRDefault="00833E45" w:rsidP="00C01CBF">
            <w:pPr>
              <w:jc w:val="both"/>
            </w:pPr>
            <w:r>
              <w:t xml:space="preserve">Veškeré požadované změny funkčnosti aplikace a nově požadované funkčnosti, jak v oblasti programového zpracování, tak i uživatelského interface, musí být zapracovány do současné aplikace se zachováním </w:t>
            </w:r>
            <w:r w:rsidRPr="00EC7166">
              <w:t>topologie a infrastruktury systému včetně architektonických, bezpečnostních a prezentačních vazeb na rozhranní dalších aplikací a systémů ISCS</w:t>
            </w:r>
            <w:r>
              <w:t xml:space="preserve"> i vnějších vazeb.</w:t>
            </w:r>
          </w:p>
        </w:tc>
        <w:tc>
          <w:tcPr>
            <w:tcW w:w="5135" w:type="dxa"/>
          </w:tcPr>
          <w:p w:rsidR="00CC218A" w:rsidRDefault="003C0F7B" w:rsidP="00C01CBF">
            <w:pPr>
              <w:jc w:val="both"/>
            </w:pPr>
            <w:r w:rsidRPr="00CC218A">
              <w:t xml:space="preserve">Jedná se o pokračování původních plnění ve smyslu technologické návaznosti </w:t>
            </w:r>
            <w:r w:rsidR="00833E45">
              <w:t>aplikace ME-SPD/</w:t>
            </w:r>
            <w:proofErr w:type="spellStart"/>
            <w:r w:rsidR="00833E45">
              <w:t>DěS</w:t>
            </w:r>
            <w:proofErr w:type="spellEnd"/>
            <w:r w:rsidRPr="00CC218A">
              <w:t>, kter</w:t>
            </w:r>
            <w:r w:rsidR="00233456">
              <w:t>á</w:t>
            </w:r>
            <w:r w:rsidRPr="00CC218A">
              <w:t xml:space="preserve"> je využíván</w:t>
            </w:r>
            <w:r w:rsidR="00C01CBF">
              <w:t>a</w:t>
            </w:r>
            <w:r w:rsidRPr="00CC218A">
              <w:t xml:space="preserve"> v rutinním provozu. Jakékoliv jiné řešení by znamenalo výraznou časovou ztrátu při jeho realizaci a současně by neumožnilo efektivní </w:t>
            </w:r>
            <w:r w:rsidR="00C01CBF">
              <w:t xml:space="preserve">                         </w:t>
            </w:r>
            <w:r w:rsidRPr="00CC218A">
              <w:t xml:space="preserve">a operativní </w:t>
            </w:r>
            <w:r w:rsidR="00233456">
              <w:t xml:space="preserve">provoz a </w:t>
            </w:r>
            <w:r w:rsidRPr="00CC218A">
              <w:t>údržbu systému.</w:t>
            </w:r>
          </w:p>
        </w:tc>
      </w:tr>
    </w:tbl>
    <w:p w:rsidR="00CC218A" w:rsidRDefault="00CC218A" w:rsidP="000F003B"/>
    <w:p w:rsidR="003C0F7B" w:rsidRDefault="003C0F7B" w:rsidP="000F003B"/>
    <w:p w:rsidR="00C01CBF" w:rsidRPr="000B66EE" w:rsidRDefault="003C0F7B" w:rsidP="00C01CBF">
      <w:r>
        <w:br w:type="page"/>
      </w: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C01CBF" w:rsidRPr="00B424B5" w:rsidTr="00030238">
        <w:tc>
          <w:tcPr>
            <w:tcW w:w="9212" w:type="dxa"/>
            <w:gridSpan w:val="2"/>
          </w:tcPr>
          <w:p w:rsidR="00C01CBF" w:rsidRPr="00B424B5" w:rsidRDefault="00C01CBF" w:rsidP="0003023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24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Odůvodnění stanovení základních a dílčích hodnotících kritérií ve vztahu k potřebám veřejného zadavatele </w:t>
            </w:r>
          </w:p>
          <w:p w:rsidR="00C01CBF" w:rsidRPr="00B424B5" w:rsidRDefault="00C01CBF" w:rsidP="00030238">
            <w:pPr>
              <w:jc w:val="center"/>
              <w:rPr>
                <w:b/>
              </w:rPr>
            </w:pPr>
          </w:p>
        </w:tc>
      </w:tr>
      <w:tr w:rsidR="00C01CBF" w:rsidRPr="00B424B5" w:rsidTr="00030238">
        <w:tc>
          <w:tcPr>
            <w:tcW w:w="3652" w:type="dxa"/>
          </w:tcPr>
          <w:p w:rsidR="00C01CBF" w:rsidRPr="00B424B5" w:rsidRDefault="00C01CBF" w:rsidP="0003023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24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Hodnotící kritérium </w:t>
            </w:r>
          </w:p>
        </w:tc>
        <w:tc>
          <w:tcPr>
            <w:tcW w:w="5560" w:type="dxa"/>
          </w:tcPr>
          <w:p w:rsidR="00C01CBF" w:rsidRPr="00B424B5" w:rsidRDefault="00C01CBF" w:rsidP="00030238">
            <w:pPr>
              <w:tabs>
                <w:tab w:val="left" w:pos="1055"/>
              </w:tabs>
              <w:rPr>
                <w:b/>
                <w:bCs/>
              </w:rPr>
            </w:pPr>
            <w:r w:rsidRPr="00B424B5">
              <w:tab/>
            </w:r>
            <w:r w:rsidRPr="00B424B5">
              <w:rPr>
                <w:b/>
                <w:bCs/>
              </w:rPr>
              <w:t xml:space="preserve">Odůvodnění </w:t>
            </w:r>
          </w:p>
        </w:tc>
      </w:tr>
      <w:tr w:rsidR="00C01CBF" w:rsidRPr="000B66EE" w:rsidTr="00030238">
        <w:tc>
          <w:tcPr>
            <w:tcW w:w="3652" w:type="dxa"/>
          </w:tcPr>
          <w:p w:rsidR="00C01CBF" w:rsidRPr="000B66EE" w:rsidRDefault="00C01CBF" w:rsidP="000302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Netýká se</w:t>
            </w:r>
          </w:p>
        </w:tc>
        <w:tc>
          <w:tcPr>
            <w:tcW w:w="5560" w:type="dxa"/>
          </w:tcPr>
          <w:p w:rsidR="00C01CBF" w:rsidRPr="000B66EE" w:rsidRDefault="00C01CBF" w:rsidP="00030238">
            <w:r>
              <w:t>Veřejná zakázka bude zadána jedinému zájemci.</w:t>
            </w:r>
          </w:p>
        </w:tc>
      </w:tr>
    </w:tbl>
    <w:p w:rsidR="00C01CBF" w:rsidRPr="000B66EE" w:rsidRDefault="00C01CBF" w:rsidP="00C01CBF"/>
    <w:p w:rsidR="00C01CBF" w:rsidRDefault="00C01CBF" w:rsidP="00C01CBF"/>
    <w:p w:rsidR="00C01CBF" w:rsidRDefault="00C01CBF" w:rsidP="00C01CBF"/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C01CBF" w:rsidRDefault="00C01CBF" w:rsidP="00C01CBF">
      <w:pPr>
        <w:spacing w:after="200" w:line="276" w:lineRule="auto"/>
      </w:pPr>
    </w:p>
    <w:p w:rsidR="003C0F7B" w:rsidRDefault="003C0F7B" w:rsidP="000F003B"/>
    <w:p w:rsidR="00C01CBF" w:rsidRDefault="00C01CBF" w:rsidP="000F003B"/>
    <w:tbl>
      <w:tblPr>
        <w:tblStyle w:val="Mkatabulky"/>
        <w:tblW w:w="9464" w:type="dxa"/>
        <w:tblLook w:val="04A0"/>
      </w:tblPr>
      <w:tblGrid>
        <w:gridCol w:w="4077"/>
        <w:gridCol w:w="5387"/>
      </w:tblGrid>
      <w:tr w:rsidR="003C0F7B" w:rsidRPr="00B424B5" w:rsidTr="003C0F7B">
        <w:tc>
          <w:tcPr>
            <w:tcW w:w="9464" w:type="dxa"/>
            <w:gridSpan w:val="2"/>
          </w:tcPr>
          <w:p w:rsidR="003C0F7B" w:rsidRPr="00B424B5" w:rsidRDefault="003C0F7B" w:rsidP="000F003B">
            <w:pPr>
              <w:rPr>
                <w:b/>
              </w:rPr>
            </w:pPr>
            <w:r w:rsidRPr="00B424B5">
              <w:rPr>
                <w:b/>
              </w:rPr>
              <w:t>Odůvodnění předpokládané hodnoty</w:t>
            </w:r>
          </w:p>
        </w:tc>
      </w:tr>
      <w:tr w:rsidR="003C0F7B" w:rsidRPr="00B424B5" w:rsidTr="003C0F7B">
        <w:tc>
          <w:tcPr>
            <w:tcW w:w="4077" w:type="dxa"/>
          </w:tcPr>
          <w:p w:rsidR="003C0F7B" w:rsidRPr="00B424B5" w:rsidRDefault="003C0F7B" w:rsidP="000F003B">
            <w:pPr>
              <w:rPr>
                <w:b/>
              </w:rPr>
            </w:pPr>
            <w:r w:rsidRPr="00B424B5">
              <w:rPr>
                <w:b/>
              </w:rPr>
              <w:t>Hodnota</w:t>
            </w:r>
          </w:p>
        </w:tc>
        <w:tc>
          <w:tcPr>
            <w:tcW w:w="5387" w:type="dxa"/>
          </w:tcPr>
          <w:p w:rsidR="003C0F7B" w:rsidRPr="00B424B5" w:rsidRDefault="003C0F7B" w:rsidP="000F003B">
            <w:pPr>
              <w:rPr>
                <w:b/>
              </w:rPr>
            </w:pPr>
            <w:r w:rsidRPr="00B424B5">
              <w:rPr>
                <w:b/>
              </w:rPr>
              <w:t xml:space="preserve">Odůvodnění </w:t>
            </w:r>
          </w:p>
        </w:tc>
      </w:tr>
      <w:tr w:rsidR="003C0F7B" w:rsidTr="003C0F7B">
        <w:tc>
          <w:tcPr>
            <w:tcW w:w="4077" w:type="dxa"/>
          </w:tcPr>
          <w:p w:rsidR="003C0F7B" w:rsidRDefault="00233456" w:rsidP="00E6720F">
            <w:pPr>
              <w:jc w:val="both"/>
            </w:pPr>
            <w:r>
              <w:t>I. etapa (rok 2012) – limit 3.750.000</w:t>
            </w:r>
            <w:r w:rsidR="003C0F7B" w:rsidRPr="005E0141">
              <w:t>,- Kč bez DPH</w:t>
            </w:r>
          </w:p>
        </w:tc>
        <w:tc>
          <w:tcPr>
            <w:tcW w:w="5387" w:type="dxa"/>
          </w:tcPr>
          <w:p w:rsidR="003C0F7B" w:rsidRDefault="003C0F7B" w:rsidP="00E6720F">
            <w:pPr>
              <w:jc w:val="both"/>
            </w:pPr>
            <w:r>
              <w:t xml:space="preserve">Kvalifikovaný odhad pracnosti na vytvoření a zapracování požadovaných úkolů, tj. </w:t>
            </w:r>
            <w:r w:rsidR="00233456">
              <w:t>3.000</w:t>
            </w:r>
            <w:r>
              <w:t xml:space="preserve"> člověkohodin.</w:t>
            </w:r>
          </w:p>
          <w:p w:rsidR="00E6720F" w:rsidRDefault="00E6720F" w:rsidP="00E6720F">
            <w:pPr>
              <w:jc w:val="both"/>
            </w:pPr>
            <w:r>
              <w:t xml:space="preserve">Cena veřejné zakázky zadávané v jednacím řízení               bez uveřejnění je </w:t>
            </w:r>
            <w:r w:rsidRPr="00E227C5">
              <w:rPr>
                <w:i/>
              </w:rPr>
              <w:t>cenou obvyklou</w:t>
            </w:r>
            <w:r>
              <w:t xml:space="preserve"> v souladu s příslušnými předpisy (§ 12 zákon  č. 219/2000 Sb., o majetku České republiky a jejím vystupování v právních vztazích, v platném znění  za použití § 2 zákona č. 151/1997 Sb.,           o oceňování majetku, v platném znění.</w:t>
            </w:r>
          </w:p>
        </w:tc>
      </w:tr>
      <w:tr w:rsidR="00233456" w:rsidTr="003C0F7B">
        <w:tc>
          <w:tcPr>
            <w:tcW w:w="4077" w:type="dxa"/>
          </w:tcPr>
          <w:p w:rsidR="00233456" w:rsidRDefault="00233456" w:rsidP="00E6720F">
            <w:pPr>
              <w:jc w:val="both"/>
            </w:pPr>
            <w:r>
              <w:t>II. etapa (rok 2013) – limit 5.000.000</w:t>
            </w:r>
            <w:r w:rsidRPr="005E0141">
              <w:t>,- Kč bez DPH</w:t>
            </w:r>
          </w:p>
        </w:tc>
        <w:tc>
          <w:tcPr>
            <w:tcW w:w="5387" w:type="dxa"/>
          </w:tcPr>
          <w:p w:rsidR="00233456" w:rsidRDefault="00233456" w:rsidP="00E6720F">
            <w:pPr>
              <w:jc w:val="both"/>
            </w:pPr>
            <w:r>
              <w:t>Kvalifikovaný odhad pracnosti na vytvoření a zapracování požadovaných úkolů, tj. 4.000 člověkohodin.</w:t>
            </w:r>
          </w:p>
          <w:p w:rsidR="00E6720F" w:rsidRDefault="00E6720F" w:rsidP="00E6720F">
            <w:pPr>
              <w:jc w:val="both"/>
            </w:pPr>
            <w:r>
              <w:t xml:space="preserve">Cena veřejné zakázky zadávané v jednacím řízení               bez uveřejnění je </w:t>
            </w:r>
            <w:r w:rsidRPr="00E227C5">
              <w:rPr>
                <w:i/>
              </w:rPr>
              <w:t>cenou obvyklou</w:t>
            </w:r>
            <w:r>
              <w:t xml:space="preserve"> v souladu s příslušnými předpisy (§ 12 zákon  č. 219/2000 Sb., o majetku České republiky a jejím vystupování v právních vztazích, v platném znění  za použití § 2 zákona č. 151/1997 Sb.,         o oceňování majetku, v platném znění.</w:t>
            </w:r>
          </w:p>
        </w:tc>
      </w:tr>
      <w:tr w:rsidR="00233456" w:rsidTr="003C0F7B">
        <w:tc>
          <w:tcPr>
            <w:tcW w:w="4077" w:type="dxa"/>
          </w:tcPr>
          <w:p w:rsidR="00233456" w:rsidRDefault="00233456" w:rsidP="00E6720F">
            <w:pPr>
              <w:jc w:val="both"/>
            </w:pPr>
            <w:r>
              <w:t>III. etapa (rok 2014, 1. Q) – limit 1.500.000</w:t>
            </w:r>
            <w:r w:rsidRPr="005E0141">
              <w:t>,- Kč bez DPH</w:t>
            </w:r>
          </w:p>
        </w:tc>
        <w:tc>
          <w:tcPr>
            <w:tcW w:w="5387" w:type="dxa"/>
          </w:tcPr>
          <w:p w:rsidR="00233456" w:rsidRDefault="00233456" w:rsidP="00E6720F">
            <w:pPr>
              <w:jc w:val="both"/>
            </w:pPr>
            <w:r>
              <w:t xml:space="preserve">Kvalifikovaný odhad pracnosti na vytvoření a zapracování požadovaných úkolů, tj. </w:t>
            </w:r>
            <w:r w:rsidR="008B4B1C">
              <w:t>1.200</w:t>
            </w:r>
            <w:r>
              <w:t xml:space="preserve"> člověkohodin.</w:t>
            </w:r>
            <w:r w:rsidR="00E6720F">
              <w:t xml:space="preserve"> Cena veřejné zakázky zadávané v jednacím řízení  bez uveřejnění je </w:t>
            </w:r>
            <w:r w:rsidR="00E6720F" w:rsidRPr="00E227C5">
              <w:rPr>
                <w:i/>
              </w:rPr>
              <w:t>cenou obvyklou</w:t>
            </w:r>
            <w:r w:rsidR="00E6720F">
              <w:t xml:space="preserve"> v souladu s příslušnými předpisy (§ 12 zákon  č. 219/2000 Sb., o majetku České republiky a jejím vystupování v právních vztazích, v platném znění  za použití § 2 zákona č. 151/1997 Sb.,           o oceňování majetku, v platném znění.</w:t>
            </w:r>
          </w:p>
        </w:tc>
      </w:tr>
    </w:tbl>
    <w:p w:rsidR="003C0F7B" w:rsidRPr="009A395B" w:rsidRDefault="003C0F7B" w:rsidP="000F003B"/>
    <w:sectPr w:rsidR="003C0F7B" w:rsidRPr="009A395B" w:rsidSect="009A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 LT C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4BE"/>
    <w:multiLevelType w:val="hybridMultilevel"/>
    <w:tmpl w:val="279C1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188"/>
    <w:multiLevelType w:val="hybridMultilevel"/>
    <w:tmpl w:val="F3A0F2AA"/>
    <w:lvl w:ilvl="0" w:tplc="93CA0F50">
      <w:start w:val="19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7D7DE6"/>
    <w:multiLevelType w:val="hybridMultilevel"/>
    <w:tmpl w:val="66820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83ECE"/>
    <w:rsid w:val="00004D3C"/>
    <w:rsid w:val="00043264"/>
    <w:rsid w:val="00051809"/>
    <w:rsid w:val="00071D59"/>
    <w:rsid w:val="000A7AB1"/>
    <w:rsid w:val="000F003B"/>
    <w:rsid w:val="00132A7A"/>
    <w:rsid w:val="0018138E"/>
    <w:rsid w:val="001E3E02"/>
    <w:rsid w:val="00233456"/>
    <w:rsid w:val="00253879"/>
    <w:rsid w:val="002B3129"/>
    <w:rsid w:val="002C4CDD"/>
    <w:rsid w:val="002E6D56"/>
    <w:rsid w:val="002F0B8B"/>
    <w:rsid w:val="002F4639"/>
    <w:rsid w:val="0030452A"/>
    <w:rsid w:val="0031686A"/>
    <w:rsid w:val="00316E7B"/>
    <w:rsid w:val="00332E41"/>
    <w:rsid w:val="003C0F7B"/>
    <w:rsid w:val="003C5CE2"/>
    <w:rsid w:val="003C68BA"/>
    <w:rsid w:val="00415E61"/>
    <w:rsid w:val="00445AC2"/>
    <w:rsid w:val="00477DB9"/>
    <w:rsid w:val="004A2F64"/>
    <w:rsid w:val="004A30C8"/>
    <w:rsid w:val="004D1BB3"/>
    <w:rsid w:val="004E13EC"/>
    <w:rsid w:val="004F361C"/>
    <w:rsid w:val="00500430"/>
    <w:rsid w:val="00507EDC"/>
    <w:rsid w:val="0052699F"/>
    <w:rsid w:val="005545BF"/>
    <w:rsid w:val="005809DA"/>
    <w:rsid w:val="00583ECE"/>
    <w:rsid w:val="00586D9A"/>
    <w:rsid w:val="005C0751"/>
    <w:rsid w:val="005E0141"/>
    <w:rsid w:val="005F64C1"/>
    <w:rsid w:val="006200BF"/>
    <w:rsid w:val="0066423B"/>
    <w:rsid w:val="00673B92"/>
    <w:rsid w:val="0068350E"/>
    <w:rsid w:val="006B291D"/>
    <w:rsid w:val="00722640"/>
    <w:rsid w:val="007F7C51"/>
    <w:rsid w:val="00810DD2"/>
    <w:rsid w:val="00813366"/>
    <w:rsid w:val="00833E45"/>
    <w:rsid w:val="0086250A"/>
    <w:rsid w:val="00874692"/>
    <w:rsid w:val="008B404D"/>
    <w:rsid w:val="008B4B1C"/>
    <w:rsid w:val="009042CB"/>
    <w:rsid w:val="00910D3A"/>
    <w:rsid w:val="00920878"/>
    <w:rsid w:val="00933D9C"/>
    <w:rsid w:val="009A395B"/>
    <w:rsid w:val="009C26AD"/>
    <w:rsid w:val="00A71A2B"/>
    <w:rsid w:val="00A735BF"/>
    <w:rsid w:val="00A84AA6"/>
    <w:rsid w:val="00A972FD"/>
    <w:rsid w:val="00AC4B6A"/>
    <w:rsid w:val="00AE11EE"/>
    <w:rsid w:val="00B424B5"/>
    <w:rsid w:val="00B431DD"/>
    <w:rsid w:val="00B50257"/>
    <w:rsid w:val="00BE4539"/>
    <w:rsid w:val="00C01CBF"/>
    <w:rsid w:val="00C45480"/>
    <w:rsid w:val="00CA43E8"/>
    <w:rsid w:val="00CC218A"/>
    <w:rsid w:val="00CC383D"/>
    <w:rsid w:val="00CF1B16"/>
    <w:rsid w:val="00D327DB"/>
    <w:rsid w:val="00DC4B98"/>
    <w:rsid w:val="00DC64FB"/>
    <w:rsid w:val="00E1203B"/>
    <w:rsid w:val="00E45A67"/>
    <w:rsid w:val="00E54E8B"/>
    <w:rsid w:val="00E6415A"/>
    <w:rsid w:val="00E6720F"/>
    <w:rsid w:val="00EA6A0F"/>
    <w:rsid w:val="00EC673A"/>
    <w:rsid w:val="00EC7166"/>
    <w:rsid w:val="00F24A5F"/>
    <w:rsid w:val="00F535B8"/>
    <w:rsid w:val="00F768B7"/>
    <w:rsid w:val="00F96C6E"/>
    <w:rsid w:val="00FA4CCB"/>
    <w:rsid w:val="00FA66E4"/>
    <w:rsid w:val="00FC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03B"/>
    <w:pPr>
      <w:spacing w:after="0" w:line="240" w:lineRule="auto"/>
    </w:pPr>
    <w:rPr>
      <w:rFonts w:eastAsia="Times New Roman" w:cstheme="minorHAns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583ECE"/>
    <w:pPr>
      <w:ind w:left="720"/>
      <w:contextualSpacing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583ECE"/>
    <w:pPr>
      <w:ind w:left="720"/>
    </w:pPr>
    <w:rPr>
      <w:rFonts w:ascii="Calibri" w:eastAsia="Calibri" w:hAnsi="Calibri"/>
    </w:rPr>
  </w:style>
  <w:style w:type="paragraph" w:customStyle="1" w:styleId="Default">
    <w:name w:val="Default"/>
    <w:rsid w:val="00DC64FB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C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1A8045EC23C7449BAB1A4170DCE382" ma:contentTypeVersion="0" ma:contentTypeDescription="Vytvoří nový dokument" ma:contentTypeScope="" ma:versionID="9645492cd49a53ef3905bd9dda17b2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6AFAA-D227-4699-879D-7950F3050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C26D5-C80C-4CDF-B472-28A018F84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8321C-3A18-4984-A979-BE34298BC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u010643</dc:creator>
  <cp:lastModifiedBy>u011981</cp:lastModifiedBy>
  <cp:revision>11</cp:revision>
  <cp:lastPrinted>2012-05-14T09:19:00Z</cp:lastPrinted>
  <dcterms:created xsi:type="dcterms:W3CDTF">2012-06-04T14:18:00Z</dcterms:created>
  <dcterms:modified xsi:type="dcterms:W3CDTF">2012-07-18T13:38:00Z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0x010100641A8045EC23C7449BAB1A4170DCE382</vt:lpwstr>
  </property>
</Properties>
</file>