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A393A" w14:textId="0EB8B129" w:rsidR="00822C45" w:rsidRPr="00126CAE" w:rsidRDefault="00332C43" w:rsidP="00F92ECE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126CAE">
        <w:rPr>
          <w:rFonts w:ascii="Arial" w:hAnsi="Arial" w:cs="Arial"/>
          <w:b/>
          <w:bCs/>
          <w:sz w:val="28"/>
          <w:szCs w:val="28"/>
          <w:lang w:val="en-US"/>
        </w:rPr>
        <w:t>SAMPLE</w:t>
      </w:r>
      <w:r>
        <w:rPr>
          <w:rFonts w:ascii="Arial" w:hAnsi="Arial" w:cs="Arial"/>
          <w:b/>
          <w:bCs/>
          <w:sz w:val="28"/>
          <w:szCs w:val="28"/>
          <w:lang w:val="en-US"/>
        </w:rPr>
        <w:t>S</w:t>
      </w:r>
      <w:r w:rsidRPr="00126CAE">
        <w:rPr>
          <w:rFonts w:ascii="Arial" w:hAnsi="Arial" w:cs="Arial"/>
          <w:b/>
          <w:bCs/>
          <w:sz w:val="28"/>
          <w:szCs w:val="28"/>
          <w:lang w:val="en-US"/>
        </w:rPr>
        <w:t xml:space="preserve"> TESTING </w:t>
      </w:r>
    </w:p>
    <w:p w14:paraId="74D7EC86" w14:textId="17F276D1" w:rsidR="001E74E3" w:rsidRPr="00126CAE" w:rsidRDefault="001E74E3" w:rsidP="001E74E3">
      <w:pPr>
        <w:pStyle w:val="Nadpis1"/>
        <w:pageBreakBefore w:val="0"/>
        <w:numPr>
          <w:ilvl w:val="0"/>
          <w:numId w:val="9"/>
        </w:numPr>
        <w:overflowPunct/>
        <w:autoSpaceDE/>
        <w:autoSpaceDN/>
        <w:adjustRightInd/>
        <w:spacing w:before="240" w:after="0" w:line="259" w:lineRule="auto"/>
        <w:ind w:left="432" w:hanging="432"/>
        <w:jc w:val="left"/>
        <w:textAlignment w:val="auto"/>
        <w:rPr>
          <w:rFonts w:asciiTheme="majorHAnsi" w:eastAsiaTheme="majorEastAsia" w:hAnsiTheme="majorHAnsi" w:cstheme="majorHAnsi"/>
          <w:bCs/>
          <w:color w:val="2F5496" w:themeColor="accent1" w:themeShade="BF"/>
          <w:sz w:val="32"/>
          <w:szCs w:val="32"/>
          <w:lang w:val="en-US" w:eastAsia="en-US"/>
        </w:rPr>
      </w:pPr>
      <w:r w:rsidRPr="00126CAE">
        <w:rPr>
          <w:rFonts w:asciiTheme="majorHAnsi" w:eastAsiaTheme="majorEastAsia" w:hAnsiTheme="majorHAnsi" w:cstheme="majorHAnsi"/>
          <w:bCs/>
          <w:color w:val="2F5496" w:themeColor="accent1" w:themeShade="BF"/>
          <w:sz w:val="32"/>
          <w:szCs w:val="32"/>
          <w:lang w:val="en-US" w:eastAsia="en-US"/>
        </w:rPr>
        <w:t>Sample SET 2 testing</w:t>
      </w:r>
    </w:p>
    <w:p w14:paraId="1BA3AC32" w14:textId="77777777" w:rsidR="001E74E3" w:rsidRPr="00126CAE" w:rsidRDefault="001E74E3" w:rsidP="00191689">
      <w:pPr>
        <w:spacing w:after="0"/>
        <w:rPr>
          <w:rFonts w:ascii="Arial" w:hAnsi="Arial" w:cs="Arial"/>
          <w:lang w:val="en-US"/>
        </w:rPr>
      </w:pPr>
      <w:r w:rsidRPr="00126CAE">
        <w:rPr>
          <w:rFonts w:ascii="Arial" w:hAnsi="Arial" w:cs="Arial"/>
          <w:lang w:val="en-US"/>
        </w:rPr>
        <w:t>Prerequisites:</w:t>
      </w:r>
    </w:p>
    <w:p w14:paraId="0C3B290F" w14:textId="77777777" w:rsidR="001E74E3" w:rsidRPr="00126CAE" w:rsidRDefault="001E74E3" w:rsidP="001E74E3">
      <w:pPr>
        <w:pStyle w:val="Odstavecseseznamem"/>
        <w:numPr>
          <w:ilvl w:val="0"/>
          <w:numId w:val="2"/>
        </w:numPr>
        <w:rPr>
          <w:rFonts w:ascii="Arial" w:hAnsi="Arial" w:cs="Arial"/>
          <w:lang w:val="en-US"/>
        </w:rPr>
      </w:pPr>
      <w:r w:rsidRPr="00126CAE">
        <w:rPr>
          <w:rFonts w:ascii="Arial" w:hAnsi="Arial" w:cs="Arial"/>
          <w:lang w:val="en-US"/>
        </w:rPr>
        <w:t>40pcs of white ID1 testing cards, specific initialization according to requirements of the Buyer, testing diversified transport key, testing key ceremony implemented</w:t>
      </w:r>
    </w:p>
    <w:p w14:paraId="09224FAA" w14:textId="1A57DEB9" w:rsidR="001E74E3" w:rsidRPr="00126CAE" w:rsidRDefault="001E74E3" w:rsidP="003A1D02">
      <w:pPr>
        <w:pStyle w:val="Odstavecseseznamem"/>
        <w:numPr>
          <w:ilvl w:val="0"/>
          <w:numId w:val="2"/>
        </w:numPr>
        <w:rPr>
          <w:rFonts w:ascii="Arial" w:hAnsi="Arial" w:cs="Arial"/>
          <w:lang w:val="en-US"/>
        </w:rPr>
      </w:pPr>
      <w:r w:rsidRPr="00126CAE">
        <w:rPr>
          <w:rFonts w:ascii="Arial" w:hAnsi="Arial" w:cs="Arial"/>
          <w:lang w:val="en-US"/>
        </w:rPr>
        <w:t xml:space="preserve">Personalization manual provided together with the sample SET </w:t>
      </w:r>
      <w:r w:rsidR="003A1D02" w:rsidRPr="00126CAE">
        <w:rPr>
          <w:rFonts w:ascii="Arial" w:hAnsi="Arial" w:cs="Arial"/>
          <w:lang w:val="en-US"/>
        </w:rPr>
        <w:t>2</w:t>
      </w:r>
      <w:r w:rsidRPr="00126CAE">
        <w:rPr>
          <w:rFonts w:ascii="Arial" w:hAnsi="Arial" w:cs="Arial"/>
          <w:lang w:val="en-US"/>
        </w:rPr>
        <w:t xml:space="preserve"> – fully describing all the aspects of the personalization of the chip</w:t>
      </w:r>
    </w:p>
    <w:p w14:paraId="7111B308" w14:textId="4203F8A4" w:rsidR="001E74E3" w:rsidRPr="00126CAE" w:rsidRDefault="003A1D02" w:rsidP="003A1D02">
      <w:pPr>
        <w:pStyle w:val="Odstavecseseznamem"/>
        <w:numPr>
          <w:ilvl w:val="0"/>
          <w:numId w:val="2"/>
        </w:numPr>
        <w:rPr>
          <w:rFonts w:ascii="Arial" w:hAnsi="Arial" w:cs="Arial"/>
          <w:lang w:val="en-US"/>
        </w:rPr>
      </w:pPr>
      <w:r w:rsidRPr="00126CAE">
        <w:rPr>
          <w:rFonts w:ascii="Arial" w:hAnsi="Arial" w:cs="Arial"/>
          <w:lang w:val="en-US"/>
        </w:rPr>
        <w:t>Example of personalization script to be provided together with the sample SET 2</w:t>
      </w:r>
    </w:p>
    <w:p w14:paraId="318CFE70" w14:textId="621B65DE" w:rsidR="00D32E1E" w:rsidRDefault="00126CAE" w:rsidP="00126CAE">
      <w:pPr>
        <w:rPr>
          <w:rFonts w:ascii="Arial" w:hAnsi="Arial" w:cs="Arial"/>
          <w:highlight w:val="yellow"/>
          <w:lang w:val="en-US"/>
        </w:rPr>
      </w:pPr>
      <w:r>
        <w:rPr>
          <w:rFonts w:ascii="Arial" w:hAnsi="Arial" w:cs="Arial"/>
          <w:lang w:val="en-US"/>
        </w:rPr>
        <w:t>The main goal of Sample SET 2 acceptance testing is to verify t</w:t>
      </w:r>
      <w:r w:rsidRPr="00126CAE">
        <w:rPr>
          <w:rFonts w:ascii="Arial" w:hAnsi="Arial" w:cs="Arial"/>
          <w:lang w:val="en-US"/>
        </w:rPr>
        <w:t>he correctness of the implementation of the Key ceremo</w:t>
      </w:r>
      <w:r w:rsidRPr="009430BE">
        <w:rPr>
          <w:rFonts w:ascii="Arial" w:hAnsi="Arial" w:cs="Arial"/>
          <w:lang w:val="en-US"/>
        </w:rPr>
        <w:t xml:space="preserve">ny, </w:t>
      </w:r>
      <w:proofErr w:type="gramStart"/>
      <w:r w:rsidRPr="009430BE">
        <w:rPr>
          <w:rFonts w:ascii="Arial" w:hAnsi="Arial" w:cs="Arial"/>
          <w:lang w:val="en-US"/>
        </w:rPr>
        <w:t>i</w:t>
      </w:r>
      <w:r w:rsidR="00B83318">
        <w:rPr>
          <w:rFonts w:ascii="Arial" w:hAnsi="Arial" w:cs="Arial"/>
          <w:lang w:val="en-US"/>
        </w:rPr>
        <w:t>.</w:t>
      </w:r>
      <w:r w:rsidRPr="009430BE">
        <w:rPr>
          <w:rFonts w:ascii="Arial" w:hAnsi="Arial" w:cs="Arial"/>
          <w:lang w:val="en-US"/>
        </w:rPr>
        <w:t>e</w:t>
      </w:r>
      <w:r w:rsidR="00B83318">
        <w:rPr>
          <w:rFonts w:ascii="Arial" w:hAnsi="Arial" w:cs="Arial"/>
          <w:lang w:val="en-US"/>
        </w:rPr>
        <w:t>.</w:t>
      </w:r>
      <w:proofErr w:type="gramEnd"/>
      <w:r w:rsidRPr="009430BE">
        <w:rPr>
          <w:rFonts w:ascii="Arial" w:hAnsi="Arial" w:cs="Arial"/>
          <w:lang w:val="en-US"/>
        </w:rPr>
        <w:t xml:space="preserve"> the compliance of the Key ceremony </w:t>
      </w:r>
      <w:r w:rsidR="009430BE" w:rsidRPr="009430BE">
        <w:rPr>
          <w:rFonts w:ascii="Arial" w:hAnsi="Arial" w:cs="Arial"/>
          <w:lang w:val="en-US"/>
        </w:rPr>
        <w:t>stated in</w:t>
      </w:r>
      <w:r w:rsidRPr="009430BE">
        <w:rPr>
          <w:rFonts w:ascii="Arial" w:hAnsi="Arial" w:cs="Arial"/>
          <w:lang w:val="en-US"/>
        </w:rPr>
        <w:t xml:space="preserve"> Annex No. 1d </w:t>
      </w:r>
      <w:r w:rsidR="009430BE" w:rsidRPr="009430BE">
        <w:rPr>
          <w:rFonts w:ascii="Arial" w:hAnsi="Arial" w:cs="Arial"/>
          <w:lang w:val="en-US"/>
        </w:rPr>
        <w:t xml:space="preserve">to the Framework Agreement </w:t>
      </w:r>
      <w:r w:rsidRPr="009430BE">
        <w:rPr>
          <w:rFonts w:ascii="Arial" w:hAnsi="Arial" w:cs="Arial"/>
          <w:lang w:val="en-US"/>
        </w:rPr>
        <w:t xml:space="preserve">and with the classified part of Technical specification (Article II paragraph 7 hereof). </w:t>
      </w:r>
    </w:p>
    <w:tbl>
      <w:tblPr>
        <w:tblStyle w:val="Mkatabulky"/>
        <w:tblW w:w="9108" w:type="dxa"/>
        <w:tblLook w:val="04A0" w:firstRow="1" w:lastRow="0" w:firstColumn="1" w:lastColumn="0" w:noHBand="0" w:noVBand="1"/>
      </w:tblPr>
      <w:tblGrid>
        <w:gridCol w:w="2808"/>
        <w:gridCol w:w="4616"/>
        <w:gridCol w:w="1684"/>
      </w:tblGrid>
      <w:tr w:rsidR="0047504B" w:rsidRPr="00126CAE" w14:paraId="61551CC9" w14:textId="77777777" w:rsidTr="00B00024">
        <w:tc>
          <w:tcPr>
            <w:tcW w:w="2808" w:type="dxa"/>
            <w:shd w:val="clear" w:color="auto" w:fill="D5DCE4" w:themeFill="text2" w:themeFillTint="33"/>
          </w:tcPr>
          <w:p w14:paraId="76DAC256" w14:textId="77777777" w:rsidR="0047504B" w:rsidRPr="00126CAE" w:rsidRDefault="0047504B" w:rsidP="00B00024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126CAE">
              <w:rPr>
                <w:rFonts w:ascii="Arial" w:hAnsi="Arial" w:cs="Arial"/>
                <w:b/>
                <w:bCs/>
                <w:lang w:val="en-US"/>
              </w:rPr>
              <w:t>Test case</w:t>
            </w:r>
          </w:p>
        </w:tc>
        <w:tc>
          <w:tcPr>
            <w:tcW w:w="4616" w:type="dxa"/>
            <w:shd w:val="clear" w:color="auto" w:fill="D5DCE4" w:themeFill="text2" w:themeFillTint="33"/>
          </w:tcPr>
          <w:p w14:paraId="415E65FD" w14:textId="77777777" w:rsidR="0047504B" w:rsidRPr="00126CAE" w:rsidRDefault="0047504B" w:rsidP="00B00024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126CAE">
              <w:rPr>
                <w:rFonts w:ascii="Arial" w:hAnsi="Arial" w:cs="Arial"/>
                <w:b/>
                <w:bCs/>
                <w:lang w:val="en-US"/>
              </w:rPr>
              <w:t>Description</w:t>
            </w:r>
          </w:p>
        </w:tc>
        <w:tc>
          <w:tcPr>
            <w:tcW w:w="1684" w:type="dxa"/>
            <w:shd w:val="clear" w:color="auto" w:fill="D5DCE4" w:themeFill="text2" w:themeFillTint="33"/>
          </w:tcPr>
          <w:p w14:paraId="5D7B616B" w14:textId="77777777" w:rsidR="0047504B" w:rsidRPr="00126CAE" w:rsidRDefault="0047504B" w:rsidP="00B00024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126CAE">
              <w:rPr>
                <w:rFonts w:ascii="Arial" w:hAnsi="Arial" w:cs="Arial"/>
                <w:b/>
                <w:bCs/>
                <w:lang w:val="en-US"/>
              </w:rPr>
              <w:t>Passed/Failed</w:t>
            </w:r>
          </w:p>
        </w:tc>
      </w:tr>
      <w:tr w:rsidR="0047504B" w:rsidRPr="00126CAE" w14:paraId="35D49CE5" w14:textId="77777777" w:rsidTr="00B00024">
        <w:tc>
          <w:tcPr>
            <w:tcW w:w="2808" w:type="dxa"/>
          </w:tcPr>
          <w:p w14:paraId="193E3FD6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Personalization scenario 1</w:t>
            </w:r>
          </w:p>
        </w:tc>
        <w:tc>
          <w:tcPr>
            <w:tcW w:w="4616" w:type="dxa"/>
          </w:tcPr>
          <w:p w14:paraId="0423AF0A" w14:textId="22309340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Successful authentication into the chip using specific customer diversified transport key</w:t>
            </w:r>
          </w:p>
        </w:tc>
        <w:tc>
          <w:tcPr>
            <w:tcW w:w="1684" w:type="dxa"/>
          </w:tcPr>
          <w:p w14:paraId="67FED23F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7504B" w:rsidRPr="00126CAE" w14:paraId="517443C5" w14:textId="77777777" w:rsidTr="00B00024">
        <w:tc>
          <w:tcPr>
            <w:tcW w:w="2808" w:type="dxa"/>
          </w:tcPr>
          <w:p w14:paraId="3893C725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126CAE">
              <w:rPr>
                <w:rFonts w:asciiTheme="majorHAnsi" w:hAnsiTheme="majorHAnsi" w:cstheme="majorHAnsi"/>
                <w:lang w:val="en-US"/>
              </w:rPr>
              <w:t xml:space="preserve">Personalization scenario </w:t>
            </w:r>
            <w:r>
              <w:rPr>
                <w:rFonts w:asciiTheme="majorHAnsi" w:hAnsiTheme="majorHAnsi" w:cstheme="majorHAnsi"/>
                <w:lang w:val="en-US"/>
              </w:rPr>
              <w:t>2</w:t>
            </w:r>
          </w:p>
        </w:tc>
        <w:tc>
          <w:tcPr>
            <w:tcW w:w="4616" w:type="dxa"/>
          </w:tcPr>
          <w:p w14:paraId="184BBAFF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126CAE">
              <w:rPr>
                <w:rFonts w:asciiTheme="majorHAnsi" w:hAnsiTheme="majorHAnsi" w:cstheme="majorHAnsi"/>
                <w:lang w:val="en-US"/>
              </w:rPr>
              <w:t>Personalization of Applet 1 (Authentication)</w:t>
            </w:r>
          </w:p>
        </w:tc>
        <w:tc>
          <w:tcPr>
            <w:tcW w:w="1684" w:type="dxa"/>
          </w:tcPr>
          <w:p w14:paraId="2C519956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7504B" w:rsidRPr="00126CAE" w14:paraId="4076D51B" w14:textId="77777777" w:rsidTr="00B00024">
        <w:tc>
          <w:tcPr>
            <w:tcW w:w="2808" w:type="dxa"/>
          </w:tcPr>
          <w:p w14:paraId="7458BA00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126CAE">
              <w:rPr>
                <w:rFonts w:asciiTheme="majorHAnsi" w:hAnsiTheme="majorHAnsi" w:cstheme="majorHAnsi"/>
                <w:lang w:val="en-US"/>
              </w:rPr>
              <w:t xml:space="preserve">Personalization scenario </w:t>
            </w:r>
            <w:r>
              <w:rPr>
                <w:rFonts w:asciiTheme="majorHAnsi" w:hAnsiTheme="majorHAnsi" w:cstheme="majorHAnsi"/>
                <w:lang w:val="en-US"/>
              </w:rPr>
              <w:t>3</w:t>
            </w:r>
          </w:p>
        </w:tc>
        <w:tc>
          <w:tcPr>
            <w:tcW w:w="4616" w:type="dxa"/>
          </w:tcPr>
          <w:p w14:paraId="0AE47F40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126CAE">
              <w:rPr>
                <w:rFonts w:asciiTheme="majorHAnsi" w:hAnsiTheme="majorHAnsi" w:cstheme="majorHAnsi"/>
                <w:lang w:val="en-US"/>
              </w:rPr>
              <w:t>Personalization of Applet 2 (Signature)</w:t>
            </w:r>
          </w:p>
        </w:tc>
        <w:tc>
          <w:tcPr>
            <w:tcW w:w="1684" w:type="dxa"/>
          </w:tcPr>
          <w:p w14:paraId="7AF2676E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7504B" w:rsidRPr="00126CAE" w14:paraId="4BD6CE77" w14:textId="77777777" w:rsidTr="00B00024">
        <w:tc>
          <w:tcPr>
            <w:tcW w:w="2808" w:type="dxa"/>
          </w:tcPr>
          <w:p w14:paraId="29DA4740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126CAE">
              <w:rPr>
                <w:rFonts w:asciiTheme="majorHAnsi" w:hAnsiTheme="majorHAnsi" w:cstheme="majorHAnsi"/>
                <w:lang w:val="en-US"/>
              </w:rPr>
              <w:t xml:space="preserve">Personalization scenario </w:t>
            </w:r>
            <w:r>
              <w:rPr>
                <w:rFonts w:asciiTheme="majorHAnsi" w:hAnsiTheme="majorHAnsi" w:cstheme="majorHAnsi"/>
                <w:lang w:val="en-US"/>
              </w:rPr>
              <w:t>4</w:t>
            </w:r>
          </w:p>
        </w:tc>
        <w:tc>
          <w:tcPr>
            <w:tcW w:w="4616" w:type="dxa"/>
          </w:tcPr>
          <w:p w14:paraId="35EC1EF1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126CAE">
              <w:rPr>
                <w:rFonts w:asciiTheme="majorHAnsi" w:hAnsiTheme="majorHAnsi" w:cstheme="majorHAnsi"/>
                <w:lang w:val="en-US"/>
              </w:rPr>
              <w:t>Personalization of user applet (3rd party applet)</w:t>
            </w:r>
          </w:p>
        </w:tc>
        <w:tc>
          <w:tcPr>
            <w:tcW w:w="1684" w:type="dxa"/>
          </w:tcPr>
          <w:p w14:paraId="3E6BE256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7504B" w:rsidRPr="00126CAE" w14:paraId="66229A68" w14:textId="77777777" w:rsidTr="00B00024">
        <w:tc>
          <w:tcPr>
            <w:tcW w:w="2808" w:type="dxa"/>
          </w:tcPr>
          <w:p w14:paraId="0ABB812D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126CAE">
              <w:rPr>
                <w:rFonts w:asciiTheme="majorHAnsi" w:hAnsiTheme="majorHAnsi" w:cstheme="majorHAnsi"/>
                <w:lang w:val="en-US"/>
              </w:rPr>
              <w:t>User scenario 1</w:t>
            </w:r>
          </w:p>
        </w:tc>
        <w:tc>
          <w:tcPr>
            <w:tcW w:w="4616" w:type="dxa"/>
          </w:tcPr>
          <w:p w14:paraId="56575BEF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126CAE">
              <w:rPr>
                <w:rFonts w:asciiTheme="majorHAnsi" w:hAnsiTheme="majorHAnsi" w:cstheme="majorHAnsi"/>
                <w:lang w:val="en-US"/>
              </w:rPr>
              <w:t>On-board generation of the RSA/ECC key pairs for qualified electronic signature</w:t>
            </w:r>
          </w:p>
        </w:tc>
        <w:tc>
          <w:tcPr>
            <w:tcW w:w="1684" w:type="dxa"/>
          </w:tcPr>
          <w:p w14:paraId="706ECFB1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7504B" w:rsidRPr="00126CAE" w14:paraId="453385E2" w14:textId="77777777" w:rsidTr="00B00024">
        <w:tc>
          <w:tcPr>
            <w:tcW w:w="2808" w:type="dxa"/>
          </w:tcPr>
          <w:p w14:paraId="588A7134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126CAE">
              <w:rPr>
                <w:rFonts w:asciiTheme="majorHAnsi" w:hAnsiTheme="majorHAnsi" w:cstheme="majorHAnsi"/>
                <w:lang w:val="en-US"/>
              </w:rPr>
              <w:t>User scenario 2</w:t>
            </w:r>
          </w:p>
        </w:tc>
        <w:tc>
          <w:tcPr>
            <w:tcW w:w="4616" w:type="dxa"/>
          </w:tcPr>
          <w:p w14:paraId="5225C788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126CAE">
              <w:rPr>
                <w:rFonts w:asciiTheme="majorHAnsi" w:hAnsiTheme="majorHAnsi" w:cstheme="majorHAnsi"/>
                <w:lang w:val="en-US"/>
              </w:rPr>
              <w:t>Import of the RSA/ECC key pairs to the chip for electronic signature</w:t>
            </w:r>
          </w:p>
        </w:tc>
        <w:tc>
          <w:tcPr>
            <w:tcW w:w="1684" w:type="dxa"/>
          </w:tcPr>
          <w:p w14:paraId="0E649EFA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7504B" w:rsidRPr="00126CAE" w14:paraId="14A6C075" w14:textId="77777777" w:rsidTr="00B00024">
        <w:tc>
          <w:tcPr>
            <w:tcW w:w="2808" w:type="dxa"/>
          </w:tcPr>
          <w:p w14:paraId="64A3F741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126CAE">
              <w:rPr>
                <w:rFonts w:asciiTheme="majorHAnsi" w:hAnsiTheme="majorHAnsi" w:cstheme="majorHAnsi"/>
                <w:lang w:val="en-US"/>
              </w:rPr>
              <w:t>User scenario 3</w:t>
            </w:r>
          </w:p>
        </w:tc>
        <w:tc>
          <w:tcPr>
            <w:tcW w:w="4616" w:type="dxa"/>
          </w:tcPr>
          <w:p w14:paraId="015175BF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126CAE">
              <w:rPr>
                <w:rFonts w:asciiTheme="majorHAnsi" w:hAnsiTheme="majorHAnsi" w:cstheme="majorHAnsi"/>
                <w:lang w:val="en-US"/>
              </w:rPr>
              <w:t>Import of the certificate for the electronic signature</w:t>
            </w:r>
          </w:p>
        </w:tc>
        <w:tc>
          <w:tcPr>
            <w:tcW w:w="1684" w:type="dxa"/>
          </w:tcPr>
          <w:p w14:paraId="2D1EE0E7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7504B" w:rsidRPr="00126CAE" w14:paraId="53748583" w14:textId="77777777" w:rsidTr="00B00024">
        <w:tc>
          <w:tcPr>
            <w:tcW w:w="2808" w:type="dxa"/>
          </w:tcPr>
          <w:p w14:paraId="5C3212DE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126CAE">
              <w:rPr>
                <w:rFonts w:asciiTheme="majorHAnsi" w:hAnsiTheme="majorHAnsi" w:cstheme="majorHAnsi"/>
                <w:lang w:val="en-US"/>
              </w:rPr>
              <w:t>User scenario 4</w:t>
            </w:r>
          </w:p>
        </w:tc>
        <w:tc>
          <w:tcPr>
            <w:tcW w:w="4616" w:type="dxa"/>
          </w:tcPr>
          <w:p w14:paraId="080AC65A" w14:textId="03A66D60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126CAE">
              <w:rPr>
                <w:rFonts w:asciiTheme="majorHAnsi" w:hAnsiTheme="majorHAnsi" w:cstheme="majorHAnsi"/>
                <w:lang w:val="en-US"/>
              </w:rPr>
              <w:t xml:space="preserve">Creating of </w:t>
            </w:r>
            <w:r w:rsidR="00D32E1E">
              <w:rPr>
                <w:rFonts w:asciiTheme="majorHAnsi" w:hAnsiTheme="majorHAnsi" w:cstheme="majorHAnsi"/>
                <w:lang w:val="en-US"/>
              </w:rPr>
              <w:t xml:space="preserve">an </w:t>
            </w:r>
            <w:r w:rsidRPr="00126CAE">
              <w:rPr>
                <w:rFonts w:asciiTheme="majorHAnsi" w:hAnsiTheme="majorHAnsi" w:cstheme="majorHAnsi"/>
                <w:lang w:val="en-US"/>
              </w:rPr>
              <w:t>electronic signature</w:t>
            </w:r>
          </w:p>
        </w:tc>
        <w:tc>
          <w:tcPr>
            <w:tcW w:w="1684" w:type="dxa"/>
          </w:tcPr>
          <w:p w14:paraId="20681183" w14:textId="77777777" w:rsidR="0047504B" w:rsidRPr="00126CAE" w:rsidRDefault="0047504B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</w:tbl>
    <w:p w14:paraId="577B306E" w14:textId="6CAA80B1" w:rsidR="00D32E1E" w:rsidRPr="00126CAE" w:rsidRDefault="00D32E1E" w:rsidP="00126CAE">
      <w:pPr>
        <w:rPr>
          <w:rFonts w:ascii="Arial" w:hAnsi="Arial" w:cs="Arial"/>
          <w:lang w:val="en-US"/>
        </w:rPr>
      </w:pPr>
      <w:r w:rsidRPr="009839CE">
        <w:rPr>
          <w:rFonts w:ascii="Arial" w:hAnsi="Arial" w:cs="Arial"/>
          <w:lang w:val="en-US"/>
        </w:rPr>
        <w:t xml:space="preserve">Testing will take place in time according to the </w:t>
      </w:r>
      <w:r w:rsidR="009839CE" w:rsidRPr="009839CE">
        <w:rPr>
          <w:rFonts w:ascii="Arial" w:hAnsi="Arial" w:cs="Arial"/>
          <w:lang w:val="en-US"/>
        </w:rPr>
        <w:t xml:space="preserve">Time </w:t>
      </w:r>
      <w:r w:rsidRPr="009839CE">
        <w:rPr>
          <w:rFonts w:ascii="Arial" w:hAnsi="Arial" w:cs="Arial"/>
          <w:lang w:val="en-US"/>
        </w:rPr>
        <w:t xml:space="preserve">schedule set out in Annex No. </w:t>
      </w:r>
      <w:r w:rsidR="009839CE" w:rsidRPr="009839CE">
        <w:rPr>
          <w:rFonts w:ascii="Arial" w:hAnsi="Arial" w:cs="Arial"/>
          <w:lang w:val="en-US"/>
        </w:rPr>
        <w:t>5</w:t>
      </w:r>
      <w:r w:rsidRPr="009839CE">
        <w:rPr>
          <w:rFonts w:ascii="Arial" w:hAnsi="Arial" w:cs="Arial"/>
          <w:lang w:val="en-US"/>
        </w:rPr>
        <w:t xml:space="preserve"> to th</w:t>
      </w:r>
      <w:r w:rsidR="009839CE" w:rsidRPr="009839CE">
        <w:rPr>
          <w:rFonts w:ascii="Arial" w:hAnsi="Arial" w:cs="Arial"/>
          <w:lang w:val="en-US"/>
        </w:rPr>
        <w:t>e</w:t>
      </w:r>
      <w:r w:rsidRPr="009839CE">
        <w:rPr>
          <w:rFonts w:ascii="Arial" w:hAnsi="Arial" w:cs="Arial"/>
          <w:lang w:val="en-US"/>
        </w:rPr>
        <w:t xml:space="preserve"> Framework Agreement</w:t>
      </w:r>
    </w:p>
    <w:p w14:paraId="451BB7F5" w14:textId="73BB979E" w:rsidR="001E74E3" w:rsidRPr="00126CAE" w:rsidRDefault="001E74E3" w:rsidP="001E74E3">
      <w:pPr>
        <w:pStyle w:val="Nadpis1"/>
        <w:pageBreakBefore w:val="0"/>
        <w:numPr>
          <w:ilvl w:val="0"/>
          <w:numId w:val="9"/>
        </w:numPr>
        <w:overflowPunct/>
        <w:autoSpaceDE/>
        <w:autoSpaceDN/>
        <w:adjustRightInd/>
        <w:spacing w:before="240" w:after="0" w:line="259" w:lineRule="auto"/>
        <w:ind w:left="432" w:hanging="432"/>
        <w:jc w:val="left"/>
        <w:textAlignment w:val="auto"/>
        <w:rPr>
          <w:rFonts w:asciiTheme="majorHAnsi" w:eastAsiaTheme="majorEastAsia" w:hAnsiTheme="majorHAnsi" w:cstheme="majorHAnsi"/>
          <w:bCs/>
          <w:color w:val="2F5496" w:themeColor="accent1" w:themeShade="BF"/>
          <w:sz w:val="32"/>
          <w:szCs w:val="32"/>
          <w:lang w:val="en-US" w:eastAsia="en-US"/>
        </w:rPr>
      </w:pPr>
      <w:r w:rsidRPr="00126CAE">
        <w:rPr>
          <w:rFonts w:asciiTheme="majorHAnsi" w:eastAsiaTheme="majorEastAsia" w:hAnsiTheme="majorHAnsi" w:cstheme="majorHAnsi"/>
          <w:bCs/>
          <w:color w:val="2F5496" w:themeColor="accent1" w:themeShade="BF"/>
          <w:sz w:val="32"/>
          <w:szCs w:val="32"/>
          <w:lang w:val="en-US" w:eastAsia="en-US"/>
        </w:rPr>
        <w:t>Samples SET 3 testing</w:t>
      </w:r>
    </w:p>
    <w:p w14:paraId="73A80B0B" w14:textId="77777777" w:rsidR="003A1D02" w:rsidRPr="00126CAE" w:rsidRDefault="003A1D02" w:rsidP="00191689">
      <w:pPr>
        <w:spacing w:after="0"/>
        <w:rPr>
          <w:rFonts w:ascii="Arial" w:hAnsi="Arial" w:cs="Arial"/>
          <w:lang w:val="en-US"/>
        </w:rPr>
      </w:pPr>
      <w:r w:rsidRPr="00126CAE">
        <w:rPr>
          <w:rFonts w:ascii="Arial" w:hAnsi="Arial" w:cs="Arial"/>
          <w:lang w:val="en-US"/>
        </w:rPr>
        <w:t>Prerequisites:</w:t>
      </w:r>
    </w:p>
    <w:p w14:paraId="16C3EC5D" w14:textId="55731BDF" w:rsidR="001E74E3" w:rsidRDefault="002C2652" w:rsidP="003A1D02">
      <w:pPr>
        <w:pStyle w:val="Odstavecseseznamem"/>
        <w:numPr>
          <w:ilvl w:val="0"/>
          <w:numId w:val="2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1500</w:t>
      </w:r>
      <w:r w:rsidR="001E74E3" w:rsidRPr="00126CAE">
        <w:rPr>
          <w:rFonts w:ascii="Arial" w:hAnsi="Arial" w:cs="Arial"/>
          <w:lang w:val="en-US"/>
        </w:rPr>
        <w:t xml:space="preserve"> modules on reel, specific initialization according to requirements of the Buyer, testing diversified transport key, testing key ceremony implemented</w:t>
      </w:r>
    </w:p>
    <w:p w14:paraId="3C0111C1" w14:textId="4E57F915" w:rsidR="00D32E1E" w:rsidRPr="00126CAE" w:rsidRDefault="00D32E1E" w:rsidP="003A1D02">
      <w:pPr>
        <w:pStyle w:val="Odstavecseseznamem"/>
        <w:numPr>
          <w:ilvl w:val="0"/>
          <w:numId w:val="2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Contact chip module technical drawing</w:t>
      </w:r>
    </w:p>
    <w:p w14:paraId="66090DBF" w14:textId="6ACB796B" w:rsidR="003A1D02" w:rsidRPr="00126CAE" w:rsidRDefault="003A1D02" w:rsidP="003A1D02">
      <w:pPr>
        <w:pStyle w:val="Odstavecseseznamem"/>
        <w:numPr>
          <w:ilvl w:val="0"/>
          <w:numId w:val="2"/>
        </w:numPr>
        <w:rPr>
          <w:rFonts w:ascii="Arial" w:hAnsi="Arial" w:cs="Arial"/>
          <w:lang w:val="en-US"/>
        </w:rPr>
      </w:pPr>
      <w:r w:rsidRPr="00126CAE">
        <w:rPr>
          <w:rFonts w:ascii="Arial" w:hAnsi="Arial" w:cs="Arial"/>
          <w:lang w:val="en-US"/>
        </w:rPr>
        <w:t>Personalization manual provided together with the sample SET 3 – fully describing all the aspects of the personalization of the chip</w:t>
      </w:r>
    </w:p>
    <w:p w14:paraId="2A100EFD" w14:textId="53B33A1B" w:rsidR="001E74E3" w:rsidRDefault="003A1D02" w:rsidP="003A1D02">
      <w:pPr>
        <w:pStyle w:val="Odstavecseseznamem"/>
        <w:numPr>
          <w:ilvl w:val="0"/>
          <w:numId w:val="2"/>
        </w:numPr>
        <w:rPr>
          <w:rFonts w:ascii="Arial" w:hAnsi="Arial" w:cs="Arial"/>
          <w:lang w:val="en-US"/>
        </w:rPr>
      </w:pPr>
      <w:r w:rsidRPr="00126CAE">
        <w:rPr>
          <w:rFonts w:ascii="Arial" w:hAnsi="Arial" w:cs="Arial"/>
          <w:lang w:val="en-US"/>
        </w:rPr>
        <w:t>Example of personalization script to be provided together with the sample SET 3</w:t>
      </w:r>
    </w:p>
    <w:p w14:paraId="1DC8FDDE" w14:textId="7EDEC467" w:rsidR="006664FC" w:rsidRDefault="006664FC" w:rsidP="006664FC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main goal of Sample SET </w:t>
      </w:r>
      <w:r w:rsidR="003B07DE">
        <w:rPr>
          <w:rFonts w:ascii="Arial" w:hAnsi="Arial" w:cs="Arial"/>
          <w:lang w:val="en-US"/>
        </w:rPr>
        <w:t>3</w:t>
      </w:r>
      <w:r>
        <w:rPr>
          <w:rFonts w:ascii="Arial" w:hAnsi="Arial" w:cs="Arial"/>
          <w:lang w:val="en-US"/>
        </w:rPr>
        <w:t xml:space="preserve"> acceptance testing is to verify t</w:t>
      </w:r>
      <w:r w:rsidRPr="00126CAE">
        <w:rPr>
          <w:rFonts w:ascii="Arial" w:hAnsi="Arial" w:cs="Arial"/>
          <w:lang w:val="en-US"/>
        </w:rPr>
        <w:t>he</w:t>
      </w:r>
      <w:r w:rsidR="003B07DE">
        <w:rPr>
          <w:rFonts w:ascii="Arial" w:hAnsi="Arial" w:cs="Arial"/>
          <w:lang w:val="en-US"/>
        </w:rPr>
        <w:t xml:space="preserve"> correctness of the </w:t>
      </w:r>
      <w:r w:rsidR="00D32E1E">
        <w:rPr>
          <w:rFonts w:ascii="Arial" w:hAnsi="Arial" w:cs="Arial"/>
          <w:lang w:val="en-US"/>
        </w:rPr>
        <w:t xml:space="preserve">smart card production process, </w:t>
      </w:r>
      <w:r w:rsidR="00D32E1E" w:rsidRPr="00D32E1E">
        <w:rPr>
          <w:rFonts w:ascii="Arial" w:hAnsi="Arial" w:cs="Arial"/>
          <w:b/>
          <w:bCs/>
          <w:lang w:val="en-US"/>
        </w:rPr>
        <w:t xml:space="preserve">specifically </w:t>
      </w:r>
      <w:r w:rsidR="003B07DE" w:rsidRPr="00D32E1E">
        <w:rPr>
          <w:rFonts w:ascii="Arial" w:hAnsi="Arial" w:cs="Arial"/>
          <w:b/>
          <w:bCs/>
          <w:lang w:val="en-US"/>
        </w:rPr>
        <w:t xml:space="preserve">embedding of contact </w:t>
      </w:r>
      <w:r w:rsidR="00D32E1E" w:rsidRPr="00D32E1E">
        <w:rPr>
          <w:rFonts w:ascii="Arial" w:hAnsi="Arial" w:cs="Arial"/>
          <w:b/>
          <w:bCs/>
          <w:lang w:val="en-US"/>
        </w:rPr>
        <w:t xml:space="preserve">chip </w:t>
      </w:r>
      <w:r w:rsidR="003B07DE" w:rsidRPr="00D32E1E">
        <w:rPr>
          <w:rFonts w:ascii="Arial" w:hAnsi="Arial" w:cs="Arial"/>
          <w:b/>
          <w:bCs/>
          <w:lang w:val="en-US"/>
        </w:rPr>
        <w:t>module into the ID1 plastic card</w:t>
      </w:r>
      <w:r w:rsidR="003B07DE">
        <w:rPr>
          <w:rFonts w:ascii="Arial" w:hAnsi="Arial" w:cs="Arial"/>
          <w:lang w:val="en-US"/>
        </w:rPr>
        <w:t>.</w:t>
      </w:r>
    </w:p>
    <w:tbl>
      <w:tblPr>
        <w:tblStyle w:val="Mkatabulky"/>
        <w:tblW w:w="8909" w:type="dxa"/>
        <w:tblLook w:val="04A0" w:firstRow="1" w:lastRow="0" w:firstColumn="1" w:lastColumn="0" w:noHBand="0" w:noVBand="1"/>
      </w:tblPr>
      <w:tblGrid>
        <w:gridCol w:w="2263"/>
        <w:gridCol w:w="4962"/>
        <w:gridCol w:w="1684"/>
      </w:tblGrid>
      <w:tr w:rsidR="008C37CF" w:rsidRPr="00126CAE" w14:paraId="1EDC5598" w14:textId="77777777" w:rsidTr="00EB4639">
        <w:tc>
          <w:tcPr>
            <w:tcW w:w="2263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21248100" w14:textId="77777777" w:rsidR="008C37CF" w:rsidRPr="00126CAE" w:rsidRDefault="008C37CF" w:rsidP="00B00024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126CAE">
              <w:rPr>
                <w:rFonts w:ascii="Arial" w:hAnsi="Arial" w:cs="Arial"/>
                <w:b/>
                <w:bCs/>
                <w:lang w:val="en-US"/>
              </w:rPr>
              <w:t>Test case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1075A04A" w14:textId="77777777" w:rsidR="008C37CF" w:rsidRPr="00126CAE" w:rsidRDefault="008C37CF" w:rsidP="00B00024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126CAE">
              <w:rPr>
                <w:rFonts w:ascii="Arial" w:hAnsi="Arial" w:cs="Arial"/>
                <w:b/>
                <w:bCs/>
                <w:lang w:val="en-US"/>
              </w:rPr>
              <w:t>Description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0B92EEB5" w14:textId="77777777" w:rsidR="008C37CF" w:rsidRPr="00126CAE" w:rsidRDefault="008C37CF" w:rsidP="00B00024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126CAE">
              <w:rPr>
                <w:rFonts w:ascii="Arial" w:hAnsi="Arial" w:cs="Arial"/>
                <w:b/>
                <w:bCs/>
                <w:lang w:val="en-US"/>
              </w:rPr>
              <w:t>Passed/Failed</w:t>
            </w:r>
          </w:p>
        </w:tc>
      </w:tr>
      <w:tr w:rsidR="008C37CF" w:rsidRPr="00126CAE" w14:paraId="062DA4C1" w14:textId="77777777" w:rsidTr="00191689">
        <w:trPr>
          <w:trHeight w:val="533"/>
        </w:trPr>
        <w:tc>
          <w:tcPr>
            <w:tcW w:w="2263" w:type="dxa"/>
            <w:tcBorders>
              <w:bottom w:val="single" w:sz="4" w:space="0" w:color="auto"/>
            </w:tcBorders>
          </w:tcPr>
          <w:p w14:paraId="05CC78C5" w14:textId="288E1DD0" w:rsidR="008C37CF" w:rsidRPr="00126CAE" w:rsidRDefault="008C37CF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Production scenario 1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1041DB29" w14:textId="6C2B5545" w:rsidR="008C37CF" w:rsidRPr="00126CAE" w:rsidRDefault="008C37CF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 xml:space="preserve">Embedding of contact chip modules into </w:t>
            </w:r>
            <w:r w:rsidR="00D32E1E">
              <w:rPr>
                <w:rFonts w:asciiTheme="majorHAnsi" w:hAnsiTheme="majorHAnsi" w:cstheme="majorHAnsi"/>
                <w:lang w:val="en-US"/>
              </w:rPr>
              <w:t xml:space="preserve">the </w:t>
            </w:r>
            <w:r>
              <w:rPr>
                <w:rFonts w:asciiTheme="majorHAnsi" w:hAnsiTheme="majorHAnsi" w:cstheme="majorHAnsi"/>
                <w:lang w:val="en-US"/>
              </w:rPr>
              <w:t>ID1 plastic card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49817335" w14:textId="77777777" w:rsidR="008C37CF" w:rsidRPr="00126CAE" w:rsidRDefault="008C37CF" w:rsidP="00B00024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</w:tbl>
    <w:p w14:paraId="4FF116B9" w14:textId="7837DD39" w:rsidR="00D32E1E" w:rsidRPr="006664FC" w:rsidRDefault="00D32E1E" w:rsidP="006664FC">
      <w:pPr>
        <w:rPr>
          <w:rFonts w:ascii="Arial" w:hAnsi="Arial" w:cs="Arial"/>
          <w:lang w:val="en-US"/>
        </w:rPr>
      </w:pPr>
      <w:r w:rsidRPr="009839CE">
        <w:rPr>
          <w:rFonts w:ascii="Arial" w:hAnsi="Arial" w:cs="Arial"/>
          <w:lang w:val="en-US"/>
        </w:rPr>
        <w:t xml:space="preserve">Testing will take place in time according to the </w:t>
      </w:r>
      <w:r w:rsidR="009839CE" w:rsidRPr="009839CE">
        <w:rPr>
          <w:rFonts w:ascii="Arial" w:hAnsi="Arial" w:cs="Arial"/>
          <w:lang w:val="en-US"/>
        </w:rPr>
        <w:t xml:space="preserve">Time </w:t>
      </w:r>
      <w:r w:rsidRPr="009839CE">
        <w:rPr>
          <w:rFonts w:ascii="Arial" w:hAnsi="Arial" w:cs="Arial"/>
          <w:lang w:val="en-US"/>
        </w:rPr>
        <w:t xml:space="preserve">schedule set out in Annex No. </w:t>
      </w:r>
      <w:r w:rsidR="009839CE" w:rsidRPr="009839CE">
        <w:rPr>
          <w:rFonts w:ascii="Arial" w:hAnsi="Arial" w:cs="Arial"/>
          <w:lang w:val="en-US"/>
        </w:rPr>
        <w:t>5</w:t>
      </w:r>
      <w:r w:rsidRPr="009839CE">
        <w:rPr>
          <w:rFonts w:ascii="Arial" w:hAnsi="Arial" w:cs="Arial"/>
          <w:lang w:val="en-US"/>
        </w:rPr>
        <w:t xml:space="preserve"> to </w:t>
      </w:r>
      <w:proofErr w:type="spellStart"/>
      <w:r w:rsidRPr="009839CE">
        <w:rPr>
          <w:rFonts w:ascii="Arial" w:hAnsi="Arial" w:cs="Arial"/>
          <w:lang w:val="en-US"/>
        </w:rPr>
        <w:t>t</w:t>
      </w:r>
      <w:r w:rsidR="009839CE" w:rsidRPr="009839CE">
        <w:rPr>
          <w:rFonts w:ascii="Arial" w:hAnsi="Arial" w:cs="Arial"/>
          <w:lang w:val="en-US"/>
        </w:rPr>
        <w:t>e</w:t>
      </w:r>
      <w:proofErr w:type="spellEnd"/>
      <w:r w:rsidRPr="009839CE">
        <w:rPr>
          <w:rFonts w:ascii="Arial" w:hAnsi="Arial" w:cs="Arial"/>
          <w:lang w:val="en-US"/>
        </w:rPr>
        <w:t xml:space="preserve"> Framework Agreement</w:t>
      </w:r>
    </w:p>
    <w:sectPr w:rsidR="00D32E1E" w:rsidRPr="006664FC" w:rsidSect="00191689">
      <w:headerReference w:type="default" r:id="rId10"/>
      <w:footerReference w:type="default" r:id="rId11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6C34A" w14:textId="77777777" w:rsidR="00522BAF" w:rsidRDefault="00522BAF" w:rsidP="001E6D64">
      <w:pPr>
        <w:spacing w:after="0" w:line="240" w:lineRule="auto"/>
      </w:pPr>
      <w:r>
        <w:separator/>
      </w:r>
    </w:p>
  </w:endnote>
  <w:endnote w:type="continuationSeparator" w:id="0">
    <w:p w14:paraId="7F9301A1" w14:textId="77777777" w:rsidR="00522BAF" w:rsidRDefault="00522BAF" w:rsidP="001E6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1380883"/>
      <w:docPartObj>
        <w:docPartGallery w:val="Page Numbers (Bottom of Page)"/>
        <w:docPartUnique/>
      </w:docPartObj>
    </w:sdtPr>
    <w:sdtEndPr/>
    <w:sdtContent>
      <w:p w14:paraId="43C2ECC8" w14:textId="0463B859" w:rsidR="009430BE" w:rsidRDefault="009430B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AA23CC" w14:textId="77777777" w:rsidR="009430BE" w:rsidRDefault="009430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90422" w14:textId="77777777" w:rsidR="00522BAF" w:rsidRDefault="00522BAF" w:rsidP="001E6D64">
      <w:pPr>
        <w:spacing w:after="0" w:line="240" w:lineRule="auto"/>
      </w:pPr>
      <w:r>
        <w:separator/>
      </w:r>
    </w:p>
  </w:footnote>
  <w:footnote w:type="continuationSeparator" w:id="0">
    <w:p w14:paraId="69FC5FD2" w14:textId="77777777" w:rsidR="00522BAF" w:rsidRDefault="00522BAF" w:rsidP="001E6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ADFCC" w14:textId="31CE319A" w:rsidR="009430BE" w:rsidRDefault="009430BE" w:rsidP="009430BE">
    <w:pPr>
      <w:pStyle w:val="Zhlav"/>
    </w:pPr>
    <w:bookmarkStart w:id="0" w:name="_Hlk74823624"/>
    <w:bookmarkStart w:id="1" w:name="_Hlk74823625"/>
    <w:bookmarkStart w:id="2" w:name="_Hlk74823673"/>
    <w:bookmarkStart w:id="3" w:name="_Hlk74823674"/>
    <w:bookmarkStart w:id="4" w:name="_Hlk74823789"/>
    <w:bookmarkStart w:id="5" w:name="_Hlk74823790"/>
    <w:bookmarkStart w:id="6" w:name="_Hlk74824121"/>
    <w:bookmarkStart w:id="7" w:name="_Hlk74824122"/>
    <w:bookmarkStart w:id="8" w:name="_Hlk74824297"/>
    <w:bookmarkStart w:id="9" w:name="_Hlk74824298"/>
    <w:r>
      <w:rPr>
        <w:rFonts w:ascii="Times New Roman" w:hAnsi="Times New Roman"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3B5431" wp14:editId="5BB85F05">
              <wp:simplePos x="0" y="0"/>
              <wp:positionH relativeFrom="column">
                <wp:posOffset>2059305</wp:posOffset>
              </wp:positionH>
              <wp:positionV relativeFrom="paragraph">
                <wp:posOffset>-328930</wp:posOffset>
              </wp:positionV>
              <wp:extent cx="4510405" cy="843280"/>
              <wp:effectExtent l="0" t="0" r="0" b="0"/>
              <wp:wrapNone/>
              <wp:docPr id="9" name="Obdélní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10405" cy="84328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62304637" w14:textId="77777777" w:rsidR="009430BE" w:rsidRDefault="009430BE" w:rsidP="009430BE">
                          <w:pPr>
                            <w:rPr>
                              <w:color w:val="000000" w:themeColor="text1"/>
                            </w:rPr>
                          </w:pPr>
                        </w:p>
                        <w:p w14:paraId="71028CEF" w14:textId="7719A60B" w:rsidR="009430BE" w:rsidRPr="00E212D2" w:rsidRDefault="009430BE" w:rsidP="009430BE">
                          <w:pPr>
                            <w:jc w:val="right"/>
                            <w:rPr>
                              <w:color w:val="000000" w:themeColor="text1"/>
                            </w:rPr>
                          </w:pPr>
                          <w:proofErr w:type="spellStart"/>
                          <w:r w:rsidRPr="00C47AE8">
                            <w:rPr>
                              <w:color w:val="000000" w:themeColor="text1"/>
                            </w:rPr>
                            <w:t>Annex</w:t>
                          </w:r>
                          <w:proofErr w:type="spellEnd"/>
                          <w:r w:rsidRPr="00C47AE8">
                            <w:rPr>
                              <w:color w:val="000000" w:themeColor="text1"/>
                            </w:rPr>
                            <w:t xml:space="preserve"> No. </w:t>
                          </w:r>
                          <w:r>
                            <w:rPr>
                              <w:color w:val="000000" w:themeColor="text1"/>
                            </w:rPr>
                            <w:t>1 – part No. 1e</w:t>
                          </w:r>
                          <w:r w:rsidRPr="00C47AE8">
                            <w:rPr>
                              <w:color w:val="000000" w:themeColor="text1"/>
                            </w:rPr>
                            <w:t xml:space="preserve"> to </w:t>
                          </w:r>
                          <w:proofErr w:type="spellStart"/>
                          <w:r w:rsidRPr="00C47AE8">
                            <w:rPr>
                              <w:color w:val="000000" w:themeColor="text1"/>
                            </w:rPr>
                            <w:t>the</w:t>
                          </w:r>
                          <w:proofErr w:type="spellEnd"/>
                          <w:r w:rsidRPr="00C47AE8">
                            <w:rPr>
                              <w:color w:val="000000" w:themeColor="text1"/>
                            </w:rPr>
                            <w:t xml:space="preserve"> </w:t>
                          </w:r>
                          <w:r>
                            <w:rPr>
                              <w:color w:val="000000" w:themeColor="text1"/>
                            </w:rPr>
                            <w:t xml:space="preserve">Framework </w:t>
                          </w:r>
                          <w:proofErr w:type="spellStart"/>
                          <w:r>
                            <w:rPr>
                              <w:color w:val="000000" w:themeColor="text1"/>
                            </w:rPr>
                            <w:t>Agreement</w:t>
                          </w:r>
                          <w:proofErr w:type="spellEnd"/>
                          <w:r w:rsidRPr="00C47AE8">
                            <w:rPr>
                              <w:color w:val="000000" w:themeColor="text1"/>
                            </w:rPr>
                            <w:t xml:space="preserve"> No.</w:t>
                          </w:r>
                          <w:r>
                            <w:rPr>
                              <w:color w:val="000000" w:themeColor="text1"/>
                            </w:rPr>
                            <w:t xml:space="preserve"> 075/OS/2021 </w:t>
                          </w:r>
                        </w:p>
                        <w:p w14:paraId="09E5AEAE" w14:textId="77777777" w:rsidR="009430BE" w:rsidRPr="00E212D2" w:rsidRDefault="009430BE" w:rsidP="009430BE">
                          <w:pPr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  <w:p w14:paraId="4B6AF472" w14:textId="77777777" w:rsidR="009430BE" w:rsidRPr="00E212D2" w:rsidRDefault="009430BE" w:rsidP="009430BE">
                          <w:pPr>
                            <w:jc w:val="right"/>
                            <w:rPr>
                              <w:color w:val="000000" w:themeColor="text1"/>
                            </w:rPr>
                          </w:pPr>
                          <w:r w:rsidRPr="00E212D2">
                            <w:rPr>
                              <w:color w:val="000000" w:themeColor="text1"/>
                            </w:rPr>
                            <w:t xml:space="preserve">075/OS/2021 </w:t>
                          </w:r>
                        </w:p>
                        <w:p w14:paraId="61308BD5" w14:textId="77777777" w:rsidR="009430BE" w:rsidRDefault="009430BE" w:rsidP="009430BE">
                          <w:pPr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  <w:p w14:paraId="1E716317" w14:textId="77777777" w:rsidR="009430BE" w:rsidRDefault="009430BE" w:rsidP="009430B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3B5431" id="Obdélník 9" o:spid="_x0000_s1026" style="position:absolute;margin-left:162.15pt;margin-top:-25.9pt;width:355.15pt;height:6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" filled="f" stroked="f" strokeweight="2pt">
              <v:textbox>
                <w:txbxContent>
                  <w:p w14:paraId="62304637" w14:textId="77777777" w:rsidR="009430BE" w:rsidRDefault="009430BE" w:rsidP="009430BE">
                    <w:pPr>
                      <w:rPr>
                        <w:color w:val="000000" w:themeColor="text1"/>
                      </w:rPr>
                    </w:pPr>
                  </w:p>
                  <w:p w14:paraId="71028CEF" w14:textId="7719A60B" w:rsidR="009430BE" w:rsidRPr="00E212D2" w:rsidRDefault="009430BE" w:rsidP="009430BE">
                    <w:pPr>
                      <w:jc w:val="right"/>
                      <w:rPr>
                        <w:color w:val="000000" w:themeColor="text1"/>
                      </w:rPr>
                    </w:pPr>
                    <w:proofErr w:type="spellStart"/>
                    <w:r w:rsidRPr="00C47AE8">
                      <w:rPr>
                        <w:color w:val="000000" w:themeColor="text1"/>
                      </w:rPr>
                      <w:t>Annex</w:t>
                    </w:r>
                    <w:proofErr w:type="spellEnd"/>
                    <w:r w:rsidRPr="00C47AE8">
                      <w:rPr>
                        <w:color w:val="000000" w:themeColor="text1"/>
                      </w:rPr>
                      <w:t xml:space="preserve"> No. </w:t>
                    </w:r>
                    <w:r>
                      <w:rPr>
                        <w:color w:val="000000" w:themeColor="text1"/>
                      </w:rPr>
                      <w:t>1 – part No. 1e</w:t>
                    </w:r>
                    <w:r w:rsidRPr="00C47AE8">
                      <w:rPr>
                        <w:color w:val="000000" w:themeColor="text1"/>
                      </w:rPr>
                      <w:t xml:space="preserve"> to </w:t>
                    </w:r>
                    <w:proofErr w:type="spellStart"/>
                    <w:r w:rsidRPr="00C47AE8">
                      <w:rPr>
                        <w:color w:val="000000" w:themeColor="text1"/>
                      </w:rPr>
                      <w:t>the</w:t>
                    </w:r>
                    <w:proofErr w:type="spellEnd"/>
                    <w:r w:rsidRPr="00C47AE8">
                      <w:rPr>
                        <w:color w:val="000000" w:themeColor="text1"/>
                      </w:rPr>
                      <w:t xml:space="preserve"> </w:t>
                    </w:r>
                    <w:r>
                      <w:rPr>
                        <w:color w:val="000000" w:themeColor="text1"/>
                      </w:rPr>
                      <w:t xml:space="preserve">Framework </w:t>
                    </w:r>
                    <w:proofErr w:type="spellStart"/>
                    <w:r>
                      <w:rPr>
                        <w:color w:val="000000" w:themeColor="text1"/>
                      </w:rPr>
                      <w:t>Agreement</w:t>
                    </w:r>
                    <w:proofErr w:type="spellEnd"/>
                    <w:r w:rsidRPr="00C47AE8">
                      <w:rPr>
                        <w:color w:val="000000" w:themeColor="text1"/>
                      </w:rPr>
                      <w:t xml:space="preserve"> No.</w:t>
                    </w:r>
                    <w:r>
                      <w:rPr>
                        <w:color w:val="000000" w:themeColor="text1"/>
                      </w:rPr>
                      <w:t xml:space="preserve"> 075/OS/2021 </w:t>
                    </w:r>
                  </w:p>
                  <w:p w14:paraId="09E5AEAE" w14:textId="77777777" w:rsidR="009430BE" w:rsidRPr="00E212D2" w:rsidRDefault="009430BE" w:rsidP="009430BE">
                    <w:pPr>
                      <w:jc w:val="right"/>
                      <w:rPr>
                        <w:color w:val="000000" w:themeColor="text1"/>
                      </w:rPr>
                    </w:pPr>
                  </w:p>
                  <w:p w14:paraId="4B6AF472" w14:textId="77777777" w:rsidR="009430BE" w:rsidRPr="00E212D2" w:rsidRDefault="009430BE" w:rsidP="009430BE">
                    <w:pPr>
                      <w:jc w:val="right"/>
                      <w:rPr>
                        <w:color w:val="000000" w:themeColor="text1"/>
                      </w:rPr>
                    </w:pPr>
                    <w:r w:rsidRPr="00E212D2">
                      <w:rPr>
                        <w:color w:val="000000" w:themeColor="text1"/>
                      </w:rPr>
                      <w:t xml:space="preserve">075/OS/2021 </w:t>
                    </w:r>
                  </w:p>
                  <w:p w14:paraId="61308BD5" w14:textId="77777777" w:rsidR="009430BE" w:rsidRDefault="009430BE" w:rsidP="009430BE">
                    <w:pPr>
                      <w:jc w:val="right"/>
                      <w:rPr>
                        <w:color w:val="000000" w:themeColor="text1"/>
                      </w:rPr>
                    </w:pPr>
                  </w:p>
                  <w:p w14:paraId="1E716317" w14:textId="77777777" w:rsidR="009430BE" w:rsidRDefault="009430BE" w:rsidP="009430BE"/>
                </w:txbxContent>
              </v:textbox>
            </v:rect>
          </w:pict>
        </mc:Fallback>
      </mc:AlternateContent>
    </w:r>
    <w:r>
      <w:rPr>
        <w:rFonts w:ascii="Times New Roman" w:hAnsi="Times New Roman"/>
        <w:noProof/>
        <w:sz w:val="24"/>
        <w:szCs w:val="24"/>
        <w:lang w:val="en-GB" w:eastAsia="en-GB"/>
      </w:rPr>
      <w:t xml:space="preserve">                                                                                                                             </w:t>
    </w:r>
  </w:p>
  <w:p w14:paraId="14A86450" w14:textId="77777777" w:rsidR="009430BE" w:rsidRDefault="009430BE" w:rsidP="009430BE">
    <w:pPr>
      <w:pStyle w:val="Zhlav"/>
    </w:pPr>
    <w:r>
      <w:t xml:space="preserve">                                                                                      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  <w:p w14:paraId="1B1D0451" w14:textId="77777777" w:rsidR="009430BE" w:rsidRDefault="009430BE" w:rsidP="009430BE">
    <w:pPr>
      <w:pStyle w:val="Zhlav"/>
    </w:pPr>
  </w:p>
  <w:p w14:paraId="437ADFEC" w14:textId="77777777" w:rsidR="009430BE" w:rsidRDefault="009430B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560A4"/>
    <w:multiLevelType w:val="hybridMultilevel"/>
    <w:tmpl w:val="4AE219C6"/>
    <w:lvl w:ilvl="0" w:tplc="0B62EA52">
      <w:start w:val="1"/>
      <w:numFmt w:val="decimal"/>
      <w:lvlText w:val="(%1)"/>
      <w:lvlJc w:val="left"/>
      <w:pPr>
        <w:ind w:left="360" w:firstLine="0"/>
      </w:pPr>
      <w:rPr>
        <w:rFonts w:hint="default"/>
        <w:b/>
        <w:bCs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67DB6"/>
    <w:multiLevelType w:val="multilevel"/>
    <w:tmpl w:val="0405001F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8516C23"/>
    <w:multiLevelType w:val="hybridMultilevel"/>
    <w:tmpl w:val="89363DA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6D96015"/>
    <w:multiLevelType w:val="hybridMultilevel"/>
    <w:tmpl w:val="90582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6170A5"/>
    <w:multiLevelType w:val="hybridMultilevel"/>
    <w:tmpl w:val="7E1ED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D71F2"/>
    <w:multiLevelType w:val="hybridMultilevel"/>
    <w:tmpl w:val="E77E4A3E"/>
    <w:lvl w:ilvl="0" w:tplc="BF1AF6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4C2CAD"/>
    <w:multiLevelType w:val="hybridMultilevel"/>
    <w:tmpl w:val="62469604"/>
    <w:lvl w:ilvl="0" w:tplc="040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 w15:restartNumberingAfterBreak="0">
    <w:nsid w:val="6811349C"/>
    <w:multiLevelType w:val="hybridMultilevel"/>
    <w:tmpl w:val="748EF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7712E3"/>
    <w:multiLevelType w:val="hybridMultilevel"/>
    <w:tmpl w:val="5F3AC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ECE"/>
    <w:rsid w:val="00000427"/>
    <w:rsid w:val="00024959"/>
    <w:rsid w:val="00126CAE"/>
    <w:rsid w:val="00191689"/>
    <w:rsid w:val="001E6D64"/>
    <w:rsid w:val="001E74E3"/>
    <w:rsid w:val="001F47B7"/>
    <w:rsid w:val="002338C2"/>
    <w:rsid w:val="002C2652"/>
    <w:rsid w:val="002D0AE4"/>
    <w:rsid w:val="00315C9E"/>
    <w:rsid w:val="00332C43"/>
    <w:rsid w:val="003A1D02"/>
    <w:rsid w:val="003A63AA"/>
    <w:rsid w:val="003B07DE"/>
    <w:rsid w:val="0045578B"/>
    <w:rsid w:val="0047504B"/>
    <w:rsid w:val="004F237E"/>
    <w:rsid w:val="00522BAF"/>
    <w:rsid w:val="006664FC"/>
    <w:rsid w:val="007337AC"/>
    <w:rsid w:val="007410F8"/>
    <w:rsid w:val="00750FA3"/>
    <w:rsid w:val="007903ED"/>
    <w:rsid w:val="007B7276"/>
    <w:rsid w:val="007F70E8"/>
    <w:rsid w:val="00844BC8"/>
    <w:rsid w:val="00870DFC"/>
    <w:rsid w:val="008C37CF"/>
    <w:rsid w:val="00917A79"/>
    <w:rsid w:val="009430BE"/>
    <w:rsid w:val="00944D5A"/>
    <w:rsid w:val="009839CE"/>
    <w:rsid w:val="009C0DA1"/>
    <w:rsid w:val="00A0125C"/>
    <w:rsid w:val="00A32552"/>
    <w:rsid w:val="00A44F4A"/>
    <w:rsid w:val="00A5435B"/>
    <w:rsid w:val="00AF6B67"/>
    <w:rsid w:val="00B83318"/>
    <w:rsid w:val="00B93EFF"/>
    <w:rsid w:val="00C36EEB"/>
    <w:rsid w:val="00CC7C66"/>
    <w:rsid w:val="00D23043"/>
    <w:rsid w:val="00D32E1E"/>
    <w:rsid w:val="00D87AA0"/>
    <w:rsid w:val="00D922AA"/>
    <w:rsid w:val="00E0423D"/>
    <w:rsid w:val="00E22365"/>
    <w:rsid w:val="00EA1D48"/>
    <w:rsid w:val="00EB4639"/>
    <w:rsid w:val="00F55691"/>
    <w:rsid w:val="00F92ECE"/>
    <w:rsid w:val="00FE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35D1C2"/>
  <w15:chartTrackingRefBased/>
  <w15:docId w15:val="{07B6360A-2FE7-4F57-8DBE-27D248757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uiPriority w:val="9"/>
    <w:qFormat/>
    <w:rsid w:val="001E74E3"/>
    <w:pPr>
      <w:keepNext/>
      <w:keepLines/>
      <w:pageBreakBefore/>
      <w:overflowPunct w:val="0"/>
      <w:autoSpaceDE w:val="0"/>
      <w:autoSpaceDN w:val="0"/>
      <w:adjustRightInd w:val="0"/>
      <w:spacing w:after="12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sz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92EC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55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5691"/>
    <w:rPr>
      <w:rFonts w:ascii="Segoe UI" w:hAnsi="Segoe UI" w:cs="Segoe UI"/>
      <w:sz w:val="18"/>
      <w:szCs w:val="18"/>
    </w:rPr>
  </w:style>
  <w:style w:type="character" w:customStyle="1" w:styleId="rvts11">
    <w:name w:val="rvts11"/>
    <w:basedOn w:val="Standardnpsmoodstavce"/>
    <w:rsid w:val="00000427"/>
    <w:rPr>
      <w:sz w:val="44"/>
      <w:szCs w:val="44"/>
    </w:rPr>
  </w:style>
  <w:style w:type="paragraph" w:styleId="Zhlav">
    <w:name w:val="header"/>
    <w:basedOn w:val="Normln"/>
    <w:link w:val="ZhlavChar"/>
    <w:uiPriority w:val="99"/>
    <w:unhideWhenUsed/>
    <w:rsid w:val="001E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6D64"/>
  </w:style>
  <w:style w:type="paragraph" w:styleId="Zpat">
    <w:name w:val="footer"/>
    <w:basedOn w:val="Normln"/>
    <w:link w:val="ZpatChar"/>
    <w:uiPriority w:val="99"/>
    <w:unhideWhenUsed/>
    <w:rsid w:val="001E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6D64"/>
  </w:style>
  <w:style w:type="table" w:styleId="Mkatabulky">
    <w:name w:val="Table Grid"/>
    <w:basedOn w:val="Normlntabulka"/>
    <w:uiPriority w:val="39"/>
    <w:rsid w:val="00844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basedOn w:val="Standardnpsmoodstavce"/>
    <w:link w:val="Nadpis1"/>
    <w:uiPriority w:val="9"/>
    <w:rsid w:val="001E74E3"/>
    <w:rPr>
      <w:rFonts w:ascii="Times New Roman" w:eastAsia="Times New Roman" w:hAnsi="Times New Roman" w:cs="Times New Roman"/>
      <w:b/>
      <w:sz w:val="3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1E74E3"/>
  </w:style>
  <w:style w:type="character" w:styleId="Odkaznakoment">
    <w:name w:val="annotation reference"/>
    <w:basedOn w:val="Standardnpsmoodstavce"/>
    <w:uiPriority w:val="99"/>
    <w:unhideWhenUsed/>
    <w:rsid w:val="00126C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26CAE"/>
    <w:pPr>
      <w:spacing w:after="200" w:line="240" w:lineRule="auto"/>
    </w:pPr>
    <w:rPr>
      <w:rFonts w:eastAsiaTheme="minorEastAsia"/>
      <w:sz w:val="20"/>
      <w:szCs w:val="20"/>
      <w:lang w:val="en-GB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26CAE"/>
    <w:rPr>
      <w:rFonts w:eastAsiaTheme="minorEastAsia"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1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STC/012211/ÚSF/2021</CisloJednaci>
    <NazevDokumentu xmlns="b246a3c9-e8b6-4373-bafd-ef843f8c6aef">Framework Agreement for the Supply of Contact Chip Modules ("kontaktní čipové moduly")</NazevDokumentu>
    <Znacka xmlns="b246a3c9-e8b6-4373-bafd-ef843f8c6aef" xsi:nil="true"/>
    <HashValue xmlns="b246a3c9-e8b6-4373-bafd-ef843f8c6aef" xsi:nil="true"/>
    <JID xmlns="b246a3c9-e8b6-4373-bafd-ef843f8c6aef">R_STCSPS_0026143</JID>
    <IDExt xmlns="b246a3c9-e8b6-4373-bafd-ef843f8c6ae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0E358F3E90A6DF4EA3EEA4F92AB5137C" ma:contentTypeVersion="9" ma:contentTypeDescription="Vytvoří nový dokument" ma:contentTypeScope="" ma:versionID="69813126b17eedee15d3a19a9ddec3d9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26BE5-C7F9-46D6-9EA7-306400C500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93936B-6733-43DC-8032-6706D9D8625A}">
  <ds:schemaRefs>
    <ds:schemaRef ds:uri="http://purl.org/dc/elements/1.1/"/>
    <ds:schemaRef ds:uri="http://schemas.microsoft.com/office/2006/metadata/properties"/>
    <ds:schemaRef ds:uri="http://purl.org/dc/terms/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B8577B8-CF2A-4316-B3A2-939F1C27A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Kohout Karel</dc:creator>
  <cp:keywords/>
  <dc:description/>
  <cp:lastModifiedBy>Kmoníčková Klára</cp:lastModifiedBy>
  <cp:revision>5</cp:revision>
  <cp:lastPrinted>2020-05-29T10:09:00Z</cp:lastPrinted>
  <dcterms:created xsi:type="dcterms:W3CDTF">2023-04-18T12:42:00Z</dcterms:created>
  <dcterms:modified xsi:type="dcterms:W3CDTF">2023-04-18T12:42:00Z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0x010100617DA10A36FE5747AD151C4F74B1AC96000E358F3E90A6DF4EA3EEA4F92AB5137C</vt:lpwstr>
  </property>
</Properties>
</file>