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7738A" w14:textId="7D3FA757" w:rsidR="009425D8" w:rsidRPr="00591C20" w:rsidRDefault="00BF0DC9" w:rsidP="009A190D">
      <w:pPr>
        <w:pStyle w:val="Titulka"/>
        <w:rPr>
          <w:sz w:val="24"/>
          <w:szCs w:val="24"/>
        </w:rPr>
      </w:pPr>
      <w:r w:rsidRPr="00591C20">
        <w:rPr>
          <w:sz w:val="24"/>
          <w:szCs w:val="24"/>
        </w:rPr>
        <w:t>S</w:t>
      </w:r>
      <w:r w:rsidR="00B16DE0" w:rsidRPr="00591C20">
        <w:rPr>
          <w:sz w:val="24"/>
          <w:szCs w:val="24"/>
        </w:rPr>
        <w:t xml:space="preserve">mlouva </w:t>
      </w:r>
      <w:r w:rsidR="002266B9" w:rsidRPr="00591C20">
        <w:rPr>
          <w:sz w:val="24"/>
          <w:szCs w:val="24"/>
        </w:rPr>
        <w:t xml:space="preserve">na poskytnutí licencí </w:t>
      </w:r>
      <w:r w:rsidR="007C6D53" w:rsidRPr="00591C20">
        <w:rPr>
          <w:sz w:val="24"/>
          <w:szCs w:val="24"/>
        </w:rPr>
        <w:t>OPERAČNÍHO SYSTÉMU LINUX</w:t>
      </w:r>
    </w:p>
    <w:p w14:paraId="6B2DA187" w14:textId="77777777" w:rsidR="00A52737" w:rsidRPr="00100720" w:rsidRDefault="00A52737" w:rsidP="00A52737">
      <w:pPr>
        <w:jc w:val="center"/>
        <w:rPr>
          <w:rFonts w:eastAsia="Calibri"/>
          <w:szCs w:val="18"/>
        </w:rPr>
      </w:pPr>
      <w:r>
        <w:t xml:space="preserve">evidovaná u Objednatele pod č. </w:t>
      </w:r>
      <w:r w:rsidRPr="00080974">
        <w:t>[</w:t>
      </w:r>
      <w:r w:rsidRPr="00080974">
        <w:rPr>
          <w:highlight w:val="green"/>
        </w:rPr>
        <w:t xml:space="preserve">DOPLNÍ </w:t>
      </w:r>
      <w:r>
        <w:rPr>
          <w:highlight w:val="green"/>
        </w:rPr>
        <w:t>ZADAVATEL</w:t>
      </w:r>
      <w:r w:rsidRPr="00080974">
        <w:t>]</w:t>
      </w:r>
      <w:r>
        <w:t xml:space="preserve">, č. j. </w:t>
      </w:r>
      <w:r w:rsidRPr="00080974">
        <w:t>[</w:t>
      </w:r>
      <w:r w:rsidRPr="00080974">
        <w:rPr>
          <w:highlight w:val="green"/>
        </w:rPr>
        <w:t xml:space="preserve">DOPLNÍ </w:t>
      </w:r>
      <w:r>
        <w:rPr>
          <w:highlight w:val="green"/>
        </w:rPr>
        <w:t>ZADAVATEL</w:t>
      </w:r>
      <w:r w:rsidRPr="00080974">
        <w:t>]</w:t>
      </w:r>
      <w:r>
        <w:br/>
      </w:r>
      <w:r>
        <w:rPr>
          <w:rFonts w:eastAsia="Calibri"/>
          <w:szCs w:val="18"/>
        </w:rPr>
        <w:t xml:space="preserve">evidovaná u Poskytovatele pod č. </w:t>
      </w:r>
      <w:r w:rsidRPr="009D2C4F">
        <w:rPr>
          <w:rFonts w:eastAsia="Calibri"/>
          <w:szCs w:val="18"/>
          <w:highlight w:val="yellow"/>
        </w:rPr>
        <w:t>[DOPLNÍ DODAVATEL]</w:t>
      </w:r>
    </w:p>
    <w:p w14:paraId="6967FE01" w14:textId="21DCFFC4" w:rsidR="005C3D5B" w:rsidRPr="00294A59" w:rsidRDefault="005C3D5B" w:rsidP="00546EB2">
      <w:pPr>
        <w:spacing w:after="0" w:line="360" w:lineRule="auto"/>
        <w:rPr>
          <w:rFonts w:eastAsia="Calibri"/>
          <w:b/>
          <w:szCs w:val="18"/>
        </w:rPr>
      </w:pPr>
      <w:r w:rsidRPr="00294A59">
        <w:rPr>
          <w:rFonts w:eastAsia="Calibri"/>
          <w:b/>
          <w:szCs w:val="18"/>
        </w:rPr>
        <w:t>SMLUVNÍ STRANY</w:t>
      </w:r>
    </w:p>
    <w:p w14:paraId="57894423" w14:textId="77777777" w:rsidR="004908EC" w:rsidRDefault="005C3D5B" w:rsidP="004908EC">
      <w:pPr>
        <w:tabs>
          <w:tab w:val="left" w:pos="709"/>
          <w:tab w:val="left" w:pos="1388"/>
          <w:tab w:val="left" w:pos="2060"/>
        </w:tabs>
        <w:spacing w:after="0" w:line="360" w:lineRule="auto"/>
        <w:ind w:right="-142"/>
        <w:outlineLvl w:val="0"/>
        <w:rPr>
          <w:rFonts w:eastAsia="Calibri"/>
          <w:b/>
          <w:szCs w:val="18"/>
        </w:rPr>
      </w:pPr>
      <w:r w:rsidRPr="007B5B47">
        <w:rPr>
          <w:rFonts w:eastAsia="Calibri"/>
          <w:b/>
          <w:szCs w:val="18"/>
        </w:rPr>
        <w:t>Objednatel:</w:t>
      </w:r>
    </w:p>
    <w:p w14:paraId="5588661F" w14:textId="1A8ABD34" w:rsidR="005C3D5B" w:rsidRPr="007B5B47" w:rsidRDefault="005C3D5B" w:rsidP="004908EC">
      <w:pPr>
        <w:tabs>
          <w:tab w:val="left" w:pos="709"/>
          <w:tab w:val="left" w:pos="1388"/>
          <w:tab w:val="left" w:pos="2060"/>
        </w:tabs>
        <w:spacing w:after="0" w:line="360" w:lineRule="auto"/>
        <w:ind w:right="-142"/>
        <w:outlineLvl w:val="0"/>
        <w:rPr>
          <w:rFonts w:eastAsia="Calibri"/>
          <w:b/>
          <w:szCs w:val="18"/>
        </w:rPr>
      </w:pPr>
      <w:r w:rsidRPr="007B5B47">
        <w:rPr>
          <w:rFonts w:eastAsia="Calibri"/>
          <w:b/>
          <w:szCs w:val="18"/>
        </w:rPr>
        <w:t>Státní pokladna Centrum sdílených služeb, s. p.</w:t>
      </w:r>
    </w:p>
    <w:p w14:paraId="6CC29378" w14:textId="77777777" w:rsidR="005C3D5B" w:rsidRPr="007B5B47" w:rsidRDefault="005C3D5B" w:rsidP="004908EC">
      <w:pPr>
        <w:spacing w:after="0" w:line="360" w:lineRule="auto"/>
        <w:ind w:right="-142"/>
        <w:rPr>
          <w:rFonts w:eastAsia="Calibri"/>
          <w:szCs w:val="18"/>
        </w:rPr>
      </w:pPr>
      <w:r w:rsidRPr="007B5B47">
        <w:rPr>
          <w:rFonts w:eastAsia="Calibri"/>
          <w:szCs w:val="18"/>
        </w:rPr>
        <w:t>se sídlem Na Vápence 915</w:t>
      </w:r>
      <w:r w:rsidRPr="007B5B47">
        <w:rPr>
          <w:rFonts w:eastAsia="Calibri"/>
          <w:szCs w:val="18"/>
          <w:lang w:val="en-US"/>
        </w:rPr>
        <w:t>/</w:t>
      </w:r>
      <w:r>
        <w:rPr>
          <w:rFonts w:eastAsia="Calibri"/>
          <w:szCs w:val="18"/>
        </w:rPr>
        <w:t>14, 130 00 Praha 3</w:t>
      </w:r>
    </w:p>
    <w:p w14:paraId="7FA0451F" w14:textId="69454C37" w:rsidR="005C3D5B" w:rsidRPr="00AC589F" w:rsidRDefault="005C3D5B" w:rsidP="004908EC">
      <w:pPr>
        <w:spacing w:after="0" w:line="360" w:lineRule="auto"/>
        <w:ind w:right="-142"/>
        <w:rPr>
          <w:rFonts w:eastAsia="Calibri"/>
          <w:szCs w:val="18"/>
        </w:rPr>
      </w:pPr>
      <w:r w:rsidRPr="00AC589F">
        <w:rPr>
          <w:rFonts w:eastAsia="Calibri"/>
          <w:szCs w:val="18"/>
        </w:rPr>
        <w:t>z</w:t>
      </w:r>
      <w:r w:rsidR="00364FE7">
        <w:rPr>
          <w:rFonts w:eastAsia="Calibri"/>
          <w:szCs w:val="18"/>
        </w:rPr>
        <w:t>a</w:t>
      </w:r>
      <w:r w:rsidRPr="00AC589F">
        <w:rPr>
          <w:rFonts w:eastAsia="Calibri"/>
          <w:szCs w:val="18"/>
        </w:rPr>
        <w:t>p</w:t>
      </w:r>
      <w:r w:rsidR="009836EE">
        <w:rPr>
          <w:rFonts w:eastAsia="Calibri"/>
          <w:szCs w:val="18"/>
        </w:rPr>
        <w:t>saný</w:t>
      </w:r>
      <w:r w:rsidRPr="00AC589F">
        <w:rPr>
          <w:rFonts w:eastAsia="Calibri"/>
          <w:szCs w:val="18"/>
        </w:rPr>
        <w:t xml:space="preserve"> v obchodním rejstříku vedeném Městským soudem v Praze </w:t>
      </w:r>
    </w:p>
    <w:p w14:paraId="4288B112" w14:textId="77777777" w:rsidR="005C3D5B" w:rsidRPr="007B5B47" w:rsidRDefault="005C3D5B" w:rsidP="004908EC">
      <w:pPr>
        <w:spacing w:after="0" w:line="360" w:lineRule="auto"/>
        <w:ind w:right="-142"/>
        <w:rPr>
          <w:rFonts w:eastAsia="Calibri"/>
          <w:szCs w:val="18"/>
        </w:rPr>
      </w:pPr>
      <w:r w:rsidRPr="00AC589F">
        <w:rPr>
          <w:rFonts w:eastAsia="Calibri"/>
          <w:szCs w:val="18"/>
        </w:rPr>
        <w:t>pod sp. zn. A 76922</w:t>
      </w:r>
    </w:p>
    <w:p w14:paraId="10FDCE4B" w14:textId="12E6E1D5" w:rsidR="005C3D5B" w:rsidRPr="007B5B47" w:rsidRDefault="005C3D5B" w:rsidP="004908EC">
      <w:pPr>
        <w:tabs>
          <w:tab w:val="left" w:pos="2268"/>
        </w:tabs>
        <w:spacing w:after="0" w:line="360" w:lineRule="auto"/>
        <w:ind w:right="-142"/>
        <w:rPr>
          <w:rFonts w:eastAsia="Calibri"/>
          <w:szCs w:val="18"/>
        </w:rPr>
      </w:pPr>
      <w:r w:rsidRPr="007B5B47">
        <w:rPr>
          <w:rFonts w:eastAsia="Calibri"/>
          <w:szCs w:val="18"/>
        </w:rPr>
        <w:t>zastoupen</w:t>
      </w:r>
      <w:r w:rsidR="009836EE">
        <w:rPr>
          <w:rFonts w:eastAsia="Calibri"/>
          <w:szCs w:val="18"/>
        </w:rPr>
        <w:t>ý</w:t>
      </w:r>
      <w:r w:rsidRPr="007B5B47">
        <w:rPr>
          <w:rFonts w:eastAsia="Calibri"/>
          <w:szCs w:val="18"/>
        </w:rPr>
        <w:t xml:space="preserve">: </w:t>
      </w:r>
      <w:r w:rsidR="004908EC">
        <w:rPr>
          <w:rFonts w:eastAsia="Calibri"/>
          <w:szCs w:val="18"/>
        </w:rPr>
        <w:tab/>
      </w:r>
      <w:r w:rsidR="009836EE">
        <w:rPr>
          <w:rFonts w:eastAsia="Calibri"/>
          <w:szCs w:val="18"/>
        </w:rPr>
        <w:t>Mgr. Jakubem Richterem</w:t>
      </w:r>
      <w:r w:rsidRPr="007B5B47">
        <w:rPr>
          <w:rFonts w:eastAsia="Calibri"/>
          <w:szCs w:val="18"/>
        </w:rPr>
        <w:t xml:space="preserve">, </w:t>
      </w:r>
      <w:r w:rsidR="009836EE">
        <w:rPr>
          <w:rFonts w:eastAsia="Calibri"/>
          <w:szCs w:val="18"/>
        </w:rPr>
        <w:t xml:space="preserve">1. zástupcem </w:t>
      </w:r>
      <w:r w:rsidRPr="007B5B47">
        <w:rPr>
          <w:rFonts w:eastAsia="Calibri"/>
          <w:szCs w:val="18"/>
        </w:rPr>
        <w:t>generální</w:t>
      </w:r>
      <w:r w:rsidR="009836EE">
        <w:rPr>
          <w:rFonts w:eastAsia="Calibri"/>
          <w:szCs w:val="18"/>
        </w:rPr>
        <w:t>ho</w:t>
      </w:r>
      <w:r w:rsidRPr="007B5B47">
        <w:rPr>
          <w:rFonts w:eastAsia="Calibri"/>
          <w:szCs w:val="18"/>
        </w:rPr>
        <w:t xml:space="preserve"> ředitel</w:t>
      </w:r>
      <w:r w:rsidR="009836EE">
        <w:rPr>
          <w:rFonts w:eastAsia="Calibri"/>
          <w:szCs w:val="18"/>
        </w:rPr>
        <w:t>e</w:t>
      </w:r>
    </w:p>
    <w:p w14:paraId="73DFC30C" w14:textId="33FC357D" w:rsidR="005C3D5B" w:rsidRPr="007B5B47" w:rsidRDefault="005C3D5B" w:rsidP="004908EC">
      <w:pPr>
        <w:tabs>
          <w:tab w:val="left" w:pos="2268"/>
        </w:tabs>
        <w:spacing w:after="0" w:line="360" w:lineRule="auto"/>
        <w:ind w:right="-142"/>
        <w:rPr>
          <w:rFonts w:eastAsia="Calibri"/>
          <w:szCs w:val="18"/>
        </w:rPr>
      </w:pPr>
      <w:r w:rsidRPr="007B5B47">
        <w:rPr>
          <w:rFonts w:eastAsia="Calibri"/>
          <w:szCs w:val="18"/>
        </w:rPr>
        <w:t xml:space="preserve">IČO: </w:t>
      </w:r>
      <w:r w:rsidR="004908EC">
        <w:rPr>
          <w:rFonts w:eastAsia="Calibri"/>
          <w:szCs w:val="18"/>
        </w:rPr>
        <w:tab/>
      </w:r>
      <w:r w:rsidRPr="007B5B47">
        <w:rPr>
          <w:rFonts w:eastAsia="Calibri"/>
          <w:szCs w:val="18"/>
        </w:rPr>
        <w:t>03630919</w:t>
      </w:r>
    </w:p>
    <w:p w14:paraId="6A4A9F37" w14:textId="6D9CBD4C" w:rsidR="005C3D5B" w:rsidRPr="007B5B47" w:rsidRDefault="005C3D5B" w:rsidP="004908EC">
      <w:pPr>
        <w:tabs>
          <w:tab w:val="left" w:pos="2268"/>
        </w:tabs>
        <w:spacing w:after="0" w:line="360" w:lineRule="auto"/>
        <w:ind w:right="-142"/>
        <w:rPr>
          <w:rFonts w:eastAsia="Calibri"/>
          <w:szCs w:val="18"/>
        </w:rPr>
      </w:pPr>
      <w:r w:rsidRPr="007B5B47">
        <w:rPr>
          <w:rFonts w:eastAsia="Calibri"/>
          <w:szCs w:val="18"/>
        </w:rPr>
        <w:t xml:space="preserve">DIČ: </w:t>
      </w:r>
      <w:r w:rsidR="004908EC">
        <w:rPr>
          <w:rFonts w:eastAsia="Calibri"/>
          <w:szCs w:val="18"/>
        </w:rPr>
        <w:tab/>
      </w:r>
      <w:r w:rsidRPr="007B5B47">
        <w:rPr>
          <w:rFonts w:eastAsia="Calibri"/>
          <w:szCs w:val="18"/>
        </w:rPr>
        <w:t>CZ03630919</w:t>
      </w:r>
    </w:p>
    <w:p w14:paraId="4BCAE48F" w14:textId="263DB335" w:rsidR="005C3D5B" w:rsidRPr="007B5B47" w:rsidRDefault="005C3D5B" w:rsidP="004908EC">
      <w:pPr>
        <w:tabs>
          <w:tab w:val="left" w:pos="2268"/>
        </w:tabs>
        <w:spacing w:after="0" w:line="360" w:lineRule="auto"/>
        <w:ind w:right="-142"/>
        <w:rPr>
          <w:rFonts w:eastAsia="Calibri"/>
          <w:szCs w:val="18"/>
        </w:rPr>
      </w:pPr>
      <w:r w:rsidRPr="007B5B47">
        <w:rPr>
          <w:rFonts w:eastAsia="Calibri"/>
          <w:szCs w:val="18"/>
        </w:rPr>
        <w:t xml:space="preserve">ID datové schránky: </w:t>
      </w:r>
      <w:r w:rsidR="004908EC">
        <w:rPr>
          <w:rFonts w:eastAsia="Calibri"/>
          <w:szCs w:val="18"/>
        </w:rPr>
        <w:tab/>
      </w:r>
      <w:r w:rsidRPr="007B5B47">
        <w:rPr>
          <w:rFonts w:eastAsia="Calibri"/>
          <w:szCs w:val="18"/>
        </w:rPr>
        <w:t>ag5uunk</w:t>
      </w:r>
    </w:p>
    <w:p w14:paraId="41AF2B26" w14:textId="2810CAAD" w:rsidR="005C3D5B" w:rsidRPr="007B5B47" w:rsidRDefault="005C3D5B" w:rsidP="004908EC">
      <w:pPr>
        <w:tabs>
          <w:tab w:val="left" w:pos="2268"/>
        </w:tabs>
        <w:spacing w:after="0" w:line="360" w:lineRule="auto"/>
        <w:ind w:right="-142"/>
        <w:rPr>
          <w:rFonts w:eastAsia="Calibri"/>
          <w:szCs w:val="18"/>
        </w:rPr>
      </w:pPr>
      <w:r>
        <w:rPr>
          <w:rFonts w:eastAsia="Calibri"/>
          <w:szCs w:val="18"/>
        </w:rPr>
        <w:t>B</w:t>
      </w:r>
      <w:r w:rsidRPr="007B5B47">
        <w:rPr>
          <w:rFonts w:eastAsia="Calibri"/>
          <w:szCs w:val="18"/>
        </w:rPr>
        <w:t xml:space="preserve">ankovní spojení: </w:t>
      </w:r>
      <w:r w:rsidR="004908EC">
        <w:rPr>
          <w:rFonts w:eastAsia="Calibri"/>
          <w:szCs w:val="18"/>
        </w:rPr>
        <w:tab/>
      </w:r>
      <w:r w:rsidRPr="007B5B47">
        <w:rPr>
          <w:rFonts w:eastAsia="Calibri"/>
          <w:szCs w:val="18"/>
        </w:rPr>
        <w:t>Česká spořitelna, a. s.</w:t>
      </w:r>
    </w:p>
    <w:p w14:paraId="78172B8A" w14:textId="196432C4" w:rsidR="005C3D5B" w:rsidRPr="007B5B47" w:rsidRDefault="005C3D5B" w:rsidP="004908EC">
      <w:pPr>
        <w:tabs>
          <w:tab w:val="left" w:pos="2268"/>
        </w:tabs>
        <w:spacing w:after="0" w:line="360" w:lineRule="auto"/>
        <w:ind w:right="-142"/>
        <w:rPr>
          <w:rFonts w:eastAsia="Calibri"/>
          <w:szCs w:val="18"/>
        </w:rPr>
      </w:pPr>
      <w:r>
        <w:rPr>
          <w:rFonts w:eastAsia="Calibri"/>
          <w:szCs w:val="18"/>
        </w:rPr>
        <w:t>Č</w:t>
      </w:r>
      <w:r w:rsidRPr="007B5B47">
        <w:rPr>
          <w:rFonts w:eastAsia="Calibri"/>
          <w:szCs w:val="18"/>
        </w:rPr>
        <w:t xml:space="preserve">íslo účtu: </w:t>
      </w:r>
      <w:r w:rsidR="004908EC">
        <w:rPr>
          <w:rFonts w:eastAsia="Calibri"/>
          <w:szCs w:val="18"/>
        </w:rPr>
        <w:tab/>
      </w:r>
      <w:r w:rsidRPr="007B5B47">
        <w:rPr>
          <w:rFonts w:eastAsia="Calibri"/>
          <w:szCs w:val="18"/>
        </w:rPr>
        <w:t>6303942/0800</w:t>
      </w:r>
    </w:p>
    <w:p w14:paraId="6FE8D043" w14:textId="77777777" w:rsidR="005C3D5B" w:rsidRPr="007B5B47" w:rsidRDefault="005C3D5B" w:rsidP="004908EC">
      <w:pPr>
        <w:tabs>
          <w:tab w:val="left" w:pos="709"/>
        </w:tabs>
        <w:spacing w:after="0" w:line="360" w:lineRule="auto"/>
        <w:ind w:right="-142"/>
        <w:rPr>
          <w:rFonts w:eastAsia="Calibri"/>
          <w:szCs w:val="18"/>
        </w:rPr>
      </w:pPr>
      <w:r w:rsidRPr="007B5B47">
        <w:rPr>
          <w:rFonts w:eastAsia="Calibri"/>
          <w:szCs w:val="18"/>
        </w:rPr>
        <w:t>(dále jen „</w:t>
      </w:r>
      <w:r w:rsidRPr="007B5B47">
        <w:rPr>
          <w:rFonts w:eastAsia="Calibri"/>
          <w:b/>
          <w:szCs w:val="18"/>
        </w:rPr>
        <w:t>objednatel</w:t>
      </w:r>
      <w:r w:rsidRPr="007B5B47">
        <w:rPr>
          <w:rFonts w:eastAsia="Calibri"/>
          <w:szCs w:val="18"/>
        </w:rPr>
        <w:t>“)</w:t>
      </w:r>
    </w:p>
    <w:p w14:paraId="518A7AFF" w14:textId="77777777" w:rsidR="005C3D5B" w:rsidRPr="00E91D88" w:rsidRDefault="005C3D5B" w:rsidP="004908EC">
      <w:pPr>
        <w:spacing w:before="240" w:after="240" w:line="360" w:lineRule="auto"/>
        <w:rPr>
          <w:bCs/>
          <w:szCs w:val="18"/>
        </w:rPr>
      </w:pPr>
      <w:r w:rsidRPr="00E91D88">
        <w:rPr>
          <w:bCs/>
          <w:szCs w:val="18"/>
        </w:rPr>
        <w:t>a</w:t>
      </w:r>
    </w:p>
    <w:p w14:paraId="584E479B" w14:textId="77777777" w:rsidR="004908EC" w:rsidRDefault="005C3D5B" w:rsidP="004908EC">
      <w:pPr>
        <w:tabs>
          <w:tab w:val="left" w:pos="709"/>
          <w:tab w:val="left" w:pos="1388"/>
          <w:tab w:val="left" w:pos="2060"/>
        </w:tabs>
        <w:spacing w:after="0" w:line="360" w:lineRule="auto"/>
        <w:ind w:right="-142"/>
        <w:outlineLvl w:val="0"/>
        <w:rPr>
          <w:szCs w:val="18"/>
        </w:rPr>
      </w:pPr>
      <w:r>
        <w:rPr>
          <w:rFonts w:eastAsia="Calibri"/>
          <w:b/>
          <w:szCs w:val="18"/>
        </w:rPr>
        <w:t>Poskytovatel</w:t>
      </w:r>
      <w:r w:rsidRPr="007B5B47">
        <w:rPr>
          <w:rFonts w:eastAsia="Calibri"/>
          <w:b/>
          <w:szCs w:val="18"/>
        </w:rPr>
        <w:t>:</w:t>
      </w:r>
      <w:r w:rsidRPr="007B5B47">
        <w:rPr>
          <w:szCs w:val="18"/>
        </w:rPr>
        <w:t xml:space="preserve"> </w:t>
      </w:r>
    </w:p>
    <w:p w14:paraId="489D6EC4" w14:textId="2B60C611" w:rsidR="005C3D5B" w:rsidRPr="007B5B47" w:rsidRDefault="005C3D5B" w:rsidP="004908EC">
      <w:pPr>
        <w:tabs>
          <w:tab w:val="left" w:pos="709"/>
          <w:tab w:val="left" w:pos="1388"/>
          <w:tab w:val="left" w:pos="2060"/>
        </w:tabs>
        <w:spacing w:after="0" w:line="360" w:lineRule="auto"/>
        <w:ind w:right="-142"/>
        <w:outlineLvl w:val="0"/>
        <w:rPr>
          <w:szCs w:val="18"/>
        </w:rPr>
      </w:pPr>
      <w:r w:rsidRPr="007B5B47">
        <w:rPr>
          <w:rFonts w:cs="Arial"/>
          <w:szCs w:val="18"/>
          <w:highlight w:val="yellow"/>
        </w:rPr>
        <w:t>[</w:t>
      </w:r>
      <w:r w:rsidR="00A52737">
        <w:rPr>
          <w:rFonts w:cs="Arial"/>
          <w:szCs w:val="18"/>
          <w:highlight w:val="yellow"/>
        </w:rPr>
        <w:t>DOPLNÍ DODAVATEL</w:t>
      </w:r>
      <w:r w:rsidRPr="007B5B47">
        <w:rPr>
          <w:rFonts w:cs="Arial"/>
          <w:szCs w:val="18"/>
          <w:highlight w:val="yellow"/>
        </w:rPr>
        <w:t>]</w:t>
      </w:r>
    </w:p>
    <w:p w14:paraId="5AAF1EC8" w14:textId="71AB6960" w:rsidR="005C3D5B" w:rsidRPr="007B5B47" w:rsidRDefault="005C3D5B" w:rsidP="004908EC">
      <w:pPr>
        <w:tabs>
          <w:tab w:val="left" w:pos="2268"/>
        </w:tabs>
        <w:spacing w:after="0" w:line="360" w:lineRule="auto"/>
        <w:rPr>
          <w:szCs w:val="18"/>
        </w:rPr>
      </w:pPr>
      <w:r w:rsidRPr="007B5B47">
        <w:rPr>
          <w:szCs w:val="18"/>
        </w:rPr>
        <w:t>se sídlem:</w:t>
      </w:r>
      <w:r w:rsidRPr="007B5B47">
        <w:rPr>
          <w:rFonts w:cs="Arial"/>
          <w:szCs w:val="18"/>
          <w:highlight w:val="yellow"/>
        </w:rPr>
        <w:t xml:space="preserve"> [</w:t>
      </w:r>
      <w:r w:rsidR="00A52737">
        <w:rPr>
          <w:rFonts w:cs="Arial"/>
          <w:szCs w:val="18"/>
          <w:highlight w:val="yellow"/>
        </w:rPr>
        <w:t>DOPLNÍ DODAVATEL</w:t>
      </w:r>
      <w:r w:rsidRPr="007B5B47">
        <w:rPr>
          <w:rFonts w:cs="Arial"/>
          <w:szCs w:val="18"/>
          <w:highlight w:val="yellow"/>
        </w:rPr>
        <w:t>]</w:t>
      </w:r>
    </w:p>
    <w:p w14:paraId="6519BF25" w14:textId="4309727B" w:rsidR="004908EC" w:rsidRDefault="009836EE" w:rsidP="004908EC">
      <w:pPr>
        <w:tabs>
          <w:tab w:val="left" w:pos="709"/>
          <w:tab w:val="left" w:pos="2268"/>
        </w:tabs>
        <w:spacing w:after="0" w:line="360" w:lineRule="auto"/>
        <w:ind w:right="-142"/>
        <w:rPr>
          <w:rFonts w:eastAsia="Calibri"/>
          <w:szCs w:val="18"/>
        </w:rPr>
      </w:pPr>
      <w:r>
        <w:rPr>
          <w:rFonts w:eastAsia="Calibri"/>
          <w:szCs w:val="18"/>
        </w:rPr>
        <w:t>zapsaný/</w:t>
      </w:r>
      <w:r w:rsidR="00364FE7">
        <w:rPr>
          <w:rFonts w:eastAsia="Calibri"/>
          <w:szCs w:val="18"/>
        </w:rPr>
        <w:t>á</w:t>
      </w:r>
      <w:r w:rsidR="005C3D5B" w:rsidRPr="007B5B47">
        <w:rPr>
          <w:rFonts w:eastAsia="Calibri"/>
          <w:szCs w:val="18"/>
        </w:rPr>
        <w:t xml:space="preserve"> v obchodním rejstříku vedeném </w:t>
      </w:r>
      <w:r w:rsidR="005C3D5B" w:rsidRPr="007B5B47">
        <w:rPr>
          <w:rFonts w:cs="Arial"/>
          <w:szCs w:val="18"/>
          <w:highlight w:val="yellow"/>
        </w:rPr>
        <w:t>[</w:t>
      </w:r>
      <w:r w:rsidR="00A52737">
        <w:rPr>
          <w:rFonts w:cs="Arial"/>
          <w:szCs w:val="18"/>
          <w:highlight w:val="yellow"/>
        </w:rPr>
        <w:t>DOPLNÍ DODAVATEL</w:t>
      </w:r>
      <w:r w:rsidR="005C3D5B" w:rsidRPr="007B5B47">
        <w:rPr>
          <w:rFonts w:cs="Arial"/>
          <w:szCs w:val="18"/>
          <w:highlight w:val="yellow"/>
        </w:rPr>
        <w:t>]</w:t>
      </w:r>
      <w:r w:rsidR="005C3D5B" w:rsidRPr="007B5B47">
        <w:rPr>
          <w:rFonts w:cs="Arial"/>
          <w:szCs w:val="18"/>
        </w:rPr>
        <w:t xml:space="preserve"> </w:t>
      </w:r>
      <w:r w:rsidR="005C3D5B">
        <w:rPr>
          <w:rFonts w:eastAsia="Calibri"/>
          <w:szCs w:val="18"/>
        </w:rPr>
        <w:t>pod sp. zn.</w:t>
      </w:r>
      <w:r w:rsidR="005C3D5B" w:rsidRPr="007B5B47">
        <w:rPr>
          <w:rFonts w:eastAsia="Calibri"/>
          <w:szCs w:val="18"/>
        </w:rPr>
        <w:t xml:space="preserve"> </w:t>
      </w:r>
      <w:r w:rsidR="005C3D5B" w:rsidRPr="007B5B47">
        <w:rPr>
          <w:rFonts w:cs="Arial"/>
          <w:szCs w:val="18"/>
          <w:highlight w:val="yellow"/>
        </w:rPr>
        <w:t>[</w:t>
      </w:r>
      <w:r w:rsidR="00A52737">
        <w:rPr>
          <w:rFonts w:cs="Arial"/>
          <w:szCs w:val="18"/>
          <w:highlight w:val="yellow"/>
        </w:rPr>
        <w:t>DOPLNÍ DODAVATEL</w:t>
      </w:r>
      <w:r w:rsidR="005C3D5B" w:rsidRPr="007B5B47">
        <w:rPr>
          <w:rFonts w:cs="Arial"/>
          <w:szCs w:val="18"/>
          <w:highlight w:val="yellow"/>
        </w:rPr>
        <w:t>]</w:t>
      </w:r>
    </w:p>
    <w:p w14:paraId="35A0D93D" w14:textId="456EDD15" w:rsidR="005C3D5B" w:rsidRPr="004908EC" w:rsidRDefault="005C3D5B" w:rsidP="004908EC">
      <w:pPr>
        <w:tabs>
          <w:tab w:val="left" w:pos="709"/>
          <w:tab w:val="left" w:pos="2268"/>
        </w:tabs>
        <w:spacing w:after="0" w:line="360" w:lineRule="auto"/>
        <w:ind w:right="-142"/>
        <w:rPr>
          <w:rFonts w:eastAsia="Calibri"/>
          <w:szCs w:val="18"/>
        </w:rPr>
      </w:pPr>
      <w:r w:rsidRPr="007B5B47">
        <w:rPr>
          <w:szCs w:val="18"/>
        </w:rPr>
        <w:t>zastoupen</w:t>
      </w:r>
      <w:r w:rsidR="009836EE">
        <w:rPr>
          <w:szCs w:val="18"/>
        </w:rPr>
        <w:t>ý</w:t>
      </w:r>
      <w:r>
        <w:rPr>
          <w:szCs w:val="18"/>
        </w:rPr>
        <w:t>/</w:t>
      </w:r>
      <w:r w:rsidR="0046275F">
        <w:rPr>
          <w:szCs w:val="18"/>
        </w:rPr>
        <w:t>á</w:t>
      </w:r>
      <w:r w:rsidRPr="007B5B47">
        <w:rPr>
          <w:szCs w:val="18"/>
        </w:rPr>
        <w:t xml:space="preserve">: </w:t>
      </w:r>
      <w:r w:rsidR="004908EC">
        <w:rPr>
          <w:szCs w:val="18"/>
        </w:rPr>
        <w:tab/>
      </w:r>
      <w:r w:rsidRPr="007B5B47">
        <w:rPr>
          <w:rFonts w:cs="Arial"/>
          <w:szCs w:val="18"/>
          <w:highlight w:val="yellow"/>
        </w:rPr>
        <w:t>[</w:t>
      </w:r>
      <w:r w:rsidR="00A52737">
        <w:rPr>
          <w:rFonts w:cs="Arial"/>
          <w:szCs w:val="18"/>
          <w:highlight w:val="yellow"/>
        </w:rPr>
        <w:t>DOPLNÍ DODAVATEL</w:t>
      </w:r>
      <w:r w:rsidRPr="007B5B47">
        <w:rPr>
          <w:rFonts w:cs="Arial"/>
          <w:szCs w:val="18"/>
          <w:highlight w:val="yellow"/>
        </w:rPr>
        <w:t>]</w:t>
      </w:r>
    </w:p>
    <w:p w14:paraId="76BAC2D0" w14:textId="0FE3166F" w:rsidR="005C3D5B" w:rsidRPr="007B5B47" w:rsidRDefault="005C3D5B" w:rsidP="004908EC">
      <w:pPr>
        <w:tabs>
          <w:tab w:val="left" w:pos="2268"/>
        </w:tabs>
        <w:spacing w:after="0" w:line="360" w:lineRule="auto"/>
        <w:rPr>
          <w:szCs w:val="18"/>
        </w:rPr>
      </w:pPr>
      <w:r w:rsidRPr="007B5B47">
        <w:rPr>
          <w:szCs w:val="18"/>
        </w:rPr>
        <w:t xml:space="preserve">IČO: </w:t>
      </w:r>
      <w:r w:rsidR="004908EC">
        <w:rPr>
          <w:szCs w:val="18"/>
        </w:rPr>
        <w:tab/>
      </w:r>
      <w:r w:rsidRPr="007B5B47">
        <w:rPr>
          <w:rFonts w:cs="Arial"/>
          <w:szCs w:val="18"/>
          <w:highlight w:val="yellow"/>
        </w:rPr>
        <w:t>[</w:t>
      </w:r>
      <w:r w:rsidR="00A52737">
        <w:rPr>
          <w:rFonts w:cs="Arial"/>
          <w:szCs w:val="18"/>
          <w:highlight w:val="yellow"/>
        </w:rPr>
        <w:t>DOPLNÍ DODAVATEL</w:t>
      </w:r>
      <w:r w:rsidRPr="007B5B47">
        <w:rPr>
          <w:rFonts w:cs="Arial"/>
          <w:szCs w:val="18"/>
          <w:highlight w:val="yellow"/>
        </w:rPr>
        <w:t>]</w:t>
      </w:r>
    </w:p>
    <w:p w14:paraId="75D0949A" w14:textId="59B9941E" w:rsidR="005C3D5B" w:rsidRPr="007B5B47" w:rsidRDefault="005C3D5B" w:rsidP="004908EC">
      <w:pPr>
        <w:tabs>
          <w:tab w:val="left" w:pos="2268"/>
        </w:tabs>
        <w:spacing w:after="0" w:line="360" w:lineRule="auto"/>
        <w:rPr>
          <w:rFonts w:cs="Arial"/>
          <w:szCs w:val="18"/>
        </w:rPr>
      </w:pPr>
      <w:r w:rsidRPr="007B5B47">
        <w:rPr>
          <w:szCs w:val="18"/>
        </w:rPr>
        <w:t xml:space="preserve">DIČ: </w:t>
      </w:r>
      <w:r w:rsidR="004908EC">
        <w:rPr>
          <w:szCs w:val="18"/>
        </w:rPr>
        <w:tab/>
      </w:r>
      <w:r w:rsidRPr="007B5B47">
        <w:rPr>
          <w:rFonts w:cs="Arial"/>
          <w:szCs w:val="18"/>
          <w:highlight w:val="yellow"/>
        </w:rPr>
        <w:t>[</w:t>
      </w:r>
      <w:r w:rsidR="00A52737">
        <w:rPr>
          <w:rFonts w:cs="Arial"/>
          <w:szCs w:val="18"/>
          <w:highlight w:val="yellow"/>
        </w:rPr>
        <w:t>DOPLNÍ DODAVATEL</w:t>
      </w:r>
      <w:r w:rsidRPr="007B5B47">
        <w:rPr>
          <w:rFonts w:cs="Arial"/>
          <w:szCs w:val="18"/>
          <w:highlight w:val="yellow"/>
        </w:rPr>
        <w:t>]</w:t>
      </w:r>
    </w:p>
    <w:p w14:paraId="5DE1DFA4" w14:textId="6722D1F0" w:rsidR="005C3D5B" w:rsidRPr="007B5B47" w:rsidRDefault="005C3D5B" w:rsidP="004908EC">
      <w:pPr>
        <w:tabs>
          <w:tab w:val="left" w:pos="2268"/>
        </w:tabs>
        <w:spacing w:after="0" w:line="360" w:lineRule="auto"/>
        <w:rPr>
          <w:szCs w:val="18"/>
        </w:rPr>
      </w:pPr>
      <w:r w:rsidRPr="007B5B47">
        <w:rPr>
          <w:rFonts w:eastAsia="Calibri"/>
          <w:szCs w:val="18"/>
        </w:rPr>
        <w:t xml:space="preserve">ID datové schránky: </w:t>
      </w:r>
      <w:r w:rsidR="004908EC">
        <w:rPr>
          <w:rFonts w:eastAsia="Calibri"/>
          <w:szCs w:val="18"/>
        </w:rPr>
        <w:tab/>
      </w:r>
      <w:r w:rsidRPr="007B5B47">
        <w:rPr>
          <w:rFonts w:cs="Arial"/>
          <w:szCs w:val="18"/>
          <w:highlight w:val="yellow"/>
        </w:rPr>
        <w:t>[</w:t>
      </w:r>
      <w:r w:rsidR="00A52737">
        <w:rPr>
          <w:rFonts w:cs="Arial"/>
          <w:szCs w:val="18"/>
          <w:highlight w:val="yellow"/>
        </w:rPr>
        <w:t>DOPLNÍ DODAVATEL</w:t>
      </w:r>
      <w:r w:rsidRPr="007B5B47">
        <w:rPr>
          <w:rFonts w:cs="Arial"/>
          <w:szCs w:val="18"/>
          <w:highlight w:val="yellow"/>
        </w:rPr>
        <w:t>]</w:t>
      </w:r>
    </w:p>
    <w:p w14:paraId="3D4D6E9F" w14:textId="5CBA12F1" w:rsidR="005C3D5B" w:rsidRPr="007B5B47" w:rsidRDefault="005C3D5B" w:rsidP="004908EC">
      <w:pPr>
        <w:tabs>
          <w:tab w:val="left" w:pos="2268"/>
        </w:tabs>
        <w:spacing w:after="0" w:line="360" w:lineRule="auto"/>
        <w:rPr>
          <w:szCs w:val="18"/>
        </w:rPr>
      </w:pPr>
      <w:r>
        <w:rPr>
          <w:szCs w:val="18"/>
        </w:rPr>
        <w:t>B</w:t>
      </w:r>
      <w:r w:rsidRPr="007B5B47">
        <w:rPr>
          <w:szCs w:val="18"/>
        </w:rPr>
        <w:t>ankovní sp</w:t>
      </w:r>
      <w:r w:rsidRPr="004908EC">
        <w:rPr>
          <w:szCs w:val="18"/>
        </w:rPr>
        <w:t>ojení:</w:t>
      </w:r>
      <w:r w:rsidRPr="004908EC">
        <w:rPr>
          <w:rFonts w:cs="Arial"/>
          <w:szCs w:val="18"/>
        </w:rPr>
        <w:t xml:space="preserve"> </w:t>
      </w:r>
      <w:r w:rsidR="004908EC" w:rsidRPr="004908EC">
        <w:rPr>
          <w:rFonts w:cs="Arial"/>
          <w:szCs w:val="18"/>
        </w:rPr>
        <w:tab/>
      </w:r>
      <w:r w:rsidRPr="007B5B47">
        <w:rPr>
          <w:rFonts w:cs="Arial"/>
          <w:szCs w:val="18"/>
          <w:highlight w:val="yellow"/>
        </w:rPr>
        <w:t>[</w:t>
      </w:r>
      <w:r w:rsidR="00A52737">
        <w:rPr>
          <w:rFonts w:cs="Arial"/>
          <w:szCs w:val="18"/>
          <w:highlight w:val="yellow"/>
        </w:rPr>
        <w:t>DOPLNÍ DODAVATEL</w:t>
      </w:r>
      <w:r w:rsidRPr="007B5B47">
        <w:rPr>
          <w:rFonts w:cs="Arial"/>
          <w:szCs w:val="18"/>
          <w:highlight w:val="yellow"/>
        </w:rPr>
        <w:t>]</w:t>
      </w:r>
    </w:p>
    <w:p w14:paraId="5E998DA5" w14:textId="5C4AC6FD" w:rsidR="005C3D5B" w:rsidRPr="007B5B47" w:rsidRDefault="005C3D5B" w:rsidP="004908EC">
      <w:pPr>
        <w:tabs>
          <w:tab w:val="left" w:pos="2268"/>
        </w:tabs>
        <w:spacing w:after="0" w:line="360" w:lineRule="auto"/>
        <w:rPr>
          <w:szCs w:val="18"/>
        </w:rPr>
      </w:pPr>
      <w:r>
        <w:rPr>
          <w:szCs w:val="18"/>
        </w:rPr>
        <w:t>Č</w:t>
      </w:r>
      <w:r w:rsidRPr="007B5B47">
        <w:rPr>
          <w:szCs w:val="18"/>
        </w:rPr>
        <w:t xml:space="preserve">íslo účtu: </w:t>
      </w:r>
      <w:r w:rsidR="004908EC">
        <w:rPr>
          <w:szCs w:val="18"/>
        </w:rPr>
        <w:tab/>
      </w:r>
      <w:r w:rsidR="005F6192" w:rsidRPr="005F6192">
        <w:rPr>
          <w:szCs w:val="18"/>
        </w:rPr>
        <w:t>[</w:t>
      </w:r>
      <w:r w:rsidR="00A52737">
        <w:rPr>
          <w:szCs w:val="18"/>
          <w:highlight w:val="yellow"/>
        </w:rPr>
        <w:t>DOPLNÍ DODAVATEL</w:t>
      </w:r>
      <w:r w:rsidR="005F6192" w:rsidRPr="005F6192">
        <w:rPr>
          <w:szCs w:val="18"/>
        </w:rPr>
        <w:t>]</w:t>
      </w:r>
    </w:p>
    <w:p w14:paraId="658D80D2" w14:textId="1A018DDE" w:rsidR="004244BC" w:rsidRPr="00F322E4" w:rsidRDefault="004244BC" w:rsidP="004908EC">
      <w:pPr>
        <w:spacing w:after="0" w:line="360" w:lineRule="auto"/>
      </w:pPr>
      <w:r w:rsidRPr="00F322E4">
        <w:t>(dále jen „</w:t>
      </w:r>
      <w:r w:rsidR="005C3D5B" w:rsidRPr="005C3D5B">
        <w:rPr>
          <w:b/>
        </w:rPr>
        <w:t>p</w:t>
      </w:r>
      <w:r w:rsidR="00E75177" w:rsidRPr="005C3D5B">
        <w:rPr>
          <w:b/>
        </w:rPr>
        <w:t>oskyt</w:t>
      </w:r>
      <w:r w:rsidR="00ED5813" w:rsidRPr="005C3D5B">
        <w:rPr>
          <w:b/>
        </w:rPr>
        <w:t>ovatel</w:t>
      </w:r>
      <w:r w:rsidR="00E51A3F" w:rsidRPr="00F322E4">
        <w:t>“)</w:t>
      </w:r>
    </w:p>
    <w:p w14:paraId="46BF564F" w14:textId="77777777" w:rsidR="004244BC" w:rsidRDefault="004244BC" w:rsidP="00A52737">
      <w:pPr>
        <w:spacing w:before="240" w:after="240" w:line="360" w:lineRule="auto"/>
        <w:jc w:val="center"/>
      </w:pPr>
      <w:r w:rsidRPr="00F322E4">
        <w:t>(</w:t>
      </w:r>
      <w:r w:rsidR="00053368">
        <w:t>o</w:t>
      </w:r>
      <w:r w:rsidR="002D5574" w:rsidRPr="00F322E4">
        <w:t>bjed</w:t>
      </w:r>
      <w:r w:rsidRPr="00F322E4">
        <w:t xml:space="preserve">natel a </w:t>
      </w:r>
      <w:r w:rsidR="00E91D88">
        <w:t>po</w:t>
      </w:r>
      <w:r w:rsidR="00E75177" w:rsidRPr="00F322E4">
        <w:t>skyt</w:t>
      </w:r>
      <w:r w:rsidR="00ED5813" w:rsidRPr="00F322E4">
        <w:t>ovatel</w:t>
      </w:r>
      <w:r w:rsidRPr="00F322E4">
        <w:t xml:space="preserve"> dále jednotlivě též jen „</w:t>
      </w:r>
      <w:r w:rsidR="00E91D88" w:rsidRPr="00E91D88">
        <w:rPr>
          <w:b/>
        </w:rPr>
        <w:t>s</w:t>
      </w:r>
      <w:r w:rsidRPr="005F6192">
        <w:rPr>
          <w:b/>
        </w:rPr>
        <w:t>mluvní strana</w:t>
      </w:r>
      <w:r w:rsidRPr="00F322E4">
        <w:t>“ nebo společně „</w:t>
      </w:r>
      <w:r w:rsidR="00E91D88">
        <w:rPr>
          <w:b/>
        </w:rPr>
        <w:t>s</w:t>
      </w:r>
      <w:r w:rsidRPr="005F6192">
        <w:rPr>
          <w:b/>
        </w:rPr>
        <w:t>mluvní strany</w:t>
      </w:r>
      <w:r w:rsidRPr="00F322E4">
        <w:t>“)</w:t>
      </w:r>
    </w:p>
    <w:p w14:paraId="1603407F" w14:textId="77777777" w:rsidR="004244BC" w:rsidRPr="00F322E4" w:rsidRDefault="004244BC" w:rsidP="005C3D5B">
      <w:pPr>
        <w:spacing w:after="0" w:line="360" w:lineRule="auto"/>
        <w:jc w:val="center"/>
      </w:pPr>
      <w:r w:rsidRPr="00F322E4">
        <w:t xml:space="preserve">uzavírají v souladu s </w:t>
      </w:r>
      <w:r w:rsidR="00ED5813" w:rsidRPr="00F322E4">
        <w:t xml:space="preserve">§ 1746 odst. 2 zákona č. </w:t>
      </w:r>
      <w:r w:rsidR="005F6192" w:rsidRPr="005F6192">
        <w:t>89/2012 Sb., občanský zákoník, ve znění pozdějších předpisů (dále jen „</w:t>
      </w:r>
      <w:r w:rsidR="005F6192" w:rsidRPr="00053368">
        <w:rPr>
          <w:b/>
        </w:rPr>
        <w:t>občanský zákoník</w:t>
      </w:r>
      <w:r w:rsidR="005F6192" w:rsidRPr="005F6192">
        <w:t>“), a dle zákona č. 134/2016 Sb., o zadávání veřejných zakázek, ve znění pozdějších předpisů (dále jen („</w:t>
      </w:r>
      <w:r w:rsidR="00FF56A7" w:rsidRPr="00053368">
        <w:rPr>
          <w:b/>
        </w:rPr>
        <w:t>ZZVZ</w:t>
      </w:r>
      <w:r w:rsidR="00FF56A7" w:rsidRPr="005F6192">
        <w:t xml:space="preserve">“) </w:t>
      </w:r>
      <w:r w:rsidR="00FF56A7" w:rsidRPr="00F322E4">
        <w:t>tuto</w:t>
      </w:r>
    </w:p>
    <w:p w14:paraId="15CE00C9" w14:textId="77777777" w:rsidR="00ED5813" w:rsidRPr="00F322E4" w:rsidRDefault="00053368" w:rsidP="005C3D5B">
      <w:pPr>
        <w:spacing w:after="0" w:line="360" w:lineRule="auto"/>
        <w:jc w:val="center"/>
      </w:pPr>
      <w:r>
        <w:rPr>
          <w:b/>
        </w:rPr>
        <w:t>Smlouvu na poskytnutí licencí</w:t>
      </w:r>
      <w:r w:rsidR="008B5A68">
        <w:rPr>
          <w:b/>
        </w:rPr>
        <w:t xml:space="preserve"> operačního systému Linux</w:t>
      </w:r>
    </w:p>
    <w:p w14:paraId="1B00DEC9" w14:textId="77777777" w:rsidR="009425D8" w:rsidRDefault="00053368" w:rsidP="005C3D5B">
      <w:pPr>
        <w:spacing w:after="0" w:line="360" w:lineRule="auto"/>
        <w:jc w:val="center"/>
      </w:pPr>
      <w:r>
        <w:t>(dále jen „</w:t>
      </w:r>
      <w:r w:rsidRPr="00053368">
        <w:rPr>
          <w:b/>
        </w:rPr>
        <w:t>s</w:t>
      </w:r>
      <w:r w:rsidR="004244BC" w:rsidRPr="00053368">
        <w:rPr>
          <w:b/>
        </w:rPr>
        <w:t>mlouva</w:t>
      </w:r>
      <w:r w:rsidR="004244BC" w:rsidRPr="00F322E4">
        <w:t>“)</w:t>
      </w:r>
    </w:p>
    <w:p w14:paraId="0B6F8E9A" w14:textId="77777777" w:rsidR="00B16DE0" w:rsidRDefault="00B16DE0">
      <w:r>
        <w:br w:type="page"/>
      </w:r>
    </w:p>
    <w:p w14:paraId="0083EEEF" w14:textId="6F561F2A" w:rsidR="00645B08" w:rsidRPr="00645B08" w:rsidRDefault="00E92B93" w:rsidP="00645B08">
      <w:pPr>
        <w:pStyle w:val="Nadpis1"/>
      </w:pPr>
      <w:r>
        <w:lastRenderedPageBreak/>
        <w:t>ÚVOD</w:t>
      </w:r>
    </w:p>
    <w:p w14:paraId="7B0DD1BC" w14:textId="5441074A" w:rsidR="00E92B93" w:rsidRDefault="00D15250" w:rsidP="00785CD5">
      <w:pPr>
        <w:pStyle w:val="Nadpis2"/>
      </w:pPr>
      <w:r w:rsidRPr="00E92B93">
        <w:t>Tato smlouva byla uzavřena na zákla</w:t>
      </w:r>
      <w:r w:rsidR="00B41E00" w:rsidRPr="00E92B93">
        <w:t>dě výsledku zadání</w:t>
      </w:r>
      <w:r w:rsidRPr="00E92B93">
        <w:t xml:space="preserve"> </w:t>
      </w:r>
      <w:r w:rsidR="00B41E00" w:rsidRPr="00E92B93">
        <w:t>veřejné zakázky</w:t>
      </w:r>
      <w:r w:rsidRPr="00E92B93">
        <w:t xml:space="preserve"> </w:t>
      </w:r>
      <w:r w:rsidR="00634715">
        <w:t xml:space="preserve">č. VZ2025005 (VZ_2018_0001-08) </w:t>
      </w:r>
      <w:r w:rsidR="00D5658A" w:rsidRPr="00E92B93">
        <w:t>s ná</w:t>
      </w:r>
      <w:r w:rsidR="00162C12" w:rsidRPr="00E92B93">
        <w:t>zvem „</w:t>
      </w:r>
      <w:r w:rsidR="0050773B" w:rsidRPr="0050773B">
        <w:t>Prodloužení Red Hat subskripcí na</w:t>
      </w:r>
      <w:r w:rsidR="004D7512">
        <w:t xml:space="preserve"> rok </w:t>
      </w:r>
      <w:r w:rsidR="0050773B" w:rsidRPr="0050773B">
        <w:t>202</w:t>
      </w:r>
      <w:r w:rsidR="000266A0">
        <w:t>6</w:t>
      </w:r>
      <w:r w:rsidRPr="00E92B93">
        <w:t xml:space="preserve">“ </w:t>
      </w:r>
      <w:r w:rsidR="007263D3" w:rsidRPr="00E92B93">
        <w:t>v dynamickém nákupním systému pro běžné licence operačního systému Linux</w:t>
      </w:r>
      <w:r w:rsidR="00975E31" w:rsidRPr="00E92B93">
        <w:t xml:space="preserve"> </w:t>
      </w:r>
      <w:r w:rsidRPr="00E92B93">
        <w:t>(dále jen "</w:t>
      </w:r>
      <w:r w:rsidR="005B6057">
        <w:t>v</w:t>
      </w:r>
      <w:r w:rsidRPr="00E92B93">
        <w:t>eřejná zakázka</w:t>
      </w:r>
      <w:r w:rsidR="008476F2" w:rsidRPr="00E92B93">
        <w:t>")</w:t>
      </w:r>
      <w:r w:rsidRPr="00E92B93">
        <w:t xml:space="preserve"> objednatelem jako zadavatelem ve</w:t>
      </w:r>
      <w:r w:rsidR="00BA7478" w:rsidRPr="00E92B93">
        <w:t> </w:t>
      </w:r>
      <w:r w:rsidRPr="00E92B93">
        <w:t>smyslu ZZVZ, neboť nab</w:t>
      </w:r>
      <w:r w:rsidR="00053368" w:rsidRPr="00E92B93">
        <w:t>ídka poskytovatele</w:t>
      </w:r>
      <w:r w:rsidRPr="00E92B93">
        <w:t xml:space="preserve"> podaná na</w:t>
      </w:r>
      <w:r w:rsidR="003E5408" w:rsidRPr="00E92B93">
        <w:t> </w:t>
      </w:r>
      <w:r w:rsidRPr="00E92B93">
        <w:t xml:space="preserve">veřejnou zakázku byla objednatelem vyhodnocena jako </w:t>
      </w:r>
      <w:r w:rsidR="00053368" w:rsidRPr="00E92B93">
        <w:t xml:space="preserve">ekonomicky </w:t>
      </w:r>
      <w:r w:rsidRPr="00E92B93">
        <w:t>nejv</w:t>
      </w:r>
      <w:r w:rsidR="00A25852" w:rsidRPr="00E92B93">
        <w:t>ý</w:t>
      </w:r>
      <w:r w:rsidRPr="00E92B93">
        <w:t>hodnější.</w:t>
      </w:r>
    </w:p>
    <w:p w14:paraId="407A38E3" w14:textId="77777777" w:rsidR="00E92B93" w:rsidRDefault="00FF56A7" w:rsidP="005F7177">
      <w:pPr>
        <w:pStyle w:val="Nadpis2"/>
      </w:pPr>
      <w:r w:rsidRPr="00E92B93">
        <w:t>Poskytovatel prohlašuje</w:t>
      </w:r>
      <w:r w:rsidR="00B95567" w:rsidRPr="00E92B93">
        <w:t xml:space="preserve">, že je schopen </w:t>
      </w:r>
      <w:r w:rsidR="00162C12" w:rsidRPr="00E92B93">
        <w:t xml:space="preserve">dodávky a </w:t>
      </w:r>
      <w:r w:rsidR="00B95567" w:rsidRPr="00E92B93">
        <w:t>služby ve sjednaném rozsahu, účelu a</w:t>
      </w:r>
      <w:r w:rsidR="00230CF9" w:rsidRPr="00E92B93">
        <w:t> </w:t>
      </w:r>
      <w:r w:rsidR="00B95567" w:rsidRPr="00E92B93">
        <w:t>za</w:t>
      </w:r>
      <w:r w:rsidR="00230CF9" w:rsidRPr="00E92B93">
        <w:t> </w:t>
      </w:r>
      <w:r w:rsidR="00B95567" w:rsidRPr="00E92B93">
        <w:t xml:space="preserve">sjednanou cenu zajistit. Poskytovatel odpovídá za zajištění </w:t>
      </w:r>
      <w:r w:rsidR="00A25852" w:rsidRPr="00E92B93">
        <w:t xml:space="preserve">plnění dle této smlouvy </w:t>
      </w:r>
      <w:r w:rsidR="00B95567" w:rsidRPr="00E92B93">
        <w:t>jako cel</w:t>
      </w:r>
      <w:r w:rsidR="00DB7CFF" w:rsidRPr="00E92B93">
        <w:t>ku,</w:t>
      </w:r>
      <w:r w:rsidR="00B95567" w:rsidRPr="00E92B93">
        <w:t xml:space="preserve"> i v případě sm</w:t>
      </w:r>
      <w:r w:rsidR="00A25852" w:rsidRPr="00E92B93">
        <w:t>luvně zajištěného případného pod</w:t>
      </w:r>
      <w:r w:rsidR="00B95567" w:rsidRPr="00E92B93">
        <w:t>dodavatele jako</w:t>
      </w:r>
      <w:r w:rsidR="00DB7CFF" w:rsidRPr="00E92B93">
        <w:t xml:space="preserve"> </w:t>
      </w:r>
      <w:r w:rsidR="00B95567" w:rsidRPr="00E92B93">
        <w:t xml:space="preserve">by </w:t>
      </w:r>
      <w:r w:rsidR="00A25852" w:rsidRPr="00E92B93">
        <w:t>poskytoval plnění</w:t>
      </w:r>
      <w:r w:rsidR="00B95567" w:rsidRPr="00E92B93">
        <w:t xml:space="preserve"> sám. </w:t>
      </w:r>
    </w:p>
    <w:p w14:paraId="32073BF5" w14:textId="3B65B389" w:rsidR="00E92B93" w:rsidRDefault="00B95567" w:rsidP="00065A09">
      <w:pPr>
        <w:pStyle w:val="Nadpis2"/>
      </w:pPr>
      <w:r w:rsidRPr="00E92B93">
        <w:t>Poskytovatel prohlašuje, že na základě svých podnikatelských a živnostenských oprávnění je oprávněn a schopen poskytovat plnění řádně a kvalitně dle požadavků této smlouvy.</w:t>
      </w:r>
    </w:p>
    <w:p w14:paraId="5E452F02" w14:textId="3F36BD41" w:rsidR="00624461" w:rsidRDefault="00B96730" w:rsidP="00E92B93">
      <w:pPr>
        <w:pStyle w:val="Nadpis1"/>
      </w:pPr>
      <w:r w:rsidRPr="00DE3065">
        <w:t>VYMEZENÍ POJMŮ</w:t>
      </w:r>
    </w:p>
    <w:p w14:paraId="7E816A36" w14:textId="2876526F" w:rsidR="007D360D" w:rsidRDefault="007D360D" w:rsidP="00624461">
      <w:pPr>
        <w:pStyle w:val="Nadpis2"/>
      </w:pPr>
      <w:r w:rsidRPr="00624461">
        <w:rPr>
          <w:b/>
        </w:rPr>
        <w:t>Aktuální verze plnění</w:t>
      </w:r>
      <w:r w:rsidRPr="00B96730">
        <w:t xml:space="preserve"> – ne</w:t>
      </w:r>
      <w:r>
        <w:t>jvyšší verze plnění</w:t>
      </w:r>
      <w:r w:rsidRPr="00B96730">
        <w:t>, která je pro používanou platformu právě komerčně do</w:t>
      </w:r>
      <w:r>
        <w:t>stupná, a která je pod platnou p</w:t>
      </w:r>
      <w:r w:rsidRPr="00B96730">
        <w:t>odporou.</w:t>
      </w:r>
    </w:p>
    <w:p w14:paraId="45D48524" w14:textId="77777777" w:rsidR="00297DB3" w:rsidRDefault="00297DB3" w:rsidP="009A190D">
      <w:pPr>
        <w:pStyle w:val="Nadpis2"/>
        <w:numPr>
          <w:ilvl w:val="1"/>
          <w:numId w:val="34"/>
        </w:numPr>
      </w:pPr>
      <w:r w:rsidRPr="009A190D">
        <w:rPr>
          <w:b/>
        </w:rPr>
        <w:t>Náhradní řešení</w:t>
      </w:r>
      <w:r w:rsidRPr="00B96730">
        <w:t xml:space="preserve"> – takové řešení, kter</w:t>
      </w:r>
      <w:r>
        <w:t>é dočasně vyřeší Závadu plnění</w:t>
      </w:r>
      <w:r w:rsidRPr="00B96730">
        <w:t>, případně eliminuje její výskyt na úroveň, která je dočasně akceptovatelná objednatelem.</w:t>
      </w:r>
    </w:p>
    <w:p w14:paraId="050482BC" w14:textId="0A51C928" w:rsidR="00297DB3" w:rsidRPr="007D360D" w:rsidRDefault="00297DB3" w:rsidP="009A190D">
      <w:pPr>
        <w:pStyle w:val="Nadpis2"/>
        <w:numPr>
          <w:ilvl w:val="1"/>
          <w:numId w:val="34"/>
        </w:numPr>
      </w:pPr>
      <w:r w:rsidRPr="009A190D">
        <w:rPr>
          <w:b/>
        </w:rPr>
        <w:t>Opravná verze plnění</w:t>
      </w:r>
      <w:r w:rsidRPr="00B96730">
        <w:t xml:space="preserve"> – jednorázová oprava kritické chyby </w:t>
      </w:r>
      <w:r>
        <w:t>plnění</w:t>
      </w:r>
      <w:r w:rsidR="000D38C8">
        <w:t xml:space="preserve"> s platnou smlouvou o </w:t>
      </w:r>
      <w:r>
        <w:t>p</w:t>
      </w:r>
      <w:r w:rsidRPr="00B96730">
        <w:t xml:space="preserve">odpoře. Opravná verze </w:t>
      </w:r>
      <w:r>
        <w:t>plnění</w:t>
      </w:r>
      <w:r w:rsidRPr="00B96730">
        <w:t xml:space="preserve"> není testovaná jako celek, má omezenou záruku a lze ji provozovat pouze do</w:t>
      </w:r>
      <w:r w:rsidR="00A52737">
        <w:t> </w:t>
      </w:r>
      <w:r w:rsidRPr="00B96730">
        <w:t xml:space="preserve">doby, než je veřejně dostupná standardní verze </w:t>
      </w:r>
      <w:r>
        <w:t>plnění</w:t>
      </w:r>
      <w:r w:rsidRPr="00B96730">
        <w:t>, kde je problém vyřešen.</w:t>
      </w:r>
    </w:p>
    <w:p w14:paraId="191812CF" w14:textId="77777777" w:rsidR="003C46D3" w:rsidRDefault="00B96730" w:rsidP="009A190D">
      <w:pPr>
        <w:pStyle w:val="Nadpis2"/>
        <w:numPr>
          <w:ilvl w:val="1"/>
          <w:numId w:val="34"/>
        </w:numPr>
      </w:pPr>
      <w:r w:rsidRPr="009A190D">
        <w:rPr>
          <w:b/>
        </w:rPr>
        <w:t>Pracovní doba</w:t>
      </w:r>
      <w:r w:rsidRPr="00CC5522">
        <w:t xml:space="preserve"> – doba od 9:00 do 17:00 hod. v pracovních dnech.</w:t>
      </w:r>
    </w:p>
    <w:p w14:paraId="4B963EA1" w14:textId="7C0B1179" w:rsidR="003C46D3" w:rsidRDefault="00B96730" w:rsidP="009A190D">
      <w:pPr>
        <w:pStyle w:val="Nadpis2"/>
        <w:numPr>
          <w:ilvl w:val="1"/>
          <w:numId w:val="34"/>
        </w:numPr>
      </w:pPr>
      <w:r w:rsidRPr="009A190D">
        <w:rPr>
          <w:b/>
        </w:rPr>
        <w:t>Reakční doba řešení</w:t>
      </w:r>
      <w:r w:rsidRPr="003C46D3">
        <w:t xml:space="preserve"> – doba po nahlášení Závady, kdy technická podpora musí nejpozději začít s</w:t>
      </w:r>
      <w:r w:rsidR="00A52737">
        <w:t> </w:t>
      </w:r>
      <w:r w:rsidRPr="003C46D3">
        <w:t>řešením hlášené Závady. Reakční doba řešení je stanovena na 2 hodiny v Pracovní době od</w:t>
      </w:r>
      <w:r w:rsidR="00A52737">
        <w:t> </w:t>
      </w:r>
      <w:r w:rsidRPr="003C46D3">
        <w:t>nahlášení Závady</w:t>
      </w:r>
      <w:r w:rsidR="00CC5522" w:rsidRPr="003C46D3">
        <w:t xml:space="preserve"> v režimu Standardní úrovně podpory a 2 hodiny</w:t>
      </w:r>
      <w:r w:rsidRPr="003C46D3">
        <w:t xml:space="preserve"> </w:t>
      </w:r>
      <w:r w:rsidR="003C46D3" w:rsidRPr="003C46D3">
        <w:t>od nahlášení Závady v režimu Vysoké úrovně podpory.</w:t>
      </w:r>
    </w:p>
    <w:p w14:paraId="5DED7F80" w14:textId="77777777" w:rsidR="003C46D3" w:rsidRDefault="002B59B9" w:rsidP="009A190D">
      <w:pPr>
        <w:pStyle w:val="Nadpis2"/>
        <w:numPr>
          <w:ilvl w:val="1"/>
          <w:numId w:val="34"/>
        </w:numPr>
      </w:pPr>
      <w:r w:rsidRPr="009A190D">
        <w:rPr>
          <w:b/>
        </w:rPr>
        <w:t>Standardní úroveň podpory</w:t>
      </w:r>
      <w:r w:rsidR="003C46D3" w:rsidRPr="009A190D">
        <w:rPr>
          <w:b/>
        </w:rPr>
        <w:t xml:space="preserve"> </w:t>
      </w:r>
      <w:r w:rsidRPr="003C46D3">
        <w:t>– podpora minimálně v rozsahu 5x8 (</w:t>
      </w:r>
      <w:r w:rsidR="0072608A" w:rsidRPr="003C46D3">
        <w:t>pracovní doba v pracovní dny).</w:t>
      </w:r>
    </w:p>
    <w:p w14:paraId="7B41499B" w14:textId="77777777" w:rsidR="007D360D" w:rsidRDefault="0072608A" w:rsidP="009A190D">
      <w:pPr>
        <w:pStyle w:val="Nadpis2"/>
        <w:numPr>
          <w:ilvl w:val="1"/>
          <w:numId w:val="34"/>
        </w:numPr>
      </w:pPr>
      <w:r w:rsidRPr="009A190D">
        <w:rPr>
          <w:b/>
        </w:rPr>
        <w:t>Vysoká úroveň podpory</w:t>
      </w:r>
      <w:r w:rsidR="003C46D3" w:rsidRPr="009A190D">
        <w:rPr>
          <w:b/>
        </w:rPr>
        <w:t xml:space="preserve"> </w:t>
      </w:r>
      <w:r w:rsidRPr="003C46D3">
        <w:t xml:space="preserve">– podpora minimálně v rozsahu </w:t>
      </w:r>
      <w:r w:rsidR="0058105A" w:rsidRPr="003C46D3">
        <w:t>7x24</w:t>
      </w:r>
      <w:r w:rsidRPr="003C46D3">
        <w:t xml:space="preserve"> (</w:t>
      </w:r>
      <w:r w:rsidR="0058105A" w:rsidRPr="003C46D3">
        <w:t>nepřetržitá podpora</w:t>
      </w:r>
      <w:r w:rsidRPr="003C46D3">
        <w:t>).</w:t>
      </w:r>
    </w:p>
    <w:p w14:paraId="12B1C608" w14:textId="0748E44F" w:rsidR="00FC1E61" w:rsidRPr="00297DB3" w:rsidRDefault="003C46D3" w:rsidP="009A190D">
      <w:pPr>
        <w:pStyle w:val="Nadpis2"/>
        <w:numPr>
          <w:ilvl w:val="1"/>
          <w:numId w:val="34"/>
        </w:numPr>
      </w:pPr>
      <w:r w:rsidRPr="009A190D">
        <w:rPr>
          <w:b/>
        </w:rPr>
        <w:t>Závada plnění</w:t>
      </w:r>
      <w:r w:rsidR="00B96730" w:rsidRPr="007D360D">
        <w:t xml:space="preserve"> (</w:t>
      </w:r>
      <w:r w:rsidRPr="007D360D">
        <w:t>dále také jen</w:t>
      </w:r>
      <w:r w:rsidR="00B96730" w:rsidRPr="007D360D">
        <w:t xml:space="preserve"> „</w:t>
      </w:r>
      <w:r w:rsidR="00B96730" w:rsidRPr="009A190D">
        <w:rPr>
          <w:b/>
        </w:rPr>
        <w:t>Závada</w:t>
      </w:r>
      <w:r w:rsidR="0008084D" w:rsidRPr="007D360D">
        <w:t>“) – takové chování plnění</w:t>
      </w:r>
      <w:r w:rsidR="00B96730" w:rsidRPr="007D360D">
        <w:t>, které je odlišné od</w:t>
      </w:r>
      <w:r w:rsidR="00230CF9">
        <w:t> </w:t>
      </w:r>
      <w:r w:rsidR="00B96730" w:rsidRPr="007D360D">
        <w:t xml:space="preserve">vlastností </w:t>
      </w:r>
      <w:r w:rsidR="004833BB">
        <w:t>garantovaných výrobcem</w:t>
      </w:r>
      <w:r w:rsidR="00B96730" w:rsidRPr="007D360D">
        <w:t>, přípa</w:t>
      </w:r>
      <w:r w:rsidR="0008084D" w:rsidRPr="007D360D">
        <w:t>dně nemožnost provozovat plnění</w:t>
      </w:r>
      <w:r w:rsidR="00B96730" w:rsidRPr="007D360D">
        <w:t xml:space="preserve"> podle dokumentovaných vlastností a postupů.</w:t>
      </w:r>
    </w:p>
    <w:p w14:paraId="5D140E62" w14:textId="77777777" w:rsidR="00624461" w:rsidRDefault="006C503E" w:rsidP="00624461">
      <w:pPr>
        <w:pStyle w:val="Nadpis1"/>
      </w:pPr>
      <w:r w:rsidRPr="00DE3065">
        <w:t>PŘEDMĚT SMLOUVY</w:t>
      </w:r>
    </w:p>
    <w:p w14:paraId="29785DF6" w14:textId="269C812B" w:rsidR="00E63C8C" w:rsidRPr="0075284F" w:rsidRDefault="00F73532" w:rsidP="00624461">
      <w:pPr>
        <w:pStyle w:val="Nadpis2"/>
      </w:pPr>
      <w:r w:rsidRPr="0075284F">
        <w:t xml:space="preserve">Předmětem této smlouvy je </w:t>
      </w:r>
      <w:r w:rsidR="00A25852" w:rsidRPr="0075284F">
        <w:t xml:space="preserve">závazek poskytovatele k poskytnutí licencí </w:t>
      </w:r>
      <w:r w:rsidR="0013308C" w:rsidRPr="0075284F">
        <w:t xml:space="preserve">operačního systému Linux </w:t>
      </w:r>
      <w:r w:rsidR="007A68F9" w:rsidRPr="0075284F">
        <w:t xml:space="preserve">pro platformy X86 a IBM Power a s nimi spojené produkty </w:t>
      </w:r>
      <w:r w:rsidR="00A25852" w:rsidRPr="0075284F">
        <w:t>a</w:t>
      </w:r>
      <w:r w:rsidR="007A68F9" w:rsidRPr="0075284F">
        <w:t xml:space="preserve"> poskytnutí</w:t>
      </w:r>
      <w:r w:rsidR="00A25852" w:rsidRPr="0075284F">
        <w:t xml:space="preserve"> podpory </w:t>
      </w:r>
      <w:r w:rsidR="0013308C" w:rsidRPr="0075284F">
        <w:t>dle</w:t>
      </w:r>
      <w:r w:rsidR="00230CF9" w:rsidRPr="0075284F">
        <w:t> </w:t>
      </w:r>
      <w:r w:rsidR="0013308C" w:rsidRPr="0075284F">
        <w:t xml:space="preserve">přílohy č. 1 </w:t>
      </w:r>
      <w:r w:rsidR="00162C12" w:rsidRPr="0075284F">
        <w:t>této smlouvy</w:t>
      </w:r>
      <w:r w:rsidR="004677D0" w:rsidRPr="0075284F">
        <w:t xml:space="preserve"> (dále také jen „</w:t>
      </w:r>
      <w:r w:rsidR="004677D0" w:rsidRPr="00624461">
        <w:rPr>
          <w:b/>
          <w:bCs/>
        </w:rPr>
        <w:t>plnění</w:t>
      </w:r>
      <w:r w:rsidR="004677D0" w:rsidRPr="0075284F">
        <w:t>“)</w:t>
      </w:r>
      <w:r w:rsidR="00B96730" w:rsidRPr="0075284F">
        <w:t>.</w:t>
      </w:r>
    </w:p>
    <w:p w14:paraId="09B96696" w14:textId="77777777" w:rsidR="00A54E07" w:rsidRPr="0075284F" w:rsidRDefault="00E63C8C" w:rsidP="009A190D">
      <w:pPr>
        <w:pStyle w:val="Nadpis2"/>
      </w:pPr>
      <w:r w:rsidRPr="0075284F">
        <w:t xml:space="preserve">Objednatel požaduje řešení jednoho výrobce linuxové distribuce pro </w:t>
      </w:r>
      <w:r w:rsidR="00A54E07" w:rsidRPr="0075284F">
        <w:t>platformy X86 a IBM Power.</w:t>
      </w:r>
    </w:p>
    <w:p w14:paraId="28A12F28" w14:textId="425C7161" w:rsidR="00A54E07" w:rsidRPr="0075284F" w:rsidRDefault="00B96730" w:rsidP="009A190D">
      <w:pPr>
        <w:pStyle w:val="Nadpis2"/>
      </w:pPr>
      <w:r w:rsidRPr="0075284F">
        <w:t xml:space="preserve">Poskytovatel poskytne </w:t>
      </w:r>
      <w:r w:rsidR="000E56BF">
        <w:t>plnění</w:t>
      </w:r>
      <w:r w:rsidR="00E03E93" w:rsidRPr="0075284F">
        <w:t xml:space="preserve"> </w:t>
      </w:r>
      <w:r w:rsidRPr="0075284F">
        <w:t>v rozsahu licenčních ujed</w:t>
      </w:r>
      <w:r w:rsidR="00E03E93" w:rsidRPr="0075284F">
        <w:t>nání, které jsou přílohou č. 2 této s</w:t>
      </w:r>
      <w:r w:rsidRPr="0075284F">
        <w:t>mlouvy.</w:t>
      </w:r>
    </w:p>
    <w:p w14:paraId="4A9AE0E1" w14:textId="77777777" w:rsidR="00F73532" w:rsidRPr="0075284F" w:rsidRDefault="00CE12D3" w:rsidP="009A190D">
      <w:pPr>
        <w:pStyle w:val="Nadpis2"/>
      </w:pPr>
      <w:r w:rsidRPr="0075284F">
        <w:t>Poskytovatel bude po dobu trvání této smlouvy poskytovat</w:t>
      </w:r>
      <w:r w:rsidR="00A25852" w:rsidRPr="0075284F">
        <w:t xml:space="preserve"> podporu </w:t>
      </w:r>
      <w:r w:rsidR="00105755" w:rsidRPr="0075284F">
        <w:t>plnění</w:t>
      </w:r>
      <w:r w:rsidR="00F73532" w:rsidRPr="0075284F">
        <w:t xml:space="preserve"> v</w:t>
      </w:r>
      <w:r w:rsidR="00A25852" w:rsidRPr="0075284F">
        <w:t xml:space="preserve"> následujícím </w:t>
      </w:r>
      <w:r w:rsidR="00F73532" w:rsidRPr="0075284F">
        <w:t>rozsahu:</w:t>
      </w:r>
    </w:p>
    <w:p w14:paraId="32B1FF4A" w14:textId="77777777" w:rsidR="00C75839" w:rsidRPr="009A190D" w:rsidRDefault="0058105A" w:rsidP="00645B08">
      <w:pPr>
        <w:pStyle w:val="Nadpis3"/>
      </w:pPr>
      <w:r w:rsidRPr="009A190D">
        <w:t>údržba plnění</w:t>
      </w:r>
      <w:r w:rsidR="00C75839" w:rsidRPr="009A190D">
        <w:t>;</w:t>
      </w:r>
    </w:p>
    <w:p w14:paraId="719B94C5" w14:textId="77777777" w:rsidR="00C75839" w:rsidRPr="00F73532" w:rsidRDefault="00C75839" w:rsidP="00645B08">
      <w:pPr>
        <w:pStyle w:val="Nadpis3"/>
      </w:pPr>
      <w:r w:rsidRPr="00F73532">
        <w:t xml:space="preserve">technická podpora na využívání </w:t>
      </w:r>
      <w:r w:rsidR="0058105A">
        <w:t>plnění</w:t>
      </w:r>
      <w:r w:rsidRPr="00F73532">
        <w:t xml:space="preserve"> s minimálními požadavky:</w:t>
      </w:r>
    </w:p>
    <w:p w14:paraId="78A73011" w14:textId="6CB1E94C" w:rsidR="00B96730" w:rsidRPr="009A190D" w:rsidRDefault="00B96730" w:rsidP="00645B08">
      <w:pPr>
        <w:pStyle w:val="Nadpis4"/>
      </w:pPr>
      <w:r w:rsidRPr="009A190D">
        <w:t>možnost bezplatného přístupu a oprávnění k p</w:t>
      </w:r>
      <w:r w:rsidR="00087C96" w:rsidRPr="009A190D">
        <w:t>oužívání Aktuální verze plnění a</w:t>
      </w:r>
      <w:r w:rsidR="0075284F" w:rsidRPr="009A190D">
        <w:t> </w:t>
      </w:r>
      <w:r w:rsidR="00087C96" w:rsidRPr="009A190D">
        <w:t>Opravné verze plnění</w:t>
      </w:r>
      <w:r w:rsidRPr="009A190D">
        <w:t>, včetně jejich aktualizace, budou-li nějaké dostupné;</w:t>
      </w:r>
    </w:p>
    <w:p w14:paraId="40EBE899" w14:textId="77777777" w:rsidR="00B96730" w:rsidRPr="009A190D" w:rsidRDefault="00B96730" w:rsidP="00645B08">
      <w:pPr>
        <w:pStyle w:val="Nadpis4"/>
      </w:pPr>
      <w:r w:rsidRPr="009A190D">
        <w:t>asistence prostřednictvím telefonu a (pokud je to možné) prostřednictvím elektronického příst</w:t>
      </w:r>
      <w:r w:rsidR="00CF6A02" w:rsidRPr="009A190D">
        <w:t xml:space="preserve">upu, a to po celou </w:t>
      </w:r>
      <w:r w:rsidRPr="009A190D">
        <w:t>dobu</w:t>
      </w:r>
      <w:r w:rsidR="00CF6A02" w:rsidRPr="009A190D">
        <w:t xml:space="preserve"> podpory plnění, týkající se provozu plnění</w:t>
      </w:r>
      <w:r w:rsidRPr="009A190D">
        <w:t xml:space="preserve">; zejm. týkající se chybového či nestandardního </w:t>
      </w:r>
      <w:r w:rsidR="00CF6A02" w:rsidRPr="009A190D">
        <w:t>stavu plnění;</w:t>
      </w:r>
    </w:p>
    <w:p w14:paraId="35470921" w14:textId="77777777" w:rsidR="00C75839" w:rsidRPr="009A190D" w:rsidRDefault="00C75839" w:rsidP="003B6C09">
      <w:pPr>
        <w:pStyle w:val="Nadpis4"/>
        <w:keepLines w:val="0"/>
      </w:pPr>
      <w:r w:rsidRPr="009A190D">
        <w:t>řešen</w:t>
      </w:r>
      <w:r w:rsidR="00162C12" w:rsidRPr="009A190D">
        <w:t>í Závad.</w:t>
      </w:r>
    </w:p>
    <w:p w14:paraId="0135FEC6" w14:textId="77777777" w:rsidR="00A54E07" w:rsidRDefault="00565AB6" w:rsidP="00DB7CFF">
      <w:pPr>
        <w:spacing w:before="120" w:after="120"/>
        <w:ind w:left="709"/>
        <w:jc w:val="both"/>
        <w:rPr>
          <w:rFonts w:cs="Arial"/>
        </w:rPr>
      </w:pPr>
      <w:r>
        <w:rPr>
          <w:rFonts w:cs="Arial"/>
        </w:rPr>
        <w:lastRenderedPageBreak/>
        <w:t xml:space="preserve">Požadavky </w:t>
      </w:r>
      <w:r w:rsidR="002A38B2">
        <w:rPr>
          <w:rFonts w:cs="Arial"/>
        </w:rPr>
        <w:t>objednatele na Standardní úroveň podpory nebo na Vysokou úroveň podpory jsou vymezeny v příloze č. 1 této smlouvy.</w:t>
      </w:r>
    </w:p>
    <w:p w14:paraId="0F7BA5DC" w14:textId="77777777" w:rsidR="00A54E07" w:rsidRPr="0086704B" w:rsidRDefault="00A54E07" w:rsidP="00440AE0">
      <w:pPr>
        <w:pStyle w:val="Nadpis2"/>
        <w:ind w:left="578" w:hanging="578"/>
        <w:rPr>
          <w:rFonts w:cs="Arial"/>
        </w:rPr>
      </w:pPr>
      <w:r w:rsidRPr="0086704B">
        <w:rPr>
          <w:rFonts w:cs="Arial"/>
        </w:rPr>
        <w:t>Po</w:t>
      </w:r>
      <w:r w:rsidR="000B7B1B" w:rsidRPr="0086704B">
        <w:rPr>
          <w:rFonts w:cs="Arial"/>
        </w:rPr>
        <w:t>dpora k plnění musí být poskytována přímo výrobcem prostřednictvím zákaznického portálu výrobce distribuce, nikoliv prostřednictvím poskytovatele</w:t>
      </w:r>
      <w:r w:rsidR="00267FAA" w:rsidRPr="0086704B">
        <w:rPr>
          <w:rFonts w:cs="Arial"/>
        </w:rPr>
        <w:t xml:space="preserve"> či třetí osoby.</w:t>
      </w:r>
    </w:p>
    <w:p w14:paraId="070BD400" w14:textId="77777777" w:rsidR="008149EC" w:rsidRPr="0086704B" w:rsidRDefault="00A25852" w:rsidP="00C96F8E">
      <w:pPr>
        <w:pStyle w:val="Nadpis2"/>
        <w:ind w:left="578" w:hanging="578"/>
        <w:rPr>
          <w:rFonts w:cs="Arial"/>
          <w:szCs w:val="18"/>
        </w:rPr>
      </w:pPr>
      <w:r w:rsidRPr="0086704B">
        <w:rPr>
          <w:rFonts w:cs="Arial"/>
        </w:rPr>
        <w:t>Poskytnutí plnění</w:t>
      </w:r>
      <w:r w:rsidR="00B95567" w:rsidRPr="0086704B">
        <w:rPr>
          <w:rFonts w:cs="Arial"/>
        </w:rPr>
        <w:t xml:space="preserve"> bude bez faktických a právních vad. </w:t>
      </w:r>
    </w:p>
    <w:p w14:paraId="6BD0BAFF" w14:textId="4144ED4F" w:rsidR="00AF321F" w:rsidRPr="0086704B" w:rsidRDefault="00162C12" w:rsidP="00F16DBE">
      <w:pPr>
        <w:pStyle w:val="Nadpis2"/>
        <w:ind w:left="578" w:hanging="578"/>
        <w:rPr>
          <w:rFonts w:cs="Arial"/>
          <w:szCs w:val="18"/>
        </w:rPr>
      </w:pPr>
      <w:r w:rsidRPr="0086704B">
        <w:rPr>
          <w:rFonts w:cs="Arial"/>
        </w:rPr>
        <w:t>Objednatel se zavazuje řádně a včas poskytnut</w:t>
      </w:r>
      <w:r w:rsidR="00631CF1" w:rsidRPr="0086704B">
        <w:rPr>
          <w:rFonts w:cs="Arial"/>
        </w:rPr>
        <w:t xml:space="preserve">é plnění </w:t>
      </w:r>
      <w:r w:rsidRPr="0086704B">
        <w:rPr>
          <w:rFonts w:cs="Arial"/>
        </w:rPr>
        <w:t>převzít a zaplatit poskytovateli za</w:t>
      </w:r>
      <w:r w:rsidR="00230CF9">
        <w:rPr>
          <w:rFonts w:cs="Arial"/>
        </w:rPr>
        <w:t> </w:t>
      </w:r>
      <w:r w:rsidRPr="0086704B">
        <w:rPr>
          <w:rFonts w:cs="Arial"/>
        </w:rPr>
        <w:t xml:space="preserve">tento </w:t>
      </w:r>
      <w:r w:rsidR="00631CF1" w:rsidRPr="0086704B">
        <w:rPr>
          <w:rFonts w:cs="Arial"/>
        </w:rPr>
        <w:t xml:space="preserve">řádně a včas poskytnuté </w:t>
      </w:r>
      <w:r w:rsidRPr="0086704B">
        <w:rPr>
          <w:rFonts w:cs="Arial"/>
        </w:rPr>
        <w:t xml:space="preserve">plnění sjednanou cenu. </w:t>
      </w:r>
    </w:p>
    <w:p w14:paraId="5D1189AA" w14:textId="77777777" w:rsidR="00624461" w:rsidRDefault="00DE3065" w:rsidP="00624461">
      <w:pPr>
        <w:pStyle w:val="Nadpis1"/>
      </w:pPr>
      <w:r w:rsidRPr="00DE3065">
        <w:t>MÍSTO A TERMÍN PLNĚNÍ</w:t>
      </w:r>
    </w:p>
    <w:p w14:paraId="191D1E9A" w14:textId="695E2DD7" w:rsidR="00175985" w:rsidRPr="00D72186" w:rsidRDefault="00BC58A6" w:rsidP="00624461">
      <w:pPr>
        <w:pStyle w:val="Nadpis2"/>
      </w:pPr>
      <w:r w:rsidRPr="00D72186">
        <w:t>Místem plnění je sídlo o</w:t>
      </w:r>
      <w:r w:rsidR="00162C12" w:rsidRPr="00D72186">
        <w:t>bjednatele – Státní pokladna C</w:t>
      </w:r>
      <w:r w:rsidR="00B95567" w:rsidRPr="00D72186">
        <w:t>entrum sdílených služeb</w:t>
      </w:r>
      <w:r w:rsidR="00162C12" w:rsidRPr="00D72186">
        <w:t>, s. p., Na</w:t>
      </w:r>
      <w:r w:rsidR="00FC1E61" w:rsidRPr="00D72186">
        <w:t> </w:t>
      </w:r>
      <w:r w:rsidR="00162C12" w:rsidRPr="00D72186">
        <w:t xml:space="preserve">Vápence </w:t>
      </w:r>
      <w:r w:rsidR="00B95567" w:rsidRPr="00D72186">
        <w:t>915</w:t>
      </w:r>
      <w:r w:rsidR="00162C12" w:rsidRPr="00D72186">
        <w:t>/</w:t>
      </w:r>
      <w:r w:rsidR="0046275F" w:rsidRPr="00D72186">
        <w:t>14, Žižkov</w:t>
      </w:r>
      <w:r w:rsidR="00B95567" w:rsidRPr="00D72186">
        <w:t xml:space="preserve">, 130 </w:t>
      </w:r>
      <w:r w:rsidR="00230CF9" w:rsidRPr="00D72186">
        <w:t>00 Praha</w:t>
      </w:r>
      <w:r w:rsidR="00B95567" w:rsidRPr="00D72186">
        <w:t xml:space="preserve"> 3.</w:t>
      </w:r>
      <w:r w:rsidR="00B96730" w:rsidRPr="00D72186">
        <w:t xml:space="preserve"> Podpor</w:t>
      </w:r>
      <w:r w:rsidR="00FB0FED" w:rsidRPr="00D72186">
        <w:t>u plnění je možné</w:t>
      </w:r>
      <w:r w:rsidR="00B96730" w:rsidRPr="00D72186">
        <w:t xml:space="preserve"> poskytov</w:t>
      </w:r>
      <w:r w:rsidR="00FB0FED" w:rsidRPr="00D72186">
        <w:t xml:space="preserve">at </w:t>
      </w:r>
      <w:r w:rsidR="00B96730" w:rsidRPr="00D72186">
        <w:t>s využitím vzdáleného přístupu.</w:t>
      </w:r>
    </w:p>
    <w:p w14:paraId="0D2BBA63" w14:textId="2B3D144D" w:rsidR="006C503E" w:rsidRDefault="000E56BF" w:rsidP="009A190D">
      <w:pPr>
        <w:pStyle w:val="Nadpis2"/>
      </w:pPr>
      <w:r w:rsidRPr="00873C26">
        <w:t xml:space="preserve">Poskytovatel se zavazuje poskytovat plnění po dobu </w:t>
      </w:r>
      <w:r w:rsidR="00B61610" w:rsidRPr="00873C26">
        <w:t>trvání plnění</w:t>
      </w:r>
      <w:r w:rsidRPr="00873C26">
        <w:t xml:space="preserve"> uveden</w:t>
      </w:r>
      <w:r w:rsidR="00B61610" w:rsidRPr="00873C26">
        <w:t>ou</w:t>
      </w:r>
      <w:r w:rsidRPr="00873C26">
        <w:t xml:space="preserve"> níže v tabulce pro</w:t>
      </w:r>
      <w:r w:rsidR="00564749">
        <w:t> </w:t>
      </w:r>
      <w:r w:rsidRPr="00873C26">
        <w:t>jednotlivé typy položek:</w:t>
      </w:r>
    </w:p>
    <w:tbl>
      <w:tblPr>
        <w:tblW w:w="4711" w:type="pct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992"/>
        <w:gridCol w:w="2835"/>
      </w:tblGrid>
      <w:tr w:rsidR="005D32BA" w:rsidRPr="00104085" w14:paraId="69A2F8CF" w14:textId="77777777" w:rsidTr="008D7051">
        <w:trPr>
          <w:trHeight w:val="3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9BE918" w14:textId="3E4B4F25" w:rsidR="005D32BA" w:rsidRPr="00104085" w:rsidRDefault="005D32BA" w:rsidP="00850B74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18"/>
                <w:lang w:eastAsia="cs-CZ"/>
              </w:rPr>
            </w:pPr>
            <w:r w:rsidRPr="009A190D">
              <w:rPr>
                <w:rFonts w:cs="Arial"/>
                <w:b/>
                <w:szCs w:val="18"/>
              </w:rPr>
              <w:t>Položka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84A34DB" w14:textId="77777777" w:rsidR="005D32BA" w:rsidRPr="00104085" w:rsidRDefault="005D32BA" w:rsidP="00850B74">
            <w:pPr>
              <w:spacing w:before="120" w:after="120" w:line="240" w:lineRule="auto"/>
              <w:jc w:val="center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104085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Počet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55504B9" w14:textId="1AAE7C09" w:rsidR="005D32BA" w:rsidRPr="00104085" w:rsidRDefault="005D32BA" w:rsidP="00850B74">
            <w:pPr>
              <w:spacing w:before="120" w:after="120" w:line="240" w:lineRule="auto"/>
              <w:jc w:val="center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6B44D4">
              <w:rPr>
                <w:rFonts w:cs="Arial"/>
                <w:b/>
                <w:szCs w:val="18"/>
              </w:rPr>
              <w:t>Doba trvání plnění</w:t>
            </w:r>
          </w:p>
        </w:tc>
      </w:tr>
      <w:tr w:rsidR="005D32BA" w:rsidRPr="00760AF5" w14:paraId="0FDA1E14" w14:textId="77777777" w:rsidTr="008D7051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0019B" w14:textId="23A00409" w:rsidR="005D32BA" w:rsidRPr="007E0270" w:rsidRDefault="005D32BA" w:rsidP="005A5EC5">
            <w:pPr>
              <w:spacing w:after="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7E0270">
              <w:rPr>
                <w:rFonts w:eastAsia="Times New Roman" w:cs="Calibri"/>
                <w:color w:val="000000"/>
                <w:szCs w:val="18"/>
                <w:lang w:eastAsia="cs-CZ"/>
              </w:rPr>
              <w:t>RH00002, Red Hat Enterprise Linux for Virtual Datacenters, Standard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A5A12" w14:textId="167EBFE6" w:rsidR="005D32BA" w:rsidRPr="007E0270" w:rsidRDefault="005D32BA" w:rsidP="0056474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7E0270">
              <w:rPr>
                <w:rFonts w:eastAsia="Times New Roman" w:cs="Calibri"/>
                <w:color w:val="000000"/>
                <w:szCs w:val="18"/>
                <w:lang w:eastAsia="cs-CZ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9746F" w14:textId="4253B101" w:rsidR="005D32BA" w:rsidRPr="007E0270" w:rsidRDefault="005D32BA" w:rsidP="00D7218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7E0270">
              <w:rPr>
                <w:rFonts w:eastAsia="Times New Roman" w:cs="Calibri"/>
                <w:color w:val="000000"/>
                <w:szCs w:val="18"/>
                <w:lang w:eastAsia="cs-CZ"/>
              </w:rPr>
              <w:t>1. 1. 2026 včetně -</w:t>
            </w:r>
          </w:p>
          <w:p w14:paraId="524DDB12" w14:textId="7BB74FB4" w:rsidR="005D32BA" w:rsidRPr="007E0270" w:rsidRDefault="005D32BA" w:rsidP="00D7218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7E0270">
              <w:rPr>
                <w:rFonts w:eastAsia="Times New Roman" w:cs="Calibri"/>
                <w:color w:val="000000"/>
                <w:szCs w:val="18"/>
                <w:lang w:eastAsia="cs-CZ"/>
              </w:rPr>
              <w:t>31.</w:t>
            </w:r>
            <w:r w:rsidR="006D7917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</w:t>
            </w:r>
            <w:r w:rsidRPr="007E0270">
              <w:rPr>
                <w:rFonts w:eastAsia="Times New Roman" w:cs="Calibri"/>
                <w:color w:val="000000"/>
                <w:szCs w:val="18"/>
                <w:lang w:eastAsia="cs-CZ"/>
              </w:rPr>
              <w:t>12.</w:t>
            </w:r>
            <w:r w:rsidR="006D7917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</w:t>
            </w:r>
            <w:r w:rsidRPr="007E0270">
              <w:rPr>
                <w:rFonts w:eastAsia="Times New Roman" w:cs="Calibri"/>
                <w:color w:val="000000"/>
                <w:szCs w:val="18"/>
                <w:lang w:eastAsia="cs-CZ"/>
              </w:rPr>
              <w:t>2026 včetně</w:t>
            </w:r>
          </w:p>
        </w:tc>
      </w:tr>
      <w:tr w:rsidR="005D32BA" w:rsidRPr="00760AF5" w14:paraId="0A12510A" w14:textId="77777777" w:rsidTr="008D7051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36BE5" w14:textId="01D87919" w:rsidR="005D32BA" w:rsidRPr="007E0270" w:rsidRDefault="005D32BA" w:rsidP="005A5EC5">
            <w:pPr>
              <w:spacing w:after="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7E0270">
              <w:rPr>
                <w:rFonts w:eastAsia="Times New Roman" w:cs="Calibri"/>
                <w:color w:val="000000"/>
                <w:szCs w:val="18"/>
                <w:lang w:eastAsia="cs-CZ"/>
              </w:rPr>
              <w:t>RH00004, Red Hat Enterprise Linux Server, Standard (Physical or Virtual Nodes)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EFE6A" w14:textId="3492BC84" w:rsidR="005D32BA" w:rsidRPr="007E0270" w:rsidRDefault="0054017A" w:rsidP="0056474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7E0270">
              <w:rPr>
                <w:rFonts w:eastAsia="Times New Roman" w:cs="Calibri"/>
                <w:color w:val="000000"/>
                <w:szCs w:val="18"/>
                <w:lang w:eastAsia="cs-CZ"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24A0F" w14:textId="7EFA84FA" w:rsidR="005D32BA" w:rsidRPr="007E0270" w:rsidRDefault="005D32BA" w:rsidP="004647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7E0270">
              <w:rPr>
                <w:rFonts w:eastAsia="Times New Roman" w:cs="Calibri"/>
                <w:color w:val="000000"/>
                <w:szCs w:val="18"/>
                <w:lang w:eastAsia="cs-CZ"/>
              </w:rPr>
              <w:t>1. 1. 2026 včetně -</w:t>
            </w:r>
          </w:p>
          <w:p w14:paraId="38C21E54" w14:textId="50F33422" w:rsidR="005D32BA" w:rsidRPr="007E0270" w:rsidRDefault="005D32BA" w:rsidP="004647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7E0270">
              <w:rPr>
                <w:rFonts w:eastAsia="Times New Roman" w:cs="Calibri"/>
                <w:color w:val="000000"/>
                <w:szCs w:val="18"/>
                <w:lang w:eastAsia="cs-CZ"/>
              </w:rPr>
              <w:t>31.</w:t>
            </w:r>
            <w:r w:rsidR="006D7917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</w:t>
            </w:r>
            <w:r w:rsidRPr="007E0270">
              <w:rPr>
                <w:rFonts w:eastAsia="Times New Roman" w:cs="Calibri"/>
                <w:color w:val="000000"/>
                <w:szCs w:val="18"/>
                <w:lang w:eastAsia="cs-CZ"/>
              </w:rPr>
              <w:t>12.</w:t>
            </w:r>
            <w:r w:rsidR="006D7917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</w:t>
            </w:r>
            <w:r w:rsidRPr="007E0270">
              <w:rPr>
                <w:rFonts w:eastAsia="Times New Roman" w:cs="Calibri"/>
                <w:color w:val="000000"/>
                <w:szCs w:val="18"/>
                <w:lang w:eastAsia="cs-CZ"/>
              </w:rPr>
              <w:t>2026 včetně</w:t>
            </w:r>
          </w:p>
        </w:tc>
      </w:tr>
      <w:tr w:rsidR="005D32BA" w:rsidRPr="00760AF5" w14:paraId="3D016C56" w14:textId="77777777" w:rsidTr="005440DA">
        <w:trPr>
          <w:trHeight w:val="629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0A541" w14:textId="0A7BB647" w:rsidR="005D32BA" w:rsidRPr="007E0270" w:rsidRDefault="005D32BA" w:rsidP="00C03CA0">
            <w:pPr>
              <w:spacing w:after="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7E0270">
              <w:rPr>
                <w:rFonts w:eastAsia="Times New Roman" w:cs="Calibri"/>
                <w:color w:val="000000"/>
                <w:szCs w:val="18"/>
                <w:lang w:eastAsia="cs-CZ"/>
              </w:rPr>
              <w:t>RH00760, Red Hat Enterprise Linux for SAP Solutions for IBM Power, LE, Standard (4 Cores, Up to 4 LPARs)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08D1A" w14:textId="440A0917" w:rsidR="005D32BA" w:rsidRPr="007E0270" w:rsidRDefault="005D32BA" w:rsidP="00C03C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7E0270">
              <w:rPr>
                <w:rFonts w:eastAsia="Times New Roman" w:cs="Calibri"/>
                <w:color w:val="000000"/>
                <w:szCs w:val="18"/>
                <w:lang w:eastAsia="cs-CZ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4A1D7" w14:textId="0AFA23A8" w:rsidR="005D32BA" w:rsidRPr="007E0270" w:rsidRDefault="005D32BA" w:rsidP="00C03C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7E0270">
              <w:rPr>
                <w:rFonts w:eastAsia="Times New Roman" w:cs="Calibri"/>
                <w:color w:val="000000"/>
                <w:szCs w:val="18"/>
                <w:lang w:eastAsia="cs-CZ"/>
              </w:rPr>
              <w:t>1. 1. 2026 včetně -</w:t>
            </w:r>
          </w:p>
          <w:p w14:paraId="42AE8A6E" w14:textId="064F5FC6" w:rsidR="005D32BA" w:rsidRPr="007E0270" w:rsidRDefault="005D32BA" w:rsidP="00C03C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7E0270">
              <w:rPr>
                <w:rFonts w:eastAsia="Times New Roman" w:cs="Calibri"/>
                <w:color w:val="000000"/>
                <w:szCs w:val="18"/>
                <w:lang w:eastAsia="cs-CZ"/>
              </w:rPr>
              <w:t>31.</w:t>
            </w:r>
            <w:r w:rsidR="006D7917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</w:t>
            </w:r>
            <w:r w:rsidRPr="007E0270">
              <w:rPr>
                <w:rFonts w:eastAsia="Times New Roman" w:cs="Calibri"/>
                <w:color w:val="000000"/>
                <w:szCs w:val="18"/>
                <w:lang w:eastAsia="cs-CZ"/>
              </w:rPr>
              <w:t>12.</w:t>
            </w:r>
            <w:r w:rsidR="006D7917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</w:t>
            </w:r>
            <w:r w:rsidRPr="007E0270">
              <w:rPr>
                <w:rFonts w:eastAsia="Times New Roman" w:cs="Calibri"/>
                <w:color w:val="000000"/>
                <w:szCs w:val="18"/>
                <w:lang w:eastAsia="cs-CZ"/>
              </w:rPr>
              <w:t>2026 včetně</w:t>
            </w:r>
          </w:p>
        </w:tc>
      </w:tr>
      <w:tr w:rsidR="005D32BA" w:rsidRPr="00760AF5" w14:paraId="2E28EAFD" w14:textId="77777777" w:rsidTr="005440DA">
        <w:trPr>
          <w:trHeight w:val="681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5F8EE" w14:textId="08B60028" w:rsidR="005D32BA" w:rsidRPr="007E0270" w:rsidRDefault="005D32BA" w:rsidP="00C03CA0">
            <w:pPr>
              <w:spacing w:after="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7E0270">
              <w:rPr>
                <w:rFonts w:eastAsia="Times New Roman" w:cs="Calibri"/>
                <w:color w:val="000000"/>
                <w:szCs w:val="18"/>
                <w:lang w:eastAsia="cs-CZ"/>
              </w:rPr>
              <w:t>RH01911, Red Hat Enterprise Linux for IBM Power, LE, Standard (Physical or Virtual Nodes)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BAC8F" w14:textId="0F60B267" w:rsidR="005D32BA" w:rsidRPr="007E0270" w:rsidRDefault="00F469B8" w:rsidP="00C03C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lang w:eastAsia="cs-CZ"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2D7EA" w14:textId="7FEC166F" w:rsidR="005D32BA" w:rsidRPr="007E0270" w:rsidRDefault="005D32BA" w:rsidP="00C03C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7E0270">
              <w:rPr>
                <w:rFonts w:eastAsia="Times New Roman" w:cs="Calibri"/>
                <w:color w:val="000000"/>
                <w:szCs w:val="18"/>
                <w:lang w:eastAsia="cs-CZ"/>
              </w:rPr>
              <w:t>1. 1. 2026 včetně -</w:t>
            </w:r>
          </w:p>
          <w:p w14:paraId="5C6873A2" w14:textId="321DE0CF" w:rsidR="005D32BA" w:rsidRPr="007E0270" w:rsidRDefault="005D32BA" w:rsidP="00C03C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7E0270">
              <w:rPr>
                <w:rFonts w:eastAsia="Times New Roman" w:cs="Calibri"/>
                <w:color w:val="000000"/>
                <w:szCs w:val="18"/>
                <w:lang w:eastAsia="cs-CZ"/>
              </w:rPr>
              <w:t>31.</w:t>
            </w:r>
            <w:r w:rsidR="006D7917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</w:t>
            </w:r>
            <w:r w:rsidRPr="007E0270">
              <w:rPr>
                <w:rFonts w:eastAsia="Times New Roman" w:cs="Calibri"/>
                <w:color w:val="000000"/>
                <w:szCs w:val="18"/>
                <w:lang w:eastAsia="cs-CZ"/>
              </w:rPr>
              <w:t>12.</w:t>
            </w:r>
            <w:r w:rsidR="006D7917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</w:t>
            </w:r>
            <w:r w:rsidRPr="007E0270">
              <w:rPr>
                <w:rFonts w:eastAsia="Times New Roman" w:cs="Calibri"/>
                <w:color w:val="000000"/>
                <w:szCs w:val="18"/>
                <w:lang w:eastAsia="cs-CZ"/>
              </w:rPr>
              <w:t>2026 včetně</w:t>
            </w:r>
          </w:p>
        </w:tc>
      </w:tr>
    </w:tbl>
    <w:p w14:paraId="30F77AD0" w14:textId="77777777" w:rsidR="00624461" w:rsidRDefault="006C503E" w:rsidP="00BF426C">
      <w:pPr>
        <w:pStyle w:val="Nadpis1"/>
        <w:keepLines/>
      </w:pPr>
      <w:r w:rsidRPr="00175985">
        <w:t>cena a platební podmínky</w:t>
      </w:r>
    </w:p>
    <w:p w14:paraId="715201C1" w14:textId="5475D94B" w:rsidR="00175985" w:rsidRDefault="00B95567" w:rsidP="00624461">
      <w:pPr>
        <w:pStyle w:val="Nadpis2"/>
      </w:pPr>
      <w:r w:rsidRPr="00175985">
        <w:t xml:space="preserve">Celková cena </w:t>
      </w:r>
      <w:r w:rsidR="00162C12" w:rsidRPr="00175985">
        <w:t>předmětu plnění</w:t>
      </w:r>
      <w:r w:rsidRPr="00175985">
        <w:t xml:space="preserve"> činí </w:t>
      </w:r>
      <w:bookmarkStart w:id="0" w:name="_Hlk508189995"/>
      <w:r w:rsidR="006C503E" w:rsidRPr="00175985">
        <w:t>[</w:t>
      </w:r>
      <w:r w:rsidR="00A52737">
        <w:rPr>
          <w:highlight w:val="yellow"/>
        </w:rPr>
        <w:t>DOPLNÍ DODAVATEL</w:t>
      </w:r>
      <w:r w:rsidR="006C503E" w:rsidRPr="00175985">
        <w:t>]</w:t>
      </w:r>
      <w:r w:rsidR="00BC58A6" w:rsidRPr="00175985">
        <w:t xml:space="preserve"> </w:t>
      </w:r>
      <w:bookmarkEnd w:id="0"/>
      <w:r w:rsidR="00BC58A6" w:rsidRPr="00175985">
        <w:t xml:space="preserve">Kč bez DPH. </w:t>
      </w:r>
      <w:r w:rsidR="00162C12" w:rsidRPr="00175985">
        <w:t>Celková cena byla stano</w:t>
      </w:r>
      <w:r w:rsidR="00C97BA2" w:rsidRPr="00175985">
        <w:t>vena na základě cenové nabídky p</w:t>
      </w:r>
      <w:r w:rsidR="00162C12" w:rsidRPr="00175985">
        <w:t>oskytovatele podané v rámci veřejné zakázky</w:t>
      </w:r>
      <w:r w:rsidR="00C31D09">
        <w:t xml:space="preserve"> a je tvořena následujícími položkami:</w:t>
      </w:r>
    </w:p>
    <w:tbl>
      <w:tblPr>
        <w:tblW w:w="4733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1985"/>
        <w:gridCol w:w="1559"/>
        <w:gridCol w:w="2031"/>
      </w:tblGrid>
      <w:tr w:rsidR="005A5EC5" w:rsidRPr="0095116E" w14:paraId="563F5F79" w14:textId="77777777" w:rsidTr="00F469B8">
        <w:trPr>
          <w:trHeight w:val="900"/>
          <w:tblHeader/>
          <w:jc w:val="right"/>
        </w:trPr>
        <w:tc>
          <w:tcPr>
            <w:tcW w:w="3539" w:type="dxa"/>
            <w:shd w:val="clear" w:color="auto" w:fill="D9D9D9" w:themeFill="background1" w:themeFillShade="D9"/>
            <w:vAlign w:val="center"/>
            <w:hideMark/>
          </w:tcPr>
          <w:p w14:paraId="0571916F" w14:textId="3AE8E672" w:rsidR="005A5EC5" w:rsidRPr="0095116E" w:rsidRDefault="00362EF3" w:rsidP="00D72186">
            <w:pPr>
              <w:keepNext/>
              <w:keepLines/>
              <w:spacing w:before="60" w:after="60" w:line="240" w:lineRule="auto"/>
              <w:jc w:val="center"/>
              <w:rPr>
                <w:b/>
                <w:bCs/>
                <w:color w:val="000000"/>
                <w:szCs w:val="18"/>
              </w:rPr>
            </w:pPr>
            <w:r w:rsidRPr="009A190D">
              <w:rPr>
                <w:rFonts w:cs="Arial"/>
                <w:b/>
                <w:szCs w:val="18"/>
              </w:rPr>
              <w:t>Položka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  <w:hideMark/>
          </w:tcPr>
          <w:p w14:paraId="70E4F4C4" w14:textId="77777777" w:rsidR="005A5EC5" w:rsidRPr="0095116E" w:rsidRDefault="005A5EC5" w:rsidP="00D72186">
            <w:pPr>
              <w:keepNext/>
              <w:keepLines/>
              <w:spacing w:before="60" w:after="60" w:line="240" w:lineRule="auto"/>
              <w:jc w:val="center"/>
              <w:rPr>
                <w:rFonts w:cs="Calibri"/>
                <w:b/>
                <w:bCs/>
                <w:color w:val="000000"/>
                <w:szCs w:val="18"/>
              </w:rPr>
            </w:pPr>
            <w:r w:rsidRPr="0095116E">
              <w:rPr>
                <w:rFonts w:cs="Calibri"/>
                <w:b/>
                <w:bCs/>
                <w:color w:val="000000"/>
                <w:szCs w:val="18"/>
              </w:rPr>
              <w:t>Cena za 1 licenci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  <w:hideMark/>
          </w:tcPr>
          <w:p w14:paraId="1A8F045D" w14:textId="77777777" w:rsidR="005A5EC5" w:rsidRPr="0095116E" w:rsidRDefault="005A5EC5" w:rsidP="00D72186">
            <w:pPr>
              <w:keepNext/>
              <w:keepLines/>
              <w:spacing w:before="60" w:after="60" w:line="240" w:lineRule="auto"/>
              <w:jc w:val="center"/>
              <w:rPr>
                <w:rFonts w:cs="Calibri"/>
                <w:b/>
                <w:bCs/>
                <w:color w:val="000000"/>
                <w:szCs w:val="18"/>
              </w:rPr>
            </w:pPr>
            <w:r w:rsidRPr="0095116E">
              <w:rPr>
                <w:rFonts w:cs="Calibri"/>
                <w:b/>
                <w:bCs/>
                <w:color w:val="000000"/>
                <w:szCs w:val="18"/>
              </w:rPr>
              <w:t>Požadovaný počet licencí</w:t>
            </w:r>
          </w:p>
        </w:tc>
        <w:tc>
          <w:tcPr>
            <w:tcW w:w="2031" w:type="dxa"/>
            <w:shd w:val="clear" w:color="auto" w:fill="D9D9D9" w:themeFill="background1" w:themeFillShade="D9"/>
            <w:vAlign w:val="center"/>
            <w:hideMark/>
          </w:tcPr>
          <w:p w14:paraId="7BA724E5" w14:textId="77777777" w:rsidR="005A5EC5" w:rsidRPr="0095116E" w:rsidRDefault="005A5EC5" w:rsidP="00D72186">
            <w:pPr>
              <w:keepNext/>
              <w:keepLines/>
              <w:spacing w:before="60" w:after="60" w:line="240" w:lineRule="auto"/>
              <w:jc w:val="center"/>
              <w:rPr>
                <w:rFonts w:cs="Calibri"/>
                <w:b/>
                <w:bCs/>
                <w:color w:val="000000"/>
                <w:szCs w:val="18"/>
              </w:rPr>
            </w:pPr>
            <w:r w:rsidRPr="0095116E">
              <w:rPr>
                <w:rFonts w:cs="Calibri"/>
                <w:b/>
                <w:bCs/>
                <w:color w:val="000000"/>
                <w:szCs w:val="18"/>
              </w:rPr>
              <w:t>Cena za požadovaný počet licencí</w:t>
            </w:r>
          </w:p>
        </w:tc>
      </w:tr>
      <w:tr w:rsidR="00E619B4" w:rsidRPr="0095116E" w14:paraId="7C9D39C4" w14:textId="77777777" w:rsidTr="00F469B8">
        <w:trPr>
          <w:trHeight w:val="813"/>
          <w:jc w:val="right"/>
        </w:trPr>
        <w:tc>
          <w:tcPr>
            <w:tcW w:w="3539" w:type="dxa"/>
            <w:vAlign w:val="center"/>
            <w:hideMark/>
          </w:tcPr>
          <w:p w14:paraId="583E8F94" w14:textId="169406C3" w:rsidR="00E619B4" w:rsidRPr="00C85CAD" w:rsidRDefault="00E619B4" w:rsidP="00C85CAD">
            <w:pPr>
              <w:spacing w:after="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A20CA0">
              <w:rPr>
                <w:rFonts w:eastAsia="Times New Roman" w:cs="Calibri"/>
                <w:color w:val="000000"/>
                <w:szCs w:val="18"/>
                <w:lang w:eastAsia="cs-CZ"/>
              </w:rPr>
              <w:t>RH00002, Red Hat Enterprise Linux for Virtual Datacenters, Standard</w:t>
            </w:r>
            <w:r w:rsidRPr="00A20CA0">
              <w:rPr>
                <w:rFonts w:eastAsia="Times New Roman" w:cs="Calibri"/>
                <w:color w:val="000000"/>
                <w:szCs w:val="18"/>
                <w:lang w:eastAsia="cs-CZ"/>
              </w:rPr>
              <w:br/>
              <w:t>1. 1. 202</w:t>
            </w:r>
            <w:r w:rsidR="00375B12" w:rsidRPr="00A20CA0">
              <w:rPr>
                <w:rFonts w:eastAsia="Times New Roman" w:cs="Calibri"/>
                <w:color w:val="000000"/>
                <w:szCs w:val="18"/>
                <w:lang w:eastAsia="cs-CZ"/>
              </w:rPr>
              <w:t>6</w:t>
            </w:r>
            <w:r w:rsidRPr="00A20CA0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-</w:t>
            </w:r>
            <w:r w:rsidR="00C85CAD" w:rsidRPr="00A20CA0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</w:t>
            </w:r>
            <w:r w:rsidRPr="00A20CA0">
              <w:rPr>
                <w:rFonts w:eastAsia="Times New Roman" w:cs="Calibri"/>
                <w:color w:val="000000"/>
                <w:szCs w:val="18"/>
                <w:lang w:eastAsia="cs-CZ"/>
              </w:rPr>
              <w:t>31.</w:t>
            </w:r>
            <w:r w:rsidR="00A97947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</w:t>
            </w:r>
            <w:r w:rsidRPr="00A20CA0">
              <w:rPr>
                <w:rFonts w:eastAsia="Times New Roman" w:cs="Calibri"/>
                <w:color w:val="000000"/>
                <w:szCs w:val="18"/>
                <w:lang w:eastAsia="cs-CZ"/>
              </w:rPr>
              <w:t>12.</w:t>
            </w:r>
            <w:r w:rsidR="00A97947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</w:t>
            </w:r>
            <w:r w:rsidRPr="00A20CA0">
              <w:rPr>
                <w:rFonts w:eastAsia="Times New Roman" w:cs="Calibri"/>
                <w:color w:val="000000"/>
                <w:szCs w:val="18"/>
                <w:lang w:eastAsia="cs-CZ"/>
              </w:rPr>
              <w:t>202</w:t>
            </w:r>
            <w:r w:rsidR="00375B12" w:rsidRPr="00A20CA0">
              <w:rPr>
                <w:rFonts w:eastAsia="Times New Roman" w:cs="Calibri"/>
                <w:color w:val="000000"/>
                <w:szCs w:val="18"/>
                <w:lang w:eastAsia="cs-CZ"/>
              </w:rPr>
              <w:t>6</w:t>
            </w:r>
          </w:p>
        </w:tc>
        <w:tc>
          <w:tcPr>
            <w:tcW w:w="1985" w:type="dxa"/>
            <w:noWrap/>
            <w:vAlign w:val="center"/>
            <w:hideMark/>
          </w:tcPr>
          <w:p w14:paraId="73170CCF" w14:textId="347D53FB" w:rsidR="00E619B4" w:rsidRPr="0095116E" w:rsidRDefault="00E619B4" w:rsidP="00E619B4">
            <w:pPr>
              <w:keepNext/>
              <w:keepLines/>
              <w:spacing w:before="60" w:after="60" w:line="240" w:lineRule="auto"/>
              <w:jc w:val="right"/>
              <w:rPr>
                <w:rFonts w:cs="Calibri"/>
                <w:color w:val="000000"/>
                <w:szCs w:val="18"/>
              </w:rPr>
            </w:pPr>
            <w:r w:rsidRPr="00B65910">
              <w:t>[</w:t>
            </w:r>
            <w:r>
              <w:rPr>
                <w:highlight w:val="yellow"/>
              </w:rPr>
              <w:t>DOPLNÍ DODAVATEL</w:t>
            </w:r>
            <w:r w:rsidRPr="00B65910">
              <w:t>]</w:t>
            </w:r>
          </w:p>
        </w:tc>
        <w:tc>
          <w:tcPr>
            <w:tcW w:w="1559" w:type="dxa"/>
            <w:noWrap/>
            <w:vAlign w:val="center"/>
            <w:hideMark/>
          </w:tcPr>
          <w:p w14:paraId="56535E8E" w14:textId="01F1A182" w:rsidR="00E619B4" w:rsidRPr="0095116E" w:rsidRDefault="00D26461" w:rsidP="00E619B4">
            <w:pPr>
              <w:keepNext/>
              <w:keepLines/>
              <w:spacing w:before="60" w:after="60" w:line="240" w:lineRule="auto"/>
              <w:jc w:val="center"/>
              <w:rPr>
                <w:rFonts w:cs="Calibri"/>
                <w:color w:val="000000"/>
                <w:szCs w:val="18"/>
              </w:rPr>
            </w:pPr>
            <w:r>
              <w:rPr>
                <w:rFonts w:cs="Calibri"/>
                <w:color w:val="000000"/>
                <w:szCs w:val="18"/>
              </w:rPr>
              <w:t>16</w:t>
            </w:r>
          </w:p>
        </w:tc>
        <w:tc>
          <w:tcPr>
            <w:tcW w:w="2031" w:type="dxa"/>
            <w:noWrap/>
            <w:vAlign w:val="center"/>
            <w:hideMark/>
          </w:tcPr>
          <w:p w14:paraId="575F4314" w14:textId="2283ABD2" w:rsidR="00E619B4" w:rsidRPr="0095116E" w:rsidRDefault="00E619B4" w:rsidP="00E619B4">
            <w:pPr>
              <w:keepNext/>
              <w:keepLines/>
              <w:spacing w:before="60" w:after="60" w:line="240" w:lineRule="auto"/>
              <w:jc w:val="right"/>
              <w:rPr>
                <w:rFonts w:cs="Calibri"/>
                <w:color w:val="000000"/>
                <w:szCs w:val="18"/>
              </w:rPr>
            </w:pPr>
            <w:r w:rsidRPr="00DF5488">
              <w:t>[</w:t>
            </w:r>
            <w:r>
              <w:rPr>
                <w:highlight w:val="yellow"/>
              </w:rPr>
              <w:t>DOPLNÍ DODAVATEL</w:t>
            </w:r>
            <w:r w:rsidRPr="00DF5488">
              <w:t>]</w:t>
            </w:r>
          </w:p>
        </w:tc>
      </w:tr>
      <w:tr w:rsidR="00E619B4" w:rsidRPr="0095116E" w14:paraId="36635923" w14:textId="77777777" w:rsidTr="00F469B8">
        <w:trPr>
          <w:trHeight w:val="1066"/>
          <w:jc w:val="right"/>
        </w:trPr>
        <w:tc>
          <w:tcPr>
            <w:tcW w:w="3539" w:type="dxa"/>
            <w:vAlign w:val="center"/>
            <w:hideMark/>
          </w:tcPr>
          <w:p w14:paraId="4236E39C" w14:textId="77777777" w:rsidR="00E619B4" w:rsidRPr="00365633" w:rsidRDefault="00E619B4" w:rsidP="00A20CA0">
            <w:pPr>
              <w:spacing w:before="60" w:after="6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365633">
              <w:rPr>
                <w:rFonts w:eastAsia="Times New Roman" w:cs="Calibri"/>
                <w:color w:val="000000"/>
                <w:szCs w:val="18"/>
                <w:lang w:eastAsia="cs-CZ"/>
              </w:rPr>
              <w:t>RH00004, Red Hat Enterprise Linux Server, Standard (Physical or Virtual Nodes)</w:t>
            </w:r>
          </w:p>
          <w:p w14:paraId="36BE1CCC" w14:textId="32B13CAE" w:rsidR="00716DA8" w:rsidRPr="00716DA8" w:rsidRDefault="00C85CAD" w:rsidP="00716DA8">
            <w:pPr>
              <w:spacing w:before="60" w:after="6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365633">
              <w:rPr>
                <w:rFonts w:eastAsia="Times New Roman" w:cs="Calibri"/>
                <w:color w:val="000000"/>
                <w:szCs w:val="18"/>
                <w:lang w:eastAsia="cs-CZ"/>
              </w:rPr>
              <w:t>1. 1. 202</w:t>
            </w:r>
            <w:r w:rsidR="004C3006" w:rsidRPr="00365633">
              <w:rPr>
                <w:rFonts w:eastAsia="Times New Roman" w:cs="Calibri"/>
                <w:color w:val="000000"/>
                <w:szCs w:val="18"/>
                <w:lang w:eastAsia="cs-CZ"/>
              </w:rPr>
              <w:t>6</w:t>
            </w:r>
            <w:r w:rsidRPr="00365633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- 31.</w:t>
            </w:r>
            <w:r w:rsidR="00A97947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</w:t>
            </w:r>
            <w:r w:rsidRPr="00365633">
              <w:rPr>
                <w:rFonts w:eastAsia="Times New Roman" w:cs="Calibri"/>
                <w:color w:val="000000"/>
                <w:szCs w:val="18"/>
                <w:lang w:eastAsia="cs-CZ"/>
              </w:rPr>
              <w:t>12.</w:t>
            </w:r>
            <w:r w:rsidR="00A97947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</w:t>
            </w:r>
            <w:r w:rsidRPr="00365633">
              <w:rPr>
                <w:rFonts w:eastAsia="Times New Roman" w:cs="Calibri"/>
                <w:color w:val="000000"/>
                <w:szCs w:val="18"/>
                <w:lang w:eastAsia="cs-CZ"/>
              </w:rPr>
              <w:t>202</w:t>
            </w:r>
            <w:r w:rsidR="004C3006" w:rsidRPr="00365633">
              <w:rPr>
                <w:rFonts w:eastAsia="Times New Roman" w:cs="Calibri"/>
                <w:color w:val="000000"/>
                <w:szCs w:val="18"/>
                <w:lang w:eastAsia="cs-CZ"/>
              </w:rPr>
              <w:t>6</w:t>
            </w:r>
          </w:p>
        </w:tc>
        <w:tc>
          <w:tcPr>
            <w:tcW w:w="1985" w:type="dxa"/>
            <w:noWrap/>
            <w:vAlign w:val="center"/>
            <w:hideMark/>
          </w:tcPr>
          <w:p w14:paraId="36639D0B" w14:textId="39B281DA" w:rsidR="00716DA8" w:rsidRPr="00716DA8" w:rsidRDefault="00E619B4" w:rsidP="00716DA8">
            <w:pPr>
              <w:keepNext/>
              <w:keepLines/>
              <w:spacing w:before="60" w:after="60" w:line="240" w:lineRule="auto"/>
              <w:jc w:val="right"/>
            </w:pPr>
            <w:r w:rsidRPr="00B65910">
              <w:t>[</w:t>
            </w:r>
            <w:r>
              <w:rPr>
                <w:highlight w:val="yellow"/>
              </w:rPr>
              <w:t>DOPLNÍ DODAVATEL</w:t>
            </w:r>
            <w:r w:rsidRPr="00B65910">
              <w:t>]</w:t>
            </w:r>
          </w:p>
        </w:tc>
        <w:tc>
          <w:tcPr>
            <w:tcW w:w="1559" w:type="dxa"/>
            <w:noWrap/>
            <w:vAlign w:val="center"/>
            <w:hideMark/>
          </w:tcPr>
          <w:p w14:paraId="268C8E28" w14:textId="5F7E2913" w:rsidR="00716DA8" w:rsidRPr="00716DA8" w:rsidRDefault="00375B12" w:rsidP="00716DA8">
            <w:pPr>
              <w:keepNext/>
              <w:keepLines/>
              <w:spacing w:before="60" w:after="60" w:line="240" w:lineRule="auto"/>
              <w:jc w:val="center"/>
              <w:rPr>
                <w:rFonts w:cs="Calibri"/>
                <w:color w:val="000000"/>
                <w:szCs w:val="18"/>
              </w:rPr>
            </w:pPr>
            <w:r>
              <w:rPr>
                <w:rFonts w:cs="Calibri"/>
                <w:color w:val="000000"/>
                <w:szCs w:val="18"/>
              </w:rPr>
              <w:t>20</w:t>
            </w:r>
          </w:p>
        </w:tc>
        <w:tc>
          <w:tcPr>
            <w:tcW w:w="2031" w:type="dxa"/>
            <w:noWrap/>
            <w:vAlign w:val="center"/>
            <w:hideMark/>
          </w:tcPr>
          <w:p w14:paraId="7936623B" w14:textId="25599DA2" w:rsidR="00716DA8" w:rsidRPr="00716DA8" w:rsidRDefault="00E619B4" w:rsidP="00716DA8">
            <w:pPr>
              <w:keepNext/>
              <w:keepLines/>
              <w:spacing w:before="60" w:after="60" w:line="240" w:lineRule="auto"/>
              <w:jc w:val="right"/>
            </w:pPr>
            <w:r w:rsidRPr="00DF5488">
              <w:t>[</w:t>
            </w:r>
            <w:r>
              <w:rPr>
                <w:highlight w:val="yellow"/>
              </w:rPr>
              <w:t>DOPLNÍ DODAVATEL</w:t>
            </w:r>
            <w:r w:rsidRPr="00DF5488">
              <w:t>]</w:t>
            </w:r>
          </w:p>
        </w:tc>
      </w:tr>
      <w:tr w:rsidR="00E619B4" w:rsidRPr="0095116E" w14:paraId="640A6680" w14:textId="77777777" w:rsidTr="00F469B8">
        <w:trPr>
          <w:trHeight w:val="900"/>
          <w:jc w:val="right"/>
        </w:trPr>
        <w:tc>
          <w:tcPr>
            <w:tcW w:w="3539" w:type="dxa"/>
            <w:vAlign w:val="center"/>
            <w:hideMark/>
          </w:tcPr>
          <w:p w14:paraId="2BD138B9" w14:textId="14A83389" w:rsidR="00E619B4" w:rsidRPr="00365633" w:rsidRDefault="00E619B4" w:rsidP="00A20CA0">
            <w:pPr>
              <w:spacing w:before="60" w:after="6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365633">
              <w:rPr>
                <w:rFonts w:eastAsia="Times New Roman" w:cs="Calibri"/>
                <w:color w:val="000000"/>
                <w:szCs w:val="18"/>
                <w:lang w:eastAsia="cs-CZ"/>
              </w:rPr>
              <w:t>RH00760, Red Hat Enterprise Linux for SAP Solutions for IBM Power, LE, Standard (4 Cores, Up to 4 LPARs)</w:t>
            </w:r>
          </w:p>
          <w:p w14:paraId="1C5F562E" w14:textId="286AC9B1" w:rsidR="00C85CAD" w:rsidRPr="00365633" w:rsidRDefault="00C85CAD" w:rsidP="00A20CA0">
            <w:pPr>
              <w:spacing w:before="60" w:after="60" w:line="240" w:lineRule="auto"/>
              <w:rPr>
                <w:rFonts w:cs="Calibri"/>
                <w:color w:val="000000"/>
                <w:szCs w:val="18"/>
              </w:rPr>
            </w:pPr>
            <w:r w:rsidRPr="00365633">
              <w:rPr>
                <w:rFonts w:eastAsia="Times New Roman" w:cs="Calibri"/>
                <w:color w:val="000000"/>
                <w:szCs w:val="18"/>
                <w:lang w:eastAsia="cs-CZ"/>
              </w:rPr>
              <w:t>1. 1. 202</w:t>
            </w:r>
            <w:r w:rsidR="006A0617" w:rsidRPr="00365633">
              <w:rPr>
                <w:rFonts w:eastAsia="Times New Roman" w:cs="Calibri"/>
                <w:color w:val="000000"/>
                <w:szCs w:val="18"/>
                <w:lang w:eastAsia="cs-CZ"/>
              </w:rPr>
              <w:t>6</w:t>
            </w:r>
            <w:r w:rsidRPr="00365633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- 31.</w:t>
            </w:r>
            <w:r w:rsidR="00A97947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</w:t>
            </w:r>
            <w:r w:rsidRPr="00365633">
              <w:rPr>
                <w:rFonts w:eastAsia="Times New Roman" w:cs="Calibri"/>
                <w:color w:val="000000"/>
                <w:szCs w:val="18"/>
                <w:lang w:eastAsia="cs-CZ"/>
              </w:rPr>
              <w:t>12.</w:t>
            </w:r>
            <w:r w:rsidR="00A97947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</w:t>
            </w:r>
            <w:r w:rsidRPr="00365633">
              <w:rPr>
                <w:rFonts w:eastAsia="Times New Roman" w:cs="Calibri"/>
                <w:color w:val="000000"/>
                <w:szCs w:val="18"/>
                <w:lang w:eastAsia="cs-CZ"/>
              </w:rPr>
              <w:t>202</w:t>
            </w:r>
            <w:r w:rsidR="006A0617" w:rsidRPr="00365633">
              <w:rPr>
                <w:rFonts w:eastAsia="Times New Roman" w:cs="Calibri"/>
                <w:color w:val="000000"/>
                <w:szCs w:val="18"/>
                <w:lang w:eastAsia="cs-CZ"/>
              </w:rPr>
              <w:t>6</w:t>
            </w:r>
          </w:p>
        </w:tc>
        <w:tc>
          <w:tcPr>
            <w:tcW w:w="1985" w:type="dxa"/>
            <w:noWrap/>
            <w:vAlign w:val="center"/>
            <w:hideMark/>
          </w:tcPr>
          <w:p w14:paraId="1079DA9C" w14:textId="00517419" w:rsidR="00E619B4" w:rsidRPr="0095116E" w:rsidRDefault="00E619B4" w:rsidP="00E619B4">
            <w:pPr>
              <w:keepNext/>
              <w:keepLines/>
              <w:spacing w:before="60" w:after="60" w:line="240" w:lineRule="auto"/>
              <w:jc w:val="right"/>
              <w:rPr>
                <w:rFonts w:cs="Calibri"/>
                <w:color w:val="000000"/>
                <w:szCs w:val="18"/>
              </w:rPr>
            </w:pPr>
            <w:r w:rsidRPr="00B65910">
              <w:t>[</w:t>
            </w:r>
            <w:r>
              <w:rPr>
                <w:highlight w:val="yellow"/>
              </w:rPr>
              <w:t>DOPLNÍ DODAVATEL</w:t>
            </w:r>
            <w:r w:rsidRPr="00B65910">
              <w:t>]</w:t>
            </w:r>
          </w:p>
        </w:tc>
        <w:tc>
          <w:tcPr>
            <w:tcW w:w="1559" w:type="dxa"/>
            <w:noWrap/>
            <w:vAlign w:val="center"/>
            <w:hideMark/>
          </w:tcPr>
          <w:p w14:paraId="2DC4597B" w14:textId="77777777" w:rsidR="00E619B4" w:rsidRPr="0095116E" w:rsidRDefault="00E619B4" w:rsidP="00E619B4">
            <w:pPr>
              <w:keepNext/>
              <w:keepLines/>
              <w:spacing w:before="60" w:after="60" w:line="240" w:lineRule="auto"/>
              <w:jc w:val="center"/>
              <w:rPr>
                <w:rFonts w:cs="Calibri"/>
                <w:color w:val="000000"/>
                <w:szCs w:val="18"/>
              </w:rPr>
            </w:pPr>
            <w:r w:rsidRPr="0095116E">
              <w:rPr>
                <w:rFonts w:cs="Calibri"/>
                <w:color w:val="000000"/>
                <w:szCs w:val="18"/>
              </w:rPr>
              <w:t>5</w:t>
            </w:r>
          </w:p>
        </w:tc>
        <w:tc>
          <w:tcPr>
            <w:tcW w:w="2031" w:type="dxa"/>
            <w:noWrap/>
            <w:vAlign w:val="center"/>
            <w:hideMark/>
          </w:tcPr>
          <w:p w14:paraId="60A9901C" w14:textId="4F46AD21" w:rsidR="00E619B4" w:rsidRPr="0095116E" w:rsidRDefault="00E619B4" w:rsidP="00E619B4">
            <w:pPr>
              <w:keepNext/>
              <w:keepLines/>
              <w:spacing w:before="60" w:after="60" w:line="240" w:lineRule="auto"/>
              <w:jc w:val="right"/>
              <w:rPr>
                <w:rFonts w:cs="Calibri"/>
                <w:color w:val="000000"/>
                <w:szCs w:val="18"/>
              </w:rPr>
            </w:pPr>
            <w:r w:rsidRPr="00DF5488">
              <w:t>[</w:t>
            </w:r>
            <w:r>
              <w:rPr>
                <w:highlight w:val="yellow"/>
              </w:rPr>
              <w:t>DOPLNÍ DODAVATEL</w:t>
            </w:r>
            <w:r w:rsidRPr="00DF5488">
              <w:t>]</w:t>
            </w:r>
          </w:p>
        </w:tc>
      </w:tr>
      <w:tr w:rsidR="00E619B4" w:rsidRPr="0095116E" w14:paraId="07C600FD" w14:textId="77777777" w:rsidTr="00F469B8">
        <w:trPr>
          <w:trHeight w:val="900"/>
          <w:jc w:val="right"/>
        </w:trPr>
        <w:tc>
          <w:tcPr>
            <w:tcW w:w="3539" w:type="dxa"/>
            <w:vAlign w:val="center"/>
          </w:tcPr>
          <w:p w14:paraId="5302513F" w14:textId="77777777" w:rsidR="00E619B4" w:rsidRPr="00365633" w:rsidRDefault="00E619B4" w:rsidP="00A20CA0">
            <w:pPr>
              <w:spacing w:before="60" w:after="6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365633">
              <w:rPr>
                <w:rFonts w:eastAsia="Times New Roman" w:cs="Calibri"/>
                <w:color w:val="000000"/>
                <w:szCs w:val="18"/>
                <w:lang w:eastAsia="cs-CZ"/>
              </w:rPr>
              <w:t>RH01911, Red Hat Enterprise Linux for IBM Power, LE, Standard (Physical or Virtual Nodes)</w:t>
            </w:r>
          </w:p>
          <w:p w14:paraId="4EA41783" w14:textId="571F874E" w:rsidR="00C85CAD" w:rsidRPr="00365633" w:rsidRDefault="00C85CAD" w:rsidP="00A20CA0">
            <w:pPr>
              <w:spacing w:before="60" w:after="60" w:line="240" w:lineRule="auto"/>
              <w:rPr>
                <w:rFonts w:cs="Calibri"/>
                <w:color w:val="000000"/>
                <w:szCs w:val="18"/>
              </w:rPr>
            </w:pPr>
            <w:r w:rsidRPr="00365633">
              <w:rPr>
                <w:rFonts w:eastAsia="Times New Roman" w:cs="Calibri"/>
                <w:color w:val="000000"/>
                <w:szCs w:val="18"/>
                <w:lang w:eastAsia="cs-CZ"/>
              </w:rPr>
              <w:t>1. 1. 202</w:t>
            </w:r>
            <w:r w:rsidR="006A0617" w:rsidRPr="00365633">
              <w:rPr>
                <w:rFonts w:eastAsia="Times New Roman" w:cs="Calibri"/>
                <w:color w:val="000000"/>
                <w:szCs w:val="18"/>
                <w:lang w:eastAsia="cs-CZ"/>
              </w:rPr>
              <w:t>6</w:t>
            </w:r>
            <w:r w:rsidRPr="00365633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- 31.</w:t>
            </w:r>
            <w:r w:rsidR="00A97947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</w:t>
            </w:r>
            <w:r w:rsidRPr="00365633">
              <w:rPr>
                <w:rFonts w:eastAsia="Times New Roman" w:cs="Calibri"/>
                <w:color w:val="000000"/>
                <w:szCs w:val="18"/>
                <w:lang w:eastAsia="cs-CZ"/>
              </w:rPr>
              <w:t>12.</w:t>
            </w:r>
            <w:r w:rsidR="00A97947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</w:t>
            </w:r>
            <w:r w:rsidRPr="00365633">
              <w:rPr>
                <w:rFonts w:eastAsia="Times New Roman" w:cs="Calibri"/>
                <w:color w:val="000000"/>
                <w:szCs w:val="18"/>
                <w:lang w:eastAsia="cs-CZ"/>
              </w:rPr>
              <w:t>202</w:t>
            </w:r>
            <w:r w:rsidR="00365633" w:rsidRPr="00365633">
              <w:rPr>
                <w:rFonts w:eastAsia="Times New Roman" w:cs="Calibri"/>
                <w:color w:val="000000"/>
                <w:szCs w:val="18"/>
                <w:lang w:eastAsia="cs-CZ"/>
              </w:rPr>
              <w:t>6</w:t>
            </w:r>
          </w:p>
        </w:tc>
        <w:tc>
          <w:tcPr>
            <w:tcW w:w="1985" w:type="dxa"/>
            <w:noWrap/>
            <w:vAlign w:val="center"/>
          </w:tcPr>
          <w:p w14:paraId="0826CC8B" w14:textId="1828D44D" w:rsidR="00E619B4" w:rsidRPr="00B65910" w:rsidRDefault="00C85CAD" w:rsidP="00E619B4">
            <w:pPr>
              <w:keepNext/>
              <w:keepLines/>
              <w:spacing w:before="60" w:after="60" w:line="240" w:lineRule="auto"/>
              <w:jc w:val="right"/>
            </w:pPr>
            <w:r w:rsidRPr="00B65910">
              <w:t>[</w:t>
            </w:r>
            <w:r>
              <w:rPr>
                <w:highlight w:val="yellow"/>
              </w:rPr>
              <w:t>DOPLNÍ DODAVATEL</w:t>
            </w:r>
            <w:r w:rsidRPr="00B65910">
              <w:t>]</w:t>
            </w:r>
          </w:p>
        </w:tc>
        <w:tc>
          <w:tcPr>
            <w:tcW w:w="1559" w:type="dxa"/>
            <w:noWrap/>
            <w:vAlign w:val="center"/>
          </w:tcPr>
          <w:p w14:paraId="53819CB4" w14:textId="55BB7652" w:rsidR="00E619B4" w:rsidRPr="0095116E" w:rsidRDefault="00F469B8" w:rsidP="00E619B4">
            <w:pPr>
              <w:keepNext/>
              <w:keepLines/>
              <w:spacing w:before="60" w:after="60" w:line="240" w:lineRule="auto"/>
              <w:jc w:val="center"/>
              <w:rPr>
                <w:rFonts w:cs="Calibri"/>
                <w:color w:val="000000"/>
                <w:szCs w:val="18"/>
              </w:rPr>
            </w:pPr>
            <w:r>
              <w:rPr>
                <w:rFonts w:cs="Calibri"/>
                <w:color w:val="000000"/>
                <w:szCs w:val="18"/>
              </w:rPr>
              <w:t>20</w:t>
            </w:r>
          </w:p>
        </w:tc>
        <w:tc>
          <w:tcPr>
            <w:tcW w:w="2031" w:type="dxa"/>
            <w:noWrap/>
            <w:vAlign w:val="center"/>
          </w:tcPr>
          <w:p w14:paraId="2E6585AD" w14:textId="3549DC2C" w:rsidR="00E619B4" w:rsidRPr="00DF5488" w:rsidRDefault="00C85CAD" w:rsidP="00E619B4">
            <w:pPr>
              <w:keepNext/>
              <w:keepLines/>
              <w:spacing w:before="60" w:after="60" w:line="240" w:lineRule="auto"/>
              <w:jc w:val="right"/>
            </w:pPr>
            <w:r w:rsidRPr="00B65910">
              <w:t>[</w:t>
            </w:r>
            <w:r>
              <w:rPr>
                <w:highlight w:val="yellow"/>
              </w:rPr>
              <w:t>DOPLNÍ DODAVATEL</w:t>
            </w:r>
            <w:r w:rsidRPr="00B65910">
              <w:t>]</w:t>
            </w:r>
          </w:p>
        </w:tc>
      </w:tr>
    </w:tbl>
    <w:p w14:paraId="721A31C9" w14:textId="77777777" w:rsidR="00175985" w:rsidRDefault="00B95567" w:rsidP="009A190D">
      <w:pPr>
        <w:pStyle w:val="Nadpis2"/>
      </w:pPr>
      <w:r w:rsidRPr="00175985">
        <w:lastRenderedPageBreak/>
        <w:t>DPH bude účtováno dle právních předpisů platných v době uskutečnění zdanitelného plnění.</w:t>
      </w:r>
    </w:p>
    <w:p w14:paraId="71F4E2C7" w14:textId="77777777" w:rsidR="00175985" w:rsidRDefault="00BC58A6" w:rsidP="009A190D">
      <w:pPr>
        <w:pStyle w:val="Nadpis2"/>
      </w:pPr>
      <w:r w:rsidRPr="00175985">
        <w:t>Cena stanovená dle odst. 1 tohoto článku je cena pevná, konečná, maximálně přípustná, nepřekročitelná a jsou</w:t>
      </w:r>
      <w:r w:rsidR="00663FDE" w:rsidRPr="00175985">
        <w:t xml:space="preserve"> v ní zahrnuty veškeré náklady p</w:t>
      </w:r>
      <w:r w:rsidRPr="00175985">
        <w:t>oskytovatele spojené s plněním dle</w:t>
      </w:r>
      <w:r w:rsidR="00FC1E61" w:rsidRPr="00175985">
        <w:t> </w:t>
      </w:r>
      <w:r w:rsidRPr="00175985">
        <w:t xml:space="preserve">této smlouvy včetně dokumentace, </w:t>
      </w:r>
      <w:r w:rsidR="00663FDE" w:rsidRPr="00175985">
        <w:t xml:space="preserve">odměny za </w:t>
      </w:r>
      <w:r w:rsidR="00663FDE" w:rsidRPr="0075284F">
        <w:t>poskytnuté</w:t>
      </w:r>
      <w:r w:rsidR="00663FDE" w:rsidRPr="00175985">
        <w:t xml:space="preserve"> licence, </w:t>
      </w:r>
      <w:r w:rsidRPr="00175985">
        <w:t>dopravy, cestovného apod.</w:t>
      </w:r>
    </w:p>
    <w:p w14:paraId="5AACE8BF" w14:textId="3FFD3382" w:rsidR="00175985" w:rsidRDefault="00663FDE" w:rsidP="009A190D">
      <w:pPr>
        <w:pStyle w:val="Nadpis2"/>
      </w:pPr>
      <w:r w:rsidRPr="00175985">
        <w:t>Úhrada ceny</w:t>
      </w:r>
      <w:r w:rsidR="000518A5" w:rsidRPr="00175985">
        <w:t xml:space="preserve"> bude objednatelem provedena </w:t>
      </w:r>
      <w:r w:rsidRPr="00175985">
        <w:t>po řádném splnění předmětu této smlouvy na</w:t>
      </w:r>
      <w:r w:rsidR="00FC1E61" w:rsidRPr="00175985">
        <w:t> </w:t>
      </w:r>
      <w:r w:rsidRPr="00175985">
        <w:t>základě akceptačního protokolu, a to výhradně</w:t>
      </w:r>
      <w:r w:rsidR="000518A5" w:rsidRPr="00175985">
        <w:t xml:space="preserve"> na základě vystavené faktury, která bude </w:t>
      </w:r>
      <w:r w:rsidRPr="00175985">
        <w:t>zaslána objednateli</w:t>
      </w:r>
      <w:r w:rsidR="000518A5" w:rsidRPr="00175985">
        <w:t xml:space="preserve"> elektronicky na</w:t>
      </w:r>
      <w:r w:rsidR="00162C12" w:rsidRPr="00175985">
        <w:t xml:space="preserve"> </w:t>
      </w:r>
      <w:r w:rsidR="000518A5" w:rsidRPr="00175985">
        <w:t>e-mail</w:t>
      </w:r>
      <w:r w:rsidRPr="00175985">
        <w:t xml:space="preserve">: epodatelna@spcss.cz nebo </w:t>
      </w:r>
      <w:r w:rsidR="000518A5" w:rsidRPr="00175985">
        <w:t xml:space="preserve">prostřednictvím </w:t>
      </w:r>
      <w:r w:rsidRPr="00175985">
        <w:t xml:space="preserve">jeho </w:t>
      </w:r>
      <w:r w:rsidR="000518A5" w:rsidRPr="00175985">
        <w:t>datové schránky. Faktura musí mít náležitosti účetního a daňového dokladu a musí obsahovat zejména náležitosti stanovené v § 29 zák</w:t>
      </w:r>
      <w:r w:rsidR="00810BF3" w:rsidRPr="00175985">
        <w:t>ona č. 235/2004 Sb., zákon o dani z přidané hodnoty</w:t>
      </w:r>
      <w:r w:rsidR="00A84D22" w:rsidRPr="00175985">
        <w:t>, ve znění pozdějších předpisů (dále jen „</w:t>
      </w:r>
      <w:r w:rsidR="00A84D22" w:rsidRPr="00175985">
        <w:rPr>
          <w:b/>
        </w:rPr>
        <w:t>ZDPH</w:t>
      </w:r>
      <w:r w:rsidR="00A84D22" w:rsidRPr="00175985">
        <w:t>“)</w:t>
      </w:r>
      <w:r w:rsidR="000518A5" w:rsidRPr="00175985">
        <w:t xml:space="preserve">, </w:t>
      </w:r>
      <w:r w:rsidR="00562C61">
        <w:t xml:space="preserve">§ 435 občanského zákoníku, </w:t>
      </w:r>
      <w:r w:rsidR="000518A5" w:rsidRPr="00175985">
        <w:t>číslo účtu, na který má být platba provedena a registračn</w:t>
      </w:r>
      <w:r w:rsidR="00562C61">
        <w:t>í číslo smlouvy objednavatele a </w:t>
      </w:r>
      <w:r w:rsidRPr="00175985">
        <w:t>akceptační</w:t>
      </w:r>
      <w:r w:rsidR="000518A5" w:rsidRPr="00175985">
        <w:t xml:space="preserve"> protokol podepsaný objednavatelem i </w:t>
      </w:r>
      <w:r w:rsidRPr="00175985">
        <w:t>poskytovatelem</w:t>
      </w:r>
      <w:r w:rsidR="000518A5" w:rsidRPr="00175985">
        <w:t xml:space="preserve">, jinak je objednatel oprávněn vrátit </w:t>
      </w:r>
      <w:r w:rsidRPr="00175985">
        <w:t>poskytovateli</w:t>
      </w:r>
      <w:r w:rsidR="000518A5" w:rsidRPr="00175985">
        <w:t xml:space="preserve"> fakturu k opravě či doplnění, přičemž do doručení opravené faktury neběží lhůta splatnosti. Splatnost faktur je 30 dní ode dne prokazatelného doručení faktury objednateli. Za zaplacení daňového dokladu (faktury) se považuje datum </w:t>
      </w:r>
      <w:r w:rsidR="00BA09CA" w:rsidRPr="00175985">
        <w:t>odepsání</w:t>
      </w:r>
      <w:r w:rsidR="000518A5" w:rsidRPr="00175985">
        <w:t xml:space="preserve"> finanční částky z účtu objednatele.</w:t>
      </w:r>
    </w:p>
    <w:p w14:paraId="3669DC5A" w14:textId="77777777" w:rsidR="00175985" w:rsidRDefault="00B95567" w:rsidP="009A190D">
      <w:pPr>
        <w:pStyle w:val="Nadpis2"/>
      </w:pPr>
      <w:r w:rsidRPr="00175985">
        <w:t xml:space="preserve">Objednatel neposkytuje </w:t>
      </w:r>
      <w:r w:rsidR="00562C61">
        <w:t xml:space="preserve">na plnění jakékoliv </w:t>
      </w:r>
      <w:r w:rsidRPr="00175985">
        <w:t>zálohy.</w:t>
      </w:r>
    </w:p>
    <w:p w14:paraId="163730EE" w14:textId="6BDA6E5C" w:rsidR="00175985" w:rsidRDefault="00BA09CA" w:rsidP="009A190D">
      <w:pPr>
        <w:pStyle w:val="Nadpis2"/>
      </w:pPr>
      <w:r w:rsidRPr="00175985">
        <w:t>Poskytovatel se zavazuje, že bankovní účet jím určený pro zaplacení závazku objednatele na</w:t>
      </w:r>
      <w:r w:rsidR="00230CF9">
        <w:t> </w:t>
      </w:r>
      <w:r w:rsidRPr="00175985">
        <w:t>základě této smlouvy bude zveřejněn způsobem umožňující dálkový přístup ve smyslu §</w:t>
      </w:r>
      <w:r w:rsidR="00FC1E61" w:rsidRPr="00175985">
        <w:t> </w:t>
      </w:r>
      <w:r w:rsidRPr="00175985">
        <w:t>96 odst. 2 ZDPH, v</w:t>
      </w:r>
      <w:r w:rsidR="00A52737">
        <w:t> </w:t>
      </w:r>
      <w:r w:rsidRPr="00175985">
        <w:t xml:space="preserve">opačném případě je </w:t>
      </w:r>
      <w:r w:rsidR="00E056F1" w:rsidRPr="00175985">
        <w:t>poskytovatel</w:t>
      </w:r>
      <w:r w:rsidRPr="00175985">
        <w:t xml:space="preserve"> povinen sdělit objednateli jiný bankovní účet řádně zveřejněný ve smyslu § 96 ZDPH.</w:t>
      </w:r>
    </w:p>
    <w:p w14:paraId="5E5CD1D5" w14:textId="4C96E180" w:rsidR="00175985" w:rsidRDefault="00BA09CA" w:rsidP="009A190D">
      <w:pPr>
        <w:pStyle w:val="Nadpis2"/>
      </w:pPr>
      <w:r w:rsidRPr="00175985">
        <w:t>Pokud objednateli vznikne podle § 109 ZDPH ručení za nezaplacenou DPH z přijatého zdanitelného plnění od poskytovatele, nebo se objednatel důvodně domnívá, že tyto skutečnosti nastaly nebo mohly nastat, má objednatel</w:t>
      </w:r>
      <w:r w:rsidR="00C2037E" w:rsidRPr="00175985">
        <w:t xml:space="preserve"> právo bez souhlasu poskytovatele </w:t>
      </w:r>
      <w:r w:rsidRPr="00175985">
        <w:t xml:space="preserve">uplatnit postup zvláštního způsobu zajištění daně, tzn., že je objednatel oprávněn odvést částku DPH podle </w:t>
      </w:r>
      <w:r w:rsidR="00230CF9" w:rsidRPr="00175985">
        <w:t>faktury – daňového</w:t>
      </w:r>
      <w:r w:rsidRPr="00175985">
        <w:t xml:space="preserve"> dokladu vystavené </w:t>
      </w:r>
      <w:r w:rsidR="00C2037E" w:rsidRPr="00175985">
        <w:t>poskytovatelem</w:t>
      </w:r>
      <w:r w:rsidRPr="00175985">
        <w:t xml:space="preserve"> přímo příslušnému finančnímu úřadu, a to v návaznosti na § 109 a § 109a ZDPH.</w:t>
      </w:r>
    </w:p>
    <w:p w14:paraId="29EABB23" w14:textId="77777777" w:rsidR="00BA09CA" w:rsidRPr="00175985" w:rsidRDefault="00BA09CA" w:rsidP="00D72186">
      <w:pPr>
        <w:pStyle w:val="Nadpis2"/>
        <w:keepNext/>
      </w:pPr>
      <w:r w:rsidRPr="00175985">
        <w:t xml:space="preserve">Úhradou DPH na účet finančního úřadu se pohledávka </w:t>
      </w:r>
      <w:r w:rsidR="00C2037E" w:rsidRPr="00175985">
        <w:t>poskytovatele</w:t>
      </w:r>
      <w:r w:rsidRPr="00175985">
        <w:t xml:space="preserve"> vůči objednateli v</w:t>
      </w:r>
      <w:r w:rsidR="00FC1E61" w:rsidRPr="00175985">
        <w:t> </w:t>
      </w:r>
      <w:r w:rsidRPr="00175985">
        <w:t>částce uhrazené DPH považuje bez ohledu na další ustanovení smlouvy za uhrazenou. Zároveň je objednat</w:t>
      </w:r>
      <w:r w:rsidR="00C2037E" w:rsidRPr="00175985">
        <w:t>el povinen poskytovatele</w:t>
      </w:r>
      <w:r w:rsidRPr="00175985">
        <w:t xml:space="preserve"> o takové úhradě bezprostředně po jejím uskutečnění písemně informovat.</w:t>
      </w:r>
    </w:p>
    <w:p w14:paraId="0F32D155" w14:textId="77777777" w:rsidR="00624461" w:rsidRDefault="00CE12D3" w:rsidP="00605A33">
      <w:pPr>
        <w:pStyle w:val="Nadpis1"/>
      </w:pPr>
      <w:r>
        <w:t xml:space="preserve">poskytování </w:t>
      </w:r>
      <w:r w:rsidRPr="0075284F">
        <w:t>podpory</w:t>
      </w:r>
      <w:r>
        <w:t xml:space="preserve"> produktů</w:t>
      </w:r>
    </w:p>
    <w:p w14:paraId="57310BD5" w14:textId="56261CFC" w:rsidR="00E84236" w:rsidRPr="00E84236" w:rsidRDefault="00A84D22" w:rsidP="00624461">
      <w:pPr>
        <w:pStyle w:val="Nadpis2"/>
      </w:pPr>
      <w:r>
        <w:t>Podpora plnění</w:t>
      </w:r>
      <w:r w:rsidR="00E84236" w:rsidRPr="00E84236">
        <w:t xml:space="preserve"> bude poskytována na základě požadavků objednatele dle jeho potřeb.</w:t>
      </w:r>
    </w:p>
    <w:p w14:paraId="0F9FBED4" w14:textId="713E30F0" w:rsidR="00E84236" w:rsidRPr="00E84236" w:rsidRDefault="00E84236" w:rsidP="009A190D">
      <w:pPr>
        <w:pStyle w:val="Nadpis2"/>
      </w:pPr>
      <w:r w:rsidRPr="00E84236">
        <w:t>Způsob hláše</w:t>
      </w:r>
      <w:r w:rsidR="00A84D22">
        <w:t>ní požadavků na podporu plnění a závad plnění</w:t>
      </w:r>
      <w:r w:rsidRPr="00E84236">
        <w:t xml:space="preserve"> a kontaktní osoby smluvních stran si smluvní strany sdělí </w:t>
      </w:r>
      <w:r w:rsidR="00CE12D3">
        <w:t>navzájem do 15 dnů po uzavření s</w:t>
      </w:r>
      <w:r w:rsidRPr="00E84236">
        <w:t>mlouvy. Kontaktní osoby jsou oprávněny k</w:t>
      </w:r>
      <w:r w:rsidR="00A52737">
        <w:t> </w:t>
      </w:r>
      <w:r w:rsidRPr="00E84236">
        <w:t>běžné součinnost pro řešení Záv</w:t>
      </w:r>
      <w:r w:rsidR="00F16737">
        <w:t>ad a při poskytování podpory plnění</w:t>
      </w:r>
      <w:r w:rsidRPr="00E84236">
        <w:t xml:space="preserve">. Kontaktní osoba není oprávněna ke změnám </w:t>
      </w:r>
      <w:r w:rsidR="00CE12D3">
        <w:t>s</w:t>
      </w:r>
      <w:r w:rsidRPr="00E84236">
        <w:t>mlouvy ani jednání směřujícímu k</w:t>
      </w:r>
      <w:r w:rsidR="00FC1E61">
        <w:t> </w:t>
      </w:r>
      <w:r w:rsidRPr="00E84236">
        <w:t xml:space="preserve">ukončení </w:t>
      </w:r>
      <w:r w:rsidR="00CE12D3">
        <w:t>s</w:t>
      </w:r>
      <w:r w:rsidRPr="00E84236">
        <w:t>mlouvy.</w:t>
      </w:r>
    </w:p>
    <w:p w14:paraId="7E687353" w14:textId="77777777" w:rsidR="00E84236" w:rsidRPr="00E84236" w:rsidRDefault="0009774F" w:rsidP="009A190D">
      <w:pPr>
        <w:pStyle w:val="Nadpis2"/>
      </w:pPr>
      <w:r>
        <w:t>Nastane-li Závada plnění</w:t>
      </w:r>
      <w:r w:rsidR="00E84236" w:rsidRPr="00E84236">
        <w:t>, zavazuje se poskytovatel vyn</w:t>
      </w:r>
      <w:r w:rsidR="000D38C8">
        <w:t>aložit veškeré potřebné úsilí k </w:t>
      </w:r>
      <w:r w:rsidR="00E84236" w:rsidRPr="00E84236">
        <w:t>nalezení takového řešení, při jehož realizaci se nebude nadále Z</w:t>
      </w:r>
      <w:r>
        <w:t>ávada plnění</w:t>
      </w:r>
      <w:r w:rsidR="00E84236" w:rsidRPr="00E84236">
        <w:t xml:space="preserve"> projevovat.</w:t>
      </w:r>
    </w:p>
    <w:p w14:paraId="081D2CB8" w14:textId="632F6085" w:rsidR="00E84236" w:rsidRPr="00E84236" w:rsidRDefault="00E84236" w:rsidP="009A190D">
      <w:pPr>
        <w:pStyle w:val="Nadpis2"/>
      </w:pPr>
      <w:r w:rsidRPr="00E84236">
        <w:t>Poskytovatel neprodleně po nahlášení závady objednatelem zahájí řešení Závady, (a to nejdéle v</w:t>
      </w:r>
      <w:r w:rsidR="00A52737">
        <w:t> </w:t>
      </w:r>
      <w:r w:rsidRPr="00E84236">
        <w:t>rámci Reakční doby řešení), a v součinnosti se objednatelem stanoví další postup při odstraňování Závady, přičemž oboje neprodleně sděl</w:t>
      </w:r>
      <w:r w:rsidR="00497CBA">
        <w:t>í objednateli prostřednictvím e</w:t>
      </w:r>
      <w:r w:rsidR="00230CF9">
        <w:noBreakHyphen/>
      </w:r>
      <w:r w:rsidRPr="00E84236">
        <w:t>mailové zprávy, to vše v rámci Reakční doby řešení.</w:t>
      </w:r>
    </w:p>
    <w:p w14:paraId="6249422B" w14:textId="66EC50B5" w:rsidR="00E84236" w:rsidRPr="00E84236" w:rsidRDefault="00E84236" w:rsidP="009A190D">
      <w:pPr>
        <w:pStyle w:val="Nadpis2"/>
      </w:pPr>
      <w:r w:rsidRPr="00E84236">
        <w:t>Po nahlášení Závady poskytovatel zaeviduje Závadu do interní databáze řešených Závad spravované poskytovatelem, kde bude řešené Závadě přiděleno jednoznačné číslo případu, které bude sděleno objednateli prostřednictvím e-mailové zprávy. Objednatel má právo se kdykoliv v Pracovní době informovat na stav řešené Závady prostřednictvím elektronického přístupu, je-li to mo</w:t>
      </w:r>
      <w:r w:rsidR="00410A64">
        <w:t>žné, případně prostřednictvím e-</w:t>
      </w:r>
      <w:r w:rsidRPr="00E84236">
        <w:t>mailové zprávy.</w:t>
      </w:r>
    </w:p>
    <w:p w14:paraId="2F7C55B9" w14:textId="77777777" w:rsidR="00E84236" w:rsidRPr="00E84236" w:rsidRDefault="00E84236" w:rsidP="009A190D">
      <w:pPr>
        <w:pStyle w:val="Nadpis2"/>
      </w:pPr>
      <w:r w:rsidRPr="00E84236">
        <w:t>Závada může být uzavřena jako vyřešená pouze se souhlasem objednatele uděleným prostřednictvím e-mailové zprávy.</w:t>
      </w:r>
    </w:p>
    <w:p w14:paraId="4FF1557A" w14:textId="507B38A6" w:rsidR="00E84236" w:rsidRPr="00E84236" w:rsidRDefault="00E84236" w:rsidP="00A16ECD">
      <w:pPr>
        <w:pStyle w:val="Nadpis2"/>
        <w:keepLines w:val="0"/>
        <w:ind w:left="578" w:hanging="578"/>
      </w:pPr>
      <w:r w:rsidRPr="00E84236">
        <w:t xml:space="preserve">Poskytovatel má právo určit způsob odstranění Závady poskytnutím řešení Závady nebo poskytnutím obejití Závady nebo požadovat součinnost objednatele, pokud je tato k řešení Závady nezbytná. </w:t>
      </w:r>
      <w:r w:rsidRPr="00E84236">
        <w:lastRenderedPageBreak/>
        <w:t>Řešení Závady lze poskytnout formou vysvětlení správné funkcion</w:t>
      </w:r>
      <w:r w:rsidR="004C6D40">
        <w:t>ality podl</w:t>
      </w:r>
      <w:r w:rsidR="00410A64">
        <w:t>e d</w:t>
      </w:r>
      <w:r w:rsidR="004C6D40">
        <w:t>okumentace plnění</w:t>
      </w:r>
      <w:r w:rsidRPr="00E84236">
        <w:t xml:space="preserve">, doporučením změny konfigurace provozního prostředí, doporučením nové Aktuální verze </w:t>
      </w:r>
      <w:r w:rsidR="004C6D40">
        <w:t>plnění</w:t>
      </w:r>
      <w:r w:rsidRPr="00E84236">
        <w:t xml:space="preserve"> případně po</w:t>
      </w:r>
      <w:r w:rsidR="004C6D40">
        <w:t>skytnutím Opravné verze plnění</w:t>
      </w:r>
      <w:r w:rsidRPr="00E84236">
        <w:t>. Pokud je k dispo</w:t>
      </w:r>
      <w:r w:rsidR="004C6D40">
        <w:t>zici již Aktuální verze plnění</w:t>
      </w:r>
      <w:r w:rsidRPr="00E84236">
        <w:t>, kte</w:t>
      </w:r>
      <w:r w:rsidR="004C6D40">
        <w:t>rá řeší hlášenou Závadu plnění</w:t>
      </w:r>
      <w:r w:rsidR="005A3545">
        <w:t>, lze Opravnou verzi plnění</w:t>
      </w:r>
      <w:r w:rsidRPr="00E84236">
        <w:t xml:space="preserve"> poskytnout pouze ve výjimečných a</w:t>
      </w:r>
      <w:r w:rsidR="00A52737">
        <w:t> </w:t>
      </w:r>
      <w:r w:rsidRPr="00E84236">
        <w:t xml:space="preserve">zdůvodněných případech. </w:t>
      </w:r>
    </w:p>
    <w:p w14:paraId="7868F6CB" w14:textId="77777777" w:rsidR="00E84236" w:rsidRPr="00E84236" w:rsidRDefault="00E84236" w:rsidP="00645B08">
      <w:pPr>
        <w:pStyle w:val="Nadpis2"/>
      </w:pPr>
      <w:r w:rsidRPr="00E84236">
        <w:t>Podpora se vztahuje zejména na řešení Závad, kt</w:t>
      </w:r>
      <w:r w:rsidR="005A3545">
        <w:t>eré souvisí s instalací plnění, počáteční konfigurací plnění a provozem plnění</w:t>
      </w:r>
      <w:r w:rsidRPr="00E84236">
        <w:t xml:space="preserve">. V rámci Podpory lze řešit dotazy na </w:t>
      </w:r>
      <w:r w:rsidR="005A3545">
        <w:t>speciální funkcionalitu plnění</w:t>
      </w:r>
      <w:r w:rsidRPr="00E84236">
        <w:t>, případně na řešení základních Závad typu „how to“.</w:t>
      </w:r>
    </w:p>
    <w:p w14:paraId="6DD0C2E7" w14:textId="0D06D733" w:rsidR="00E84236" w:rsidRPr="00E84236" w:rsidRDefault="00E84236" w:rsidP="00645B08">
      <w:pPr>
        <w:pStyle w:val="Nadpis2"/>
      </w:pPr>
      <w:r w:rsidRPr="00E84236">
        <w:t xml:space="preserve">Podporu nelze požadovat na vývoj aplikace, ladění výkonnosti </w:t>
      </w:r>
      <w:r w:rsidR="00064E4D" w:rsidRPr="00E84236">
        <w:t>serverů,</w:t>
      </w:r>
      <w:r w:rsidRPr="00E84236">
        <w:t xml:space="preserve"> resp. aplikač</w:t>
      </w:r>
      <w:r w:rsidR="005A3545">
        <w:t>ního prostředí, použití plnění</w:t>
      </w:r>
      <w:r w:rsidRPr="00E84236">
        <w:t xml:space="preserve"> v jiném prostředí, než jaké je pro ně specifikováno, a na př</w:t>
      </w:r>
      <w:r w:rsidR="00F3600C">
        <w:t>ípady selhání způsobené plněním</w:t>
      </w:r>
      <w:r w:rsidRPr="00E84236">
        <w:t xml:space="preserve">, za které poskytovatel nenese odpovědnost. </w:t>
      </w:r>
    </w:p>
    <w:p w14:paraId="36C2434A" w14:textId="77777777" w:rsidR="00624461" w:rsidRDefault="00E056F1" w:rsidP="00B25C4A">
      <w:pPr>
        <w:pStyle w:val="Nadpis1"/>
      </w:pPr>
      <w:r>
        <w:t>práva a povinnosti</w:t>
      </w:r>
      <w:r w:rsidR="00B95567">
        <w:t xml:space="preserve"> smluvních stran</w:t>
      </w:r>
    </w:p>
    <w:p w14:paraId="215081E4" w14:textId="61318FBE" w:rsidR="002E59A0" w:rsidRPr="002E59A0" w:rsidRDefault="002E59A0" w:rsidP="00624461">
      <w:pPr>
        <w:pStyle w:val="Nadpis2"/>
      </w:pPr>
      <w:r>
        <w:t>Poskytovatel</w:t>
      </w:r>
      <w:r w:rsidRPr="002E59A0">
        <w:t xml:space="preserve"> prohlašuje, že vlastnické právo a nebezpečí škody na věci ke všem hmotným součástem plnění předaným </w:t>
      </w:r>
      <w:r w:rsidR="00FF73C2">
        <w:t>poskytovatelem o</w:t>
      </w:r>
      <w:r w:rsidRPr="002E59A0">
        <w:t xml:space="preserve">bjednateli v </w:t>
      </w:r>
      <w:r w:rsidR="00FF73C2">
        <w:t>souvislosti s plněním předmětu smlouvy přechází na</w:t>
      </w:r>
      <w:r w:rsidR="00A52737">
        <w:t> </w:t>
      </w:r>
      <w:r w:rsidR="00FF73C2">
        <w:t>o</w:t>
      </w:r>
      <w:r w:rsidRPr="002E59A0">
        <w:t>bjednatele dnem jej</w:t>
      </w:r>
      <w:r w:rsidR="00FF73C2">
        <w:t>ich protokolárního předání o</w:t>
      </w:r>
      <w:r w:rsidRPr="002E59A0">
        <w:t>bjednateli.</w:t>
      </w:r>
    </w:p>
    <w:p w14:paraId="2893DC20" w14:textId="3286A796" w:rsidR="00B95567" w:rsidRDefault="00B95567" w:rsidP="009A190D">
      <w:pPr>
        <w:pStyle w:val="Nadpis2"/>
      </w:pPr>
      <w:r>
        <w:t>Ob</w:t>
      </w:r>
      <w:r w:rsidR="00E056F1">
        <w:t>jednatel je povinen poskytnout p</w:t>
      </w:r>
      <w:r>
        <w:t>oskytovateli</w:t>
      </w:r>
      <w:r w:rsidR="00E056F1">
        <w:t xml:space="preserve"> informace a součinnost, které p</w:t>
      </w:r>
      <w:r>
        <w:t>oskytovatel bude oprávněně vyžadovat k plnění svých povinností stanovených touto smlouvou a</w:t>
      </w:r>
      <w:r w:rsidR="00FC1E61">
        <w:t> </w:t>
      </w:r>
      <w:r w:rsidR="00B048AD">
        <w:t>informovat p</w:t>
      </w:r>
      <w:r>
        <w:t>oskytovatele o všech skutečnostech, které by mohly ovlivnit plnění předmětu smlouvy</w:t>
      </w:r>
      <w:r w:rsidR="00230DB6">
        <w:t>.</w:t>
      </w:r>
    </w:p>
    <w:p w14:paraId="4B70785D" w14:textId="34329264" w:rsidR="00B95567" w:rsidRDefault="00B95567" w:rsidP="009A190D">
      <w:pPr>
        <w:pStyle w:val="Nadpis2"/>
      </w:pPr>
      <w:r>
        <w:t>Posk</w:t>
      </w:r>
      <w:r w:rsidR="00E056F1">
        <w:t>ytovatel je povinen dodat předmět plnění</w:t>
      </w:r>
      <w:r>
        <w:t xml:space="preserve"> v rozsahu a termínech </w:t>
      </w:r>
      <w:r w:rsidR="00384A97">
        <w:t xml:space="preserve">specifikovaných touto smlouvou </w:t>
      </w:r>
      <w:r w:rsidR="00F3600C">
        <w:t>a informovat o</w:t>
      </w:r>
      <w:r>
        <w:t>bjednatele o všech skutečnostech, které by mohly ovlivni</w:t>
      </w:r>
      <w:r w:rsidR="00E056F1">
        <w:t>t plnění předmětu smlouvy. Zjistí-li p</w:t>
      </w:r>
      <w:r w:rsidR="00230DB6">
        <w:t>oskytovatel</w:t>
      </w:r>
      <w:r>
        <w:t xml:space="preserve"> skryté překážky, které znemožňují zajištění </w:t>
      </w:r>
      <w:r w:rsidR="00E056F1">
        <w:t>předmětu plnění</w:t>
      </w:r>
      <w:r>
        <w:t xml:space="preserve"> dohodnutým způsobem, je povinen to neprodleně písemně oznámit </w:t>
      </w:r>
      <w:r w:rsidR="00E056F1">
        <w:t>o</w:t>
      </w:r>
      <w:r>
        <w:t>bjednateli a</w:t>
      </w:r>
      <w:r w:rsidR="009A190D">
        <w:t> </w:t>
      </w:r>
      <w:r>
        <w:t xml:space="preserve">navrhnout mu změnu v řešení. Jakékoliv změny v řešení podléhají písemnému schválení </w:t>
      </w:r>
      <w:r w:rsidR="00E056F1">
        <w:t>o</w:t>
      </w:r>
      <w:r>
        <w:t>bjednatelem.</w:t>
      </w:r>
    </w:p>
    <w:p w14:paraId="34C65F3A" w14:textId="77777777" w:rsidR="00B95567" w:rsidRDefault="00B95567" w:rsidP="009A190D">
      <w:pPr>
        <w:pStyle w:val="Nadpis2"/>
      </w:pPr>
      <w:r>
        <w:t>Objednatel je oprávněn kontrolovat plnění této smlouvy pověřeným zaměstnancem.</w:t>
      </w:r>
    </w:p>
    <w:p w14:paraId="39400CF0" w14:textId="77777777" w:rsidR="00B95567" w:rsidRDefault="00B95567" w:rsidP="009A190D">
      <w:pPr>
        <w:pStyle w:val="Nadpis2"/>
      </w:pPr>
      <w:r>
        <w:t>Veškeré činnosti budou plánovány s ohledem na minimalizaci rizik a</w:t>
      </w:r>
      <w:r w:rsidR="00E056F1">
        <w:t xml:space="preserve"> s vyloučením odstávek provozu o</w:t>
      </w:r>
      <w:r>
        <w:t>bjednatele.</w:t>
      </w:r>
    </w:p>
    <w:p w14:paraId="693D16FF" w14:textId="1534627F" w:rsidR="00C2388E" w:rsidRDefault="00C2388E" w:rsidP="009A190D">
      <w:pPr>
        <w:pStyle w:val="Nadpis2"/>
      </w:pPr>
      <w:r>
        <w:t>Poskytovatel</w:t>
      </w:r>
      <w:r w:rsidRPr="00C2388E">
        <w:t xml:space="preserve"> bere na vědomí a vyjadřuje tímto svůj souhlas s uveřejněním této smlouvy v</w:t>
      </w:r>
      <w:r w:rsidR="00FC1E61">
        <w:t> </w:t>
      </w:r>
      <w:r w:rsidRPr="00C2388E">
        <w:t>celém rozsahu včetně případných jejích příloh a dodatků v souladu s požadavky vyplývajícími ze zákona č.</w:t>
      </w:r>
      <w:r w:rsidR="00A52737">
        <w:t> </w:t>
      </w:r>
      <w:r w:rsidRPr="00C2388E">
        <w:t>340/2015 Sb., o zvláštních podmínkách účinnosti některých smluv, uveřejňování těchto smluv a</w:t>
      </w:r>
      <w:r w:rsidR="00A52737">
        <w:t> </w:t>
      </w:r>
      <w:r w:rsidRPr="00C2388E">
        <w:t>o</w:t>
      </w:r>
      <w:r w:rsidR="00A52737">
        <w:t> </w:t>
      </w:r>
      <w:r w:rsidRPr="00C2388E">
        <w:t>registru smluv (</w:t>
      </w:r>
      <w:r>
        <w:t>dále jen „</w:t>
      </w:r>
      <w:r w:rsidRPr="00C2388E">
        <w:rPr>
          <w:b/>
        </w:rPr>
        <w:t>zákon o registru smluv</w:t>
      </w:r>
      <w:r>
        <w:t>“</w:t>
      </w:r>
      <w:r w:rsidRPr="00C2388E">
        <w:t>)</w:t>
      </w:r>
      <w:r w:rsidR="00F1205B">
        <w:t>, ve znění pozdějších předpisů</w:t>
      </w:r>
      <w:r w:rsidRPr="00C2388E">
        <w:t xml:space="preserve"> a dále s</w:t>
      </w:r>
      <w:r w:rsidR="00A52737">
        <w:t> </w:t>
      </w:r>
      <w:r w:rsidRPr="00C2388E">
        <w:t>uveřejněním této smlouvy na profilu objedna</w:t>
      </w:r>
      <w:r w:rsidR="00F1205B">
        <w:t>tele jakožto zadavatele dle</w:t>
      </w:r>
      <w:r w:rsidR="009A190D">
        <w:t> </w:t>
      </w:r>
      <w:r w:rsidRPr="00C2388E">
        <w:t>§</w:t>
      </w:r>
      <w:r w:rsidR="009A190D">
        <w:t> </w:t>
      </w:r>
      <w:r w:rsidRPr="00C2388E">
        <w:t>219 ZZVZ.</w:t>
      </w:r>
    </w:p>
    <w:p w14:paraId="67A81D3C" w14:textId="1DEAC28F" w:rsidR="00E91D88" w:rsidRDefault="00E91D88" w:rsidP="009A190D">
      <w:pPr>
        <w:pStyle w:val="Nadpis2"/>
      </w:pPr>
      <w:r>
        <w:t xml:space="preserve">Poskytovatel </w:t>
      </w:r>
      <w:r w:rsidRPr="00E91D88">
        <w:t>není oprávněn postoupit třetí straně jakákoliv práva, nároky či pohledávky plynoucí z</w:t>
      </w:r>
      <w:r w:rsidR="00A52737">
        <w:t> </w:t>
      </w:r>
      <w:r w:rsidRPr="00E91D88">
        <w:t>této smlouvy bez předchozího písemného souhlasu objednatele.</w:t>
      </w:r>
    </w:p>
    <w:p w14:paraId="37767684" w14:textId="604655C3" w:rsidR="00E91D88" w:rsidRPr="00CE12D3" w:rsidRDefault="00CE12D3" w:rsidP="009A190D">
      <w:pPr>
        <w:pStyle w:val="Nadpis2"/>
      </w:pPr>
      <w:r w:rsidRPr="00CE12D3">
        <w:t xml:space="preserve">Řádné poskytnutí </w:t>
      </w:r>
      <w:r w:rsidR="00B048AD">
        <w:t xml:space="preserve">plnění (licencí) </w:t>
      </w:r>
      <w:r w:rsidRPr="00CE12D3">
        <w:t>bude potvrzeno akceptačním protokolem podepsaným oprávněnými zástupci smluvních stran. Tento akceptační protokol je podkladem pro</w:t>
      </w:r>
      <w:r w:rsidR="00FC1E61">
        <w:t> </w:t>
      </w:r>
      <w:r w:rsidR="00ED4A00">
        <w:t>vystavení faktury dle této s</w:t>
      </w:r>
      <w:r w:rsidRPr="00CE12D3">
        <w:t>mlouvy.</w:t>
      </w:r>
      <w:r w:rsidR="000F562A">
        <w:t xml:space="preserve"> Součástí akceptačního protokolu bude objednací kód každé dílčí části plnění (licence).</w:t>
      </w:r>
    </w:p>
    <w:p w14:paraId="1A4F7A27" w14:textId="77777777" w:rsidR="00624461" w:rsidRDefault="00CE12D3" w:rsidP="002A7F60">
      <w:pPr>
        <w:pStyle w:val="Nadpis1"/>
      </w:pPr>
      <w:r w:rsidRPr="00CE12D3">
        <w:t>SAnkce</w:t>
      </w:r>
    </w:p>
    <w:p w14:paraId="580C8BED" w14:textId="692DBA43" w:rsidR="00C2212D" w:rsidRPr="00AC6575" w:rsidRDefault="00C2212D" w:rsidP="00624461">
      <w:pPr>
        <w:pStyle w:val="Nadpis2"/>
      </w:pPr>
      <w:r w:rsidRPr="00AC6575">
        <w:t>S</w:t>
      </w:r>
      <w:r w:rsidR="00A437FE">
        <w:t>mluvní s</w:t>
      </w:r>
      <w:r w:rsidRPr="00AC6575">
        <w:t>trany se zavazují k vyvinutí maximálního úsilí k předcházení škodám a k minimalizaci vzniklých škod. S</w:t>
      </w:r>
      <w:r w:rsidR="00A437FE">
        <w:t>mluvní s</w:t>
      </w:r>
      <w:r w:rsidRPr="00AC6575">
        <w:t>trany nesou odpovědnost za škodu dle platných právních předpisů a</w:t>
      </w:r>
      <w:r>
        <w:t> </w:t>
      </w:r>
      <w:r w:rsidR="00A437FE">
        <w:t>s</w:t>
      </w:r>
      <w:r w:rsidRPr="00AC6575">
        <w:t xml:space="preserve">mlouvy. </w:t>
      </w:r>
    </w:p>
    <w:p w14:paraId="7460F1FD" w14:textId="40599DA4" w:rsidR="00C2212D" w:rsidRPr="00AC6575" w:rsidRDefault="00A437FE" w:rsidP="009A190D">
      <w:pPr>
        <w:pStyle w:val="Nadpis2"/>
      </w:pPr>
      <w:r>
        <w:t>Poskytovatel se zároveň zavazuje o</w:t>
      </w:r>
      <w:r w:rsidR="00C2212D" w:rsidRPr="00AC6575">
        <w:t>bjednatele odškodnit za j</w:t>
      </w:r>
      <w:r>
        <w:t>akékoliv škody, které o</w:t>
      </w:r>
      <w:r w:rsidR="00C2212D" w:rsidRPr="00AC6575">
        <w:t xml:space="preserve">bjednateli v důsledku porušení povinností </w:t>
      </w:r>
      <w:r w:rsidR="00AF7FDC">
        <w:t>p</w:t>
      </w:r>
      <w:r>
        <w:t>oskytovatele</w:t>
      </w:r>
      <w:r w:rsidR="00C2212D" w:rsidRPr="00AC6575">
        <w:t xml:space="preserve"> vzniknou na základě pravomocného rozhodnutí soudu či jiného státního orgánu.</w:t>
      </w:r>
    </w:p>
    <w:p w14:paraId="46307085" w14:textId="1853A3F7" w:rsidR="00C2212D" w:rsidRPr="00AC6575" w:rsidRDefault="00AF7FDC" w:rsidP="008024D0">
      <w:pPr>
        <w:pStyle w:val="Nadpis2"/>
        <w:keepLines w:val="0"/>
        <w:ind w:left="578" w:hanging="578"/>
      </w:pPr>
      <w:r>
        <w:t>Žádná ze s</w:t>
      </w:r>
      <w:r w:rsidR="00396AF6">
        <w:t>mluvních s</w:t>
      </w:r>
      <w:r w:rsidR="00C2212D" w:rsidRPr="00AC6575">
        <w:t>tran není povinna nahradit škodu, která vznikla v důsledku věcně nesprávného nebo jinak chybného z</w:t>
      </w:r>
      <w:r w:rsidR="00396AF6">
        <w:t>adání, které obdržela od druhé smluvní strany. V případě, že o</w:t>
      </w:r>
      <w:r w:rsidR="00C2212D" w:rsidRPr="00AC6575">
        <w:t xml:space="preserve">bjednatel poskytl </w:t>
      </w:r>
      <w:r w:rsidR="00396AF6">
        <w:t xml:space="preserve">poskytovateli </w:t>
      </w:r>
      <w:r w:rsidR="00C2212D" w:rsidRPr="00AC6575">
        <w:t xml:space="preserve">chybné zadání a </w:t>
      </w:r>
      <w:r w:rsidR="00396AF6">
        <w:t>poskytovatel</w:t>
      </w:r>
      <w:r w:rsidR="00C2212D" w:rsidRPr="00AC6575">
        <w:t xml:space="preserve"> s ohledem na svo</w:t>
      </w:r>
      <w:r w:rsidR="00396AF6">
        <w:t>u povinnost provést plnění dle</w:t>
      </w:r>
      <w:r w:rsidR="00A52737">
        <w:t> </w:t>
      </w:r>
      <w:r w:rsidR="00396AF6">
        <w:t>s</w:t>
      </w:r>
      <w:r w:rsidR="00C2212D" w:rsidRPr="00AC6575">
        <w:t xml:space="preserve">mlouvy či jeho část s odbornou péčí mohl a měl chybnost takového zadání zjistit, smí se </w:t>
      </w:r>
      <w:r w:rsidR="00C2212D" w:rsidRPr="00AC6575">
        <w:lastRenderedPageBreak/>
        <w:t xml:space="preserve">ustanovení předchozí věty dovolávat pouze </w:t>
      </w:r>
      <w:r w:rsidR="00396AF6">
        <w:t>v případě, že na</w:t>
      </w:r>
      <w:r w:rsidR="00230CF9">
        <w:t> </w:t>
      </w:r>
      <w:r w:rsidR="00396AF6">
        <w:t>chybné zadání objednatele písemně upozornil a o</w:t>
      </w:r>
      <w:r w:rsidR="00C2212D" w:rsidRPr="00AC6575">
        <w:t xml:space="preserve">bjednatel trval na původním zadání. </w:t>
      </w:r>
    </w:p>
    <w:p w14:paraId="4B5970AA" w14:textId="68878F85" w:rsidR="00C2212D" w:rsidRPr="00AC6575" w:rsidRDefault="00AF7FDC" w:rsidP="009A190D">
      <w:pPr>
        <w:pStyle w:val="Nadpis2"/>
      </w:pPr>
      <w:r>
        <w:t>Žádná ze s</w:t>
      </w:r>
      <w:r w:rsidR="00396AF6">
        <w:t>mluvních s</w:t>
      </w:r>
      <w:r w:rsidR="00C2212D" w:rsidRPr="00AC6575">
        <w:t>tran není odpovědná za škodu vz</w:t>
      </w:r>
      <w:r w:rsidR="00396AF6">
        <w:t>niklou porušením povinnosti ze s</w:t>
      </w:r>
      <w:r w:rsidR="00C2212D" w:rsidRPr="00AC6575">
        <w:t>mlouvy, prokáže-li, že mu ve splnění povinn</w:t>
      </w:r>
      <w:r w:rsidR="00396AF6">
        <w:t>osti ze s</w:t>
      </w:r>
      <w:r w:rsidR="00C2212D" w:rsidRPr="00AC6575">
        <w:t>mlouvy dočasně nebo trvale zabránila mimořádná nepředvídatelná a nepřekonatelná překážka vzniklá nezávisle na jeho vůli. Překážka vzniklá ze</w:t>
      </w:r>
      <w:r w:rsidR="00A52737">
        <w:t> </w:t>
      </w:r>
      <w:r w:rsidR="00C2212D" w:rsidRPr="00AC6575">
        <w:t xml:space="preserve">škůdcových osobních poměrů nebo vzniklá až v době, kdy byl </w:t>
      </w:r>
      <w:r w:rsidR="00DF4589">
        <w:t>škůdce s </w:t>
      </w:r>
      <w:r w:rsidR="003D73F8">
        <w:t>plněním povinnosti ze</w:t>
      </w:r>
      <w:r w:rsidR="00A52737">
        <w:t> </w:t>
      </w:r>
      <w:r w:rsidR="003D73F8">
        <w:t>s</w:t>
      </w:r>
      <w:r w:rsidR="00C2212D" w:rsidRPr="00AC6575">
        <w:t>mlouvy v prodlení, ani pře</w:t>
      </w:r>
      <w:r w:rsidR="003D73F8">
        <w:t>kážka, kterou byl škůdce podle s</w:t>
      </w:r>
      <w:r w:rsidR="00C2212D" w:rsidRPr="00AC6575">
        <w:t>mlouvy povinen překonat, ho však povinnosti k náhradě nezprostí. S</w:t>
      </w:r>
      <w:r w:rsidR="00645252">
        <w:t>mluvní s</w:t>
      </w:r>
      <w:r w:rsidR="00C2212D" w:rsidRPr="00AC6575">
        <w:t>trany se zavazují upozornit druhou stranu bez zbytečného odkladu na vzniklé p</w:t>
      </w:r>
      <w:r w:rsidR="003D73F8">
        <w:t>řekážky bránící řádnému plnění s</w:t>
      </w:r>
      <w:r w:rsidR="00C2212D" w:rsidRPr="00AC6575">
        <w:t xml:space="preserve">mlouvy a dále se zavazují k vyvinutí maximálnímu úsilí k jejich odvrácení a překonání. </w:t>
      </w:r>
    </w:p>
    <w:p w14:paraId="4143F523" w14:textId="77777777" w:rsidR="00C2212D" w:rsidRPr="00AC6575" w:rsidRDefault="00C2212D" w:rsidP="009A190D">
      <w:pPr>
        <w:pStyle w:val="Nadpis2"/>
      </w:pPr>
      <w:bookmarkStart w:id="1" w:name="_Ref425004659"/>
      <w:r w:rsidRPr="00AC6575">
        <w:t>Výše náhra</w:t>
      </w:r>
      <w:r w:rsidR="003D73F8">
        <w:t>dy škody či jiné újmy se řídí občanským zákoníkem</w:t>
      </w:r>
      <w:r w:rsidRPr="00AC6575">
        <w:t xml:space="preserve"> a její maximální výše není omezena. </w:t>
      </w:r>
    </w:p>
    <w:p w14:paraId="67200F36" w14:textId="48551DE7" w:rsidR="00C2212D" w:rsidRPr="00AC6575" w:rsidRDefault="00C2212D" w:rsidP="009A190D">
      <w:pPr>
        <w:pStyle w:val="Nadpis2"/>
      </w:pPr>
      <w:r w:rsidRPr="00AC6575">
        <w:t>Škoda se hradí v penězích, nebo, je-li to možné nebo účelné, uvedením do předešlého stavu podle volby poškozené strany v konkrétním případě.</w:t>
      </w:r>
      <w:bookmarkEnd w:id="1"/>
    </w:p>
    <w:p w14:paraId="53F4801B" w14:textId="7D5F4721" w:rsidR="00C2212D" w:rsidRPr="00AC6575" w:rsidRDefault="003D73F8" w:rsidP="009A190D">
      <w:pPr>
        <w:pStyle w:val="Nadpis2"/>
      </w:pPr>
      <w:bookmarkStart w:id="2" w:name="_Ref425006157"/>
      <w:r>
        <w:t>Poskytovatel</w:t>
      </w:r>
      <w:r w:rsidR="00C2212D" w:rsidRPr="00AC6575">
        <w:t xml:space="preserve"> se zavazuje, že bu</w:t>
      </w:r>
      <w:r>
        <w:t>de mít po celou dobu účinnosti s</w:t>
      </w:r>
      <w:r w:rsidR="00C2212D" w:rsidRPr="00AC6575">
        <w:t xml:space="preserve">mlouvy sjednánu pojistnou smlouvu, jejímž předmětem je pojištění odpovědnosti za škodu způsobenou </w:t>
      </w:r>
      <w:r>
        <w:t>poskytovatelem</w:t>
      </w:r>
      <w:r w:rsidR="00C2212D" w:rsidRPr="00AC6575">
        <w:t xml:space="preserve"> třetí osobě s limitem pojistného plnění minimálně ve výši </w:t>
      </w:r>
      <w:r w:rsidR="001473DC">
        <w:t>2</w:t>
      </w:r>
      <w:r w:rsidR="00064E4D">
        <w:t> </w:t>
      </w:r>
      <w:r w:rsidR="001473DC">
        <w:t>000</w:t>
      </w:r>
      <w:r w:rsidR="00064E4D">
        <w:t xml:space="preserve"> </w:t>
      </w:r>
      <w:r w:rsidR="001473DC">
        <w:t>000</w:t>
      </w:r>
      <w:r w:rsidR="006C13F1">
        <w:t xml:space="preserve"> Kč. Poskytovatel</w:t>
      </w:r>
      <w:r w:rsidR="00C2212D" w:rsidRPr="00AC6575">
        <w:t xml:space="preserve"> je povinen předat kopii pojistného certifikátu (pojistné smlouvy) </w:t>
      </w:r>
      <w:r w:rsidR="006C13F1">
        <w:t xml:space="preserve">kdykoliv na vyžádání </w:t>
      </w:r>
      <w:r w:rsidR="00230CF9">
        <w:t>o</w:t>
      </w:r>
      <w:r w:rsidR="00230CF9" w:rsidRPr="00AC6575">
        <w:t>bjednatele,</w:t>
      </w:r>
      <w:r w:rsidR="00C2212D" w:rsidRPr="00AC6575">
        <w:t xml:space="preserve"> a to bez zbytečného odkladu, nejpozději však do 5 (slovy: pěti) pracovních dnů od doručení </w:t>
      </w:r>
      <w:r w:rsidR="006C13F1">
        <w:t>písemné žádosti o</w:t>
      </w:r>
      <w:r w:rsidR="00C2212D" w:rsidRPr="00AC6575">
        <w:t>bjednatele.</w:t>
      </w:r>
      <w:bookmarkEnd w:id="2"/>
    </w:p>
    <w:p w14:paraId="65E35E74" w14:textId="77777777" w:rsidR="00C2212D" w:rsidRPr="00AC6575" w:rsidRDefault="00C2212D" w:rsidP="009A190D">
      <w:pPr>
        <w:pStyle w:val="Nadpis2"/>
      </w:pPr>
      <w:r w:rsidRPr="00AC6575">
        <w:t xml:space="preserve">V případě, že činností </w:t>
      </w:r>
      <w:r w:rsidR="006C13F1">
        <w:t>poskytovatele dojde ke způsobení škody o</w:t>
      </w:r>
      <w:r w:rsidRPr="00AC6575">
        <w:t>bjednateli nebo třetím osobám, která nebude kryta pojiš</w:t>
      </w:r>
      <w:r w:rsidR="006C13F1">
        <w:t>těním odpovědnosti dle odstavce 8.7 s</w:t>
      </w:r>
      <w:r w:rsidRPr="00AC6575">
        <w:t xml:space="preserve">mlouvy, bude </w:t>
      </w:r>
      <w:r w:rsidR="006C13F1">
        <w:t>poskytovatel</w:t>
      </w:r>
      <w:r w:rsidRPr="00AC6575">
        <w:t xml:space="preserve"> povinen škodu uhradit z vlastních prostředků.</w:t>
      </w:r>
    </w:p>
    <w:p w14:paraId="5EAB6F64" w14:textId="2CB35370" w:rsidR="00CE12D3" w:rsidRDefault="00CE12D3" w:rsidP="009A190D">
      <w:pPr>
        <w:pStyle w:val="Nadpis2"/>
      </w:pPr>
      <w:r>
        <w:t>V případě nedodržení některé smlouvou stanovené lhůty ze strany poskytovatele je objednatel oprávněn požadovat smluvní pokutu ve výši 3</w:t>
      </w:r>
      <w:r w:rsidR="00064E4D">
        <w:t> </w:t>
      </w:r>
      <w:r>
        <w:t>000 Kč za každý, byť započatý, den prodlení a za</w:t>
      </w:r>
      <w:r w:rsidR="00A52737">
        <w:t> </w:t>
      </w:r>
      <w:r>
        <w:t xml:space="preserve">každé takové porušení, to však pouze tehdy, není-li porušení dané povinnosti sankcionováno smluvní pokutou z jiného důvodu. </w:t>
      </w:r>
    </w:p>
    <w:p w14:paraId="71DD34B4" w14:textId="21AC4165" w:rsidR="00CE12D3" w:rsidRDefault="00CE12D3" w:rsidP="009A190D">
      <w:pPr>
        <w:pStyle w:val="Nadpis2"/>
      </w:pPr>
      <w:r>
        <w:t>V případě prodlení kterékoliv smluvní strany se zaplacením peněžité částky, má oprávněná smluvní strana právo na zaplacení úroku z prodlení ve vý</w:t>
      </w:r>
      <w:r w:rsidR="000D38C8">
        <w:t>ši stanovené nařízením vlády č. </w:t>
      </w:r>
      <w:r>
        <w:t>351/2013 Sb., kterým se určuje výše úroků z prodlení a nákladů spojených s uplatněním pohledávky, určuje odměna likvidátora, likvidačního správce a člena orgánu právnické osoby jmenovaného soudem a</w:t>
      </w:r>
      <w:r w:rsidR="00A52737">
        <w:t> </w:t>
      </w:r>
      <w:r>
        <w:t>upravují některé otázky Obchodního věstníku a veřejných rejstříků právnických a fyzických osob</w:t>
      </w:r>
      <w:r w:rsidR="005E7529" w:rsidRPr="005E7529">
        <w:rPr>
          <w:rFonts w:ascii="Arial" w:hAnsi="Arial" w:cs="Arial"/>
          <w:i/>
          <w:iCs/>
          <w:color w:val="070707"/>
          <w:sz w:val="26"/>
          <w:szCs w:val="26"/>
          <w:shd w:val="clear" w:color="auto" w:fill="FFFFFF"/>
        </w:rPr>
        <w:t xml:space="preserve"> </w:t>
      </w:r>
      <w:r w:rsidR="005E7529" w:rsidRPr="005E7529">
        <w:rPr>
          <w:rFonts w:cs="Arial"/>
          <w:iCs/>
          <w:color w:val="070707"/>
          <w:szCs w:val="18"/>
          <w:shd w:val="clear" w:color="auto" w:fill="FFFFFF"/>
        </w:rPr>
        <w:t>a</w:t>
      </w:r>
      <w:r w:rsidR="00A52737">
        <w:rPr>
          <w:rFonts w:cs="Arial"/>
          <w:iCs/>
          <w:color w:val="070707"/>
          <w:szCs w:val="18"/>
          <w:shd w:val="clear" w:color="auto" w:fill="FFFFFF"/>
        </w:rPr>
        <w:t> </w:t>
      </w:r>
      <w:r w:rsidR="005E7529" w:rsidRPr="005E7529">
        <w:rPr>
          <w:rFonts w:cs="Arial"/>
          <w:iCs/>
          <w:color w:val="070707"/>
          <w:szCs w:val="18"/>
          <w:shd w:val="clear" w:color="auto" w:fill="FFFFFF"/>
        </w:rPr>
        <w:t>evidence svěřenských fondů a evidence údajů o skutečných majitelích</w:t>
      </w:r>
      <w:r w:rsidRPr="005E7529">
        <w:rPr>
          <w:szCs w:val="18"/>
        </w:rPr>
        <w:t>,</w:t>
      </w:r>
      <w:r>
        <w:t xml:space="preserve"> ve znění pozdějších předpisů.</w:t>
      </w:r>
    </w:p>
    <w:p w14:paraId="4E3BD460" w14:textId="77777777" w:rsidR="00CE12D3" w:rsidRDefault="00CE12D3" w:rsidP="009A190D">
      <w:pPr>
        <w:pStyle w:val="Nadpis2"/>
      </w:pPr>
      <w:r>
        <w:t xml:space="preserve">Smluvní pokutu lze uložit opakovaně, a to za každý jednotlivý případ. </w:t>
      </w:r>
    </w:p>
    <w:p w14:paraId="684F51CC" w14:textId="342CA7E5" w:rsidR="00CE12D3" w:rsidRDefault="00CE12D3" w:rsidP="009A190D">
      <w:pPr>
        <w:pStyle w:val="Nadpis2"/>
      </w:pPr>
      <w:r>
        <w:t>Smluvní pokutu uhradí poskytovatel na bankovní účet objednatele ve lhůtě splatnosti 30</w:t>
      </w:r>
      <w:r w:rsidR="00FC1E61">
        <w:t> </w:t>
      </w:r>
      <w:r>
        <w:t>dnů od</w:t>
      </w:r>
      <w:r w:rsidR="00A52737">
        <w:t> </w:t>
      </w:r>
      <w:r>
        <w:t>doručení jejího vyúčtování, nedohodnou-li se smluvní strany v konkrétním případě jinak.</w:t>
      </w:r>
    </w:p>
    <w:p w14:paraId="4601E0AA" w14:textId="7F8E695F" w:rsidR="00B00CCF" w:rsidRPr="00B00CCF" w:rsidRDefault="00B00CCF" w:rsidP="009A190D">
      <w:pPr>
        <w:pStyle w:val="Nadpis2"/>
      </w:pPr>
      <w:r w:rsidRPr="00B00CCF">
        <w:t xml:space="preserve">Zaplacením smluvní pokuty </w:t>
      </w:r>
      <w:r>
        <w:t>není jakkoliv dotčen nárok o</w:t>
      </w:r>
      <w:r w:rsidRPr="00B00CCF">
        <w:t>bjednatele na náhradu škody; nárok na</w:t>
      </w:r>
      <w:r w:rsidR="00A52737">
        <w:t> </w:t>
      </w:r>
      <w:r w:rsidRPr="00B00CCF">
        <w:t xml:space="preserve">náhradu škody je </w:t>
      </w:r>
      <w:r>
        <w:t>o</w:t>
      </w:r>
      <w:r w:rsidRPr="00B00CCF">
        <w:t>bjednatel oprávněn uplatnit vedle smluvní pokuty v plné výši. Zaplacením smluvní pokuty není dotčeno splnění povinnosti, která je prostřednictvím smluvní pokuty zajištěna.</w:t>
      </w:r>
    </w:p>
    <w:p w14:paraId="5ADC83EF" w14:textId="77777777" w:rsidR="00624461" w:rsidRDefault="00A01739" w:rsidP="00B15D64">
      <w:pPr>
        <w:pStyle w:val="Nadpis1"/>
      </w:pPr>
      <w:r>
        <w:t>MOŽNOSTI UKONČENÍ</w:t>
      </w:r>
      <w:r w:rsidR="00B95567">
        <w:t xml:space="preserve"> smlouvy</w:t>
      </w:r>
    </w:p>
    <w:p w14:paraId="2514E568" w14:textId="4302BB69" w:rsidR="00A01739" w:rsidRPr="00551CF4" w:rsidRDefault="00A01739" w:rsidP="00624461">
      <w:pPr>
        <w:pStyle w:val="Nadpis2"/>
      </w:pPr>
      <w:r w:rsidRPr="00551CF4">
        <w:t>Smlouva může</w:t>
      </w:r>
      <w:r w:rsidR="00700268">
        <w:t xml:space="preserve"> být ukončena písemnou dohodou s</w:t>
      </w:r>
      <w:r w:rsidRPr="00551CF4">
        <w:t>mluvních stran.</w:t>
      </w:r>
    </w:p>
    <w:p w14:paraId="2DB1953C" w14:textId="037BA503" w:rsidR="00977F7A" w:rsidRDefault="00700268" w:rsidP="009A190D">
      <w:pPr>
        <w:pStyle w:val="Nadpis2"/>
      </w:pPr>
      <w:bookmarkStart w:id="3" w:name="_Ref415476039"/>
      <w:r>
        <w:t>Objednatel je oprávněn od s</w:t>
      </w:r>
      <w:r w:rsidR="00A01739" w:rsidRPr="00551CF4">
        <w:t>mlouvy písemně odstoupit z důvodu jejího p</w:t>
      </w:r>
      <w:r>
        <w:t>odstatného porušení poskytovatelem</w:t>
      </w:r>
      <w:r w:rsidR="00A01739" w:rsidRPr="00551CF4">
        <w:t>,</w:t>
      </w:r>
      <w:r>
        <w:t xml:space="preserve"> přičemž za podstatné porušení s</w:t>
      </w:r>
      <w:r w:rsidR="00A01739" w:rsidRPr="00551CF4">
        <w:t>mlouvy se bude považovat</w:t>
      </w:r>
      <w:bookmarkStart w:id="4" w:name="_Toc419465180"/>
      <w:bookmarkStart w:id="5" w:name="_Toc425139200"/>
      <w:bookmarkStart w:id="6" w:name="_Toc440526013"/>
      <w:bookmarkStart w:id="7" w:name="_Toc419445156"/>
      <w:bookmarkEnd w:id="3"/>
      <w:r w:rsidR="00977F7A">
        <w:t xml:space="preserve"> </w:t>
      </w:r>
      <w:r w:rsidR="000D53E3" w:rsidRPr="00977F7A">
        <w:t>prodlení poskytovatele s poskytnutím plnění dle této smlouvy</w:t>
      </w:r>
      <w:r w:rsidR="00C71495" w:rsidRPr="00977F7A">
        <w:t xml:space="preserve">, </w:t>
      </w:r>
      <w:r w:rsidR="001427B7" w:rsidRPr="00977F7A">
        <w:t>pokud poskytovatel</w:t>
      </w:r>
      <w:r w:rsidR="00A01739" w:rsidRPr="00977F7A">
        <w:t xml:space="preserve"> nezjedná nápravu ani v dodatečné při</w:t>
      </w:r>
      <w:r w:rsidR="001427B7" w:rsidRPr="00977F7A">
        <w:t>měřené lhůtě, kterou mu k tomu o</w:t>
      </w:r>
      <w:r w:rsidR="00A01739" w:rsidRPr="00977F7A">
        <w:t>bjednatel poskytne v písemné výzvě ke splnění povinnosti, přičemž tato lhůta nesmí být kratší než 10 pracovních dnů od doručení takovéto výzvy</w:t>
      </w:r>
      <w:bookmarkStart w:id="8" w:name="_Toc419465181"/>
      <w:bookmarkStart w:id="9" w:name="_Toc425139206"/>
      <w:bookmarkEnd w:id="4"/>
      <w:bookmarkEnd w:id="5"/>
      <w:bookmarkEnd w:id="6"/>
      <w:r w:rsidR="00A01739" w:rsidRPr="00977F7A">
        <w:t>.</w:t>
      </w:r>
      <w:bookmarkEnd w:id="7"/>
      <w:bookmarkEnd w:id="8"/>
      <w:bookmarkEnd w:id="9"/>
    </w:p>
    <w:p w14:paraId="10B6D918" w14:textId="77777777" w:rsidR="00A01739" w:rsidRPr="00551CF4" w:rsidRDefault="00A01739" w:rsidP="009A190D">
      <w:pPr>
        <w:pStyle w:val="Nadpis2"/>
      </w:pPr>
      <w:r w:rsidRPr="00551CF4">
        <w:t>Objednatel j</w:t>
      </w:r>
      <w:r w:rsidR="00977F7A">
        <w:t>e rovněž oprávněn odstoupit od s</w:t>
      </w:r>
      <w:r w:rsidRPr="00551CF4">
        <w:t>mlouvy v případě, že:</w:t>
      </w:r>
    </w:p>
    <w:p w14:paraId="51B32D55" w14:textId="2186AD01" w:rsidR="00A01739" w:rsidRPr="00645B08" w:rsidRDefault="00A01739" w:rsidP="00AE1B94">
      <w:pPr>
        <w:pStyle w:val="Nadpis3"/>
        <w:keepLines w:val="0"/>
      </w:pPr>
      <w:r w:rsidRPr="00645B08">
        <w:t>v insolvenč</w:t>
      </w:r>
      <w:r w:rsidR="00977F7A" w:rsidRPr="00645B08">
        <w:t>ním řízení bude zjištěn úpadek poskytovatele</w:t>
      </w:r>
      <w:r w:rsidRPr="00645B08">
        <w:t xml:space="preserve"> nebo insolvenční návrh bude zamítnut pro nedo</w:t>
      </w:r>
      <w:r w:rsidR="00977F7A" w:rsidRPr="00645B08">
        <w:t>statek majetku poskytovatele</w:t>
      </w:r>
      <w:r w:rsidRPr="00645B08">
        <w:t xml:space="preserve"> v souladu se zněním zákona č. 182/2006 Sb., o úpadku a způsobech jeho řešení (insolvenční zákon), ve znění pozdějších předpisů. </w:t>
      </w:r>
      <w:r w:rsidRPr="00645B08">
        <w:lastRenderedPageBreak/>
        <w:t>Objednatel j</w:t>
      </w:r>
      <w:r w:rsidR="007B1E8C" w:rsidRPr="00645B08">
        <w:t>e rovněž oprávněn odstoupit od s</w:t>
      </w:r>
      <w:r w:rsidRPr="00645B08">
        <w:t xml:space="preserve">mlouvy v případě, že </w:t>
      </w:r>
      <w:r w:rsidR="007B1E8C" w:rsidRPr="00645B08">
        <w:t>poskytovatel</w:t>
      </w:r>
      <w:r w:rsidRPr="00645B08">
        <w:t xml:space="preserve"> vstoupí do</w:t>
      </w:r>
      <w:r w:rsidR="00A52737">
        <w:t> </w:t>
      </w:r>
      <w:r w:rsidRPr="00645B08">
        <w:t>likvidace; nebo</w:t>
      </w:r>
    </w:p>
    <w:p w14:paraId="61DEF7E2" w14:textId="77777777" w:rsidR="00A01739" w:rsidRPr="00645B08" w:rsidRDefault="007B1E8C" w:rsidP="00645B08">
      <w:pPr>
        <w:pStyle w:val="Nadpis3"/>
      </w:pPr>
      <w:r w:rsidRPr="00645B08">
        <w:t>proti poskytovateli</w:t>
      </w:r>
      <w:r w:rsidR="00A01739" w:rsidRPr="00645B08">
        <w:t xml:space="preserve"> je zahájeno trestní stíhání pro trestný čin podle zákona č. 418/2011 Sb., o trestní odpovědnosti právnických osob, ve znění pozdějších předpisů.</w:t>
      </w:r>
    </w:p>
    <w:p w14:paraId="41D8896B" w14:textId="77777777" w:rsidR="00CF5A9F" w:rsidRDefault="007B1E8C" w:rsidP="009A190D">
      <w:pPr>
        <w:pStyle w:val="Nadpis2"/>
      </w:pPr>
      <w:r>
        <w:t>Poskytovatel je oprávněn od s</w:t>
      </w:r>
      <w:r w:rsidR="00A01739" w:rsidRPr="00551CF4">
        <w:t>mlouvy písemně odstoupit z důvo</w:t>
      </w:r>
      <w:r>
        <w:t>du jejího podstatného porušení o</w:t>
      </w:r>
      <w:r w:rsidR="00A01739" w:rsidRPr="00551CF4">
        <w:t>bjednatelem,</w:t>
      </w:r>
      <w:r>
        <w:t xml:space="preserve"> přičemž za podstatné porušení s</w:t>
      </w:r>
      <w:r w:rsidR="00A01739" w:rsidRPr="00551CF4">
        <w:t>mlo</w:t>
      </w:r>
      <w:r>
        <w:t>uvy se bude považovat prodlení o</w:t>
      </w:r>
      <w:r w:rsidR="00A01739" w:rsidRPr="00551CF4">
        <w:t>bjednatele s ú</w:t>
      </w:r>
      <w:r>
        <w:t>hradou ceny za plnění s</w:t>
      </w:r>
      <w:r w:rsidR="00A01739" w:rsidRPr="00551CF4">
        <w:t xml:space="preserve">mlouvy delší než 30 </w:t>
      </w:r>
      <w:r w:rsidR="00CF5A9F">
        <w:t>kalendářních dnů, pokud o</w:t>
      </w:r>
      <w:r w:rsidR="00A01739" w:rsidRPr="00551CF4">
        <w:t xml:space="preserve">bjednatel nezjedná nápravu ani do 10 pracovních dnů od doručení písemného oznámení </w:t>
      </w:r>
      <w:r w:rsidR="00CF5A9F">
        <w:t>poskytovatele</w:t>
      </w:r>
      <w:r w:rsidR="00A01739" w:rsidRPr="00551CF4">
        <w:t xml:space="preserve"> o takovém prodlení se žádostí o jeho nápravu.</w:t>
      </w:r>
    </w:p>
    <w:p w14:paraId="2B1CB26D" w14:textId="77777777" w:rsidR="00A01739" w:rsidRPr="00551CF4" w:rsidRDefault="00CF5A9F" w:rsidP="009A190D">
      <w:pPr>
        <w:pStyle w:val="Nadpis2"/>
      </w:pPr>
      <w:r>
        <w:t>Odstoupení od smlouvy ze strany o</w:t>
      </w:r>
      <w:r w:rsidR="00A01739" w:rsidRPr="00551CF4">
        <w:t>bjednatele nesmí být spojeno s ul</w:t>
      </w:r>
      <w:r>
        <w:t>ožením jakékoliv sankce k tíži o</w:t>
      </w:r>
      <w:r w:rsidR="00A01739" w:rsidRPr="00551CF4">
        <w:t>bjednatele.</w:t>
      </w:r>
    </w:p>
    <w:p w14:paraId="06F5D04D" w14:textId="77777777" w:rsidR="00FB1611" w:rsidRDefault="00A01739" w:rsidP="009A190D">
      <w:pPr>
        <w:pStyle w:val="Nadpis2"/>
      </w:pPr>
      <w:r w:rsidRPr="00551CF4">
        <w:t xml:space="preserve">Strany se </w:t>
      </w:r>
      <w:r w:rsidR="00CF5A9F">
        <w:t>dále dohodly, že odstoupení od s</w:t>
      </w:r>
      <w:r w:rsidRPr="00551CF4">
        <w:t>mlouvy musí být písemné, jinak je neplatné. Odstoupení je účinné od</w:t>
      </w:r>
      <w:r w:rsidR="00CF5A9F">
        <w:t>e dne, kdy bylo doručeno druhé smluvní s</w:t>
      </w:r>
      <w:r w:rsidRPr="00551CF4">
        <w:t xml:space="preserve">traně. </w:t>
      </w:r>
    </w:p>
    <w:p w14:paraId="1F44BF24" w14:textId="7E766EB9" w:rsidR="00A01739" w:rsidRPr="00FB1611" w:rsidRDefault="00A01739" w:rsidP="009A190D">
      <w:pPr>
        <w:pStyle w:val="Nadpis2"/>
      </w:pPr>
      <w:r w:rsidRPr="00FB1611">
        <w:t>Objednatel</w:t>
      </w:r>
      <w:r w:rsidR="00FB1611">
        <w:t xml:space="preserve"> je oprávněn písemně vypovědět s</w:t>
      </w:r>
      <w:r w:rsidRPr="00FB1611">
        <w:t>mlouvu</w:t>
      </w:r>
      <w:r w:rsidR="004D51CA">
        <w:t>,</w:t>
      </w:r>
      <w:r w:rsidRPr="00FB1611">
        <w:t xml:space="preserve"> a to i bez udání důvodu. Výpovědní doba činí </w:t>
      </w:r>
      <w:r w:rsidR="00FB1611">
        <w:t>2 měsíce</w:t>
      </w:r>
      <w:r w:rsidRPr="00FB1611">
        <w:t xml:space="preserve"> a začíná běžet prvním dnem měsíce následujícího po měsíci, v němž byla píse</w:t>
      </w:r>
      <w:r w:rsidR="00FB1611">
        <w:t>mná výpověď doručena poskytovateli</w:t>
      </w:r>
      <w:r w:rsidRPr="00FB1611">
        <w:t>.</w:t>
      </w:r>
    </w:p>
    <w:p w14:paraId="2B657F27" w14:textId="2C8CFC5F" w:rsidR="00A01739" w:rsidRPr="00551CF4" w:rsidRDefault="00E647D1" w:rsidP="009A190D">
      <w:pPr>
        <w:pStyle w:val="Nadpis2"/>
      </w:pPr>
      <w:r>
        <w:t>Ukončením s</w:t>
      </w:r>
      <w:r w:rsidR="00A01739" w:rsidRPr="00551CF4">
        <w:t>mlouvy nejsou dotčena ustanovení o odpovědnosti za škodu, nároky na uplatnění smluvních pokut, práva z vad a záruky za jakost, o ochraně důvěrných informací a ostatníc</w:t>
      </w:r>
      <w:r>
        <w:t>h práv a</w:t>
      </w:r>
      <w:r w:rsidR="00A52737">
        <w:t> </w:t>
      </w:r>
      <w:r>
        <w:t>povinností založených s</w:t>
      </w:r>
      <w:r w:rsidR="00A01739" w:rsidRPr="00551CF4">
        <w:t>mlouvou</w:t>
      </w:r>
      <w:r>
        <w:t>, která mají podle zákona nebo s</w:t>
      </w:r>
      <w:r w:rsidR="00A01739" w:rsidRPr="00551CF4">
        <w:t>mlouvy trvat i po jejím zrušení.</w:t>
      </w:r>
    </w:p>
    <w:p w14:paraId="02030D56" w14:textId="77777777" w:rsidR="00624461" w:rsidRDefault="00B95567" w:rsidP="00E86891">
      <w:pPr>
        <w:pStyle w:val="Nadpis1"/>
      </w:pPr>
      <w:r>
        <w:t>Ochrana informací</w:t>
      </w:r>
    </w:p>
    <w:p w14:paraId="76E0401D" w14:textId="0B556681" w:rsidR="00140EE9" w:rsidRPr="00140EE9" w:rsidRDefault="00140EE9" w:rsidP="00624461">
      <w:pPr>
        <w:pStyle w:val="Nadpis2"/>
      </w:pPr>
      <w:r w:rsidRPr="00140EE9">
        <w:t>Obě smluvní strany se zavazují, že zachovají jako neveřejné informace a zprávy týkající se vlastní spolupráce a vnitřních záležitostí smluvních stran, pokud by jejich zveřejnění mohlo poškodit druhou stranu. Povinnost poskytovat informace podle zákona č. 106/1999 Sb., o</w:t>
      </w:r>
      <w:r w:rsidR="00FC1E61">
        <w:t> </w:t>
      </w:r>
      <w:r w:rsidRPr="00140EE9">
        <w:t>svobodném přístupu k</w:t>
      </w:r>
      <w:r w:rsidR="00A52737">
        <w:t> </w:t>
      </w:r>
      <w:r w:rsidRPr="00140EE9">
        <w:t>informacím, ve znění pozdějších předpisů tím není dotčena.</w:t>
      </w:r>
    </w:p>
    <w:p w14:paraId="14089F2F" w14:textId="6DFF4D51" w:rsidR="00140EE9" w:rsidRPr="00140EE9" w:rsidRDefault="00140EE9" w:rsidP="009A190D">
      <w:pPr>
        <w:pStyle w:val="Nadpis2"/>
      </w:pPr>
      <w:r w:rsidRPr="00140EE9">
        <w:t>Smluvní strany budou za neveřejné informace považovat též veškeré informace vzájemně poskytnuté v jakékoliv objektivně vnímatelné formě ústně, v listinné, elektronické, vizuální nebo jiné podobě, jakož i know-how, a které mají skutečnou nebo alespoň potenciální hodnotu a které nejsou v příslušných obchodních kruzích běžně dostupné nebo u kterých se z povahy dá předpokládat, že</w:t>
      </w:r>
      <w:r w:rsidR="00A52737">
        <w:t> </w:t>
      </w:r>
      <w:r w:rsidRPr="00140EE9">
        <w:t>se jedná o informace neveřejné, resp. podléhající závazku mlčenlivosti, a</w:t>
      </w:r>
      <w:r w:rsidR="009A190D">
        <w:t> </w:t>
      </w:r>
      <w:r w:rsidRPr="00140EE9">
        <w:t>které se dozvěděly v</w:t>
      </w:r>
      <w:r w:rsidR="00A52737">
        <w:t> </w:t>
      </w:r>
      <w:r w:rsidRPr="00140EE9">
        <w:t>souvislosti s plněním této smlouvy.</w:t>
      </w:r>
    </w:p>
    <w:p w14:paraId="29CF9149" w14:textId="79B12AA6" w:rsidR="00140EE9" w:rsidRPr="00140EE9" w:rsidRDefault="00140EE9" w:rsidP="009A190D">
      <w:pPr>
        <w:pStyle w:val="Nadpis2"/>
      </w:pPr>
      <w:r w:rsidRPr="00140EE9">
        <w:t>Smluvní strany se zavazují, že neuvolní třetí osobě neveřejné informace druhé smluvní strany bez</w:t>
      </w:r>
      <w:r w:rsidR="00A52737">
        <w:t> </w:t>
      </w:r>
      <w:r w:rsidRPr="00140EE9">
        <w:t>jejího souhlasu, a to v jakékoliv formě, a že pod</w:t>
      </w:r>
      <w:r w:rsidR="009B5C35">
        <w:t>niknou všechny nezbytné kroky k </w:t>
      </w:r>
      <w:r w:rsidRPr="00140EE9">
        <w:t>zabezpečení těchto informací. To neplatí, mají-li být za účelem plnění této smlouvy potřebné informace zpřístupněny zaměstnancům, statutárním orgánům nebo jejich členům nebo třetím osobám, které se podílejí na plnění předmětu této smlouvy.</w:t>
      </w:r>
    </w:p>
    <w:p w14:paraId="1B0574BD" w14:textId="4247C91E" w:rsidR="00140EE9" w:rsidRPr="00140EE9" w:rsidRDefault="00140EE9" w:rsidP="009A190D">
      <w:pPr>
        <w:pStyle w:val="Nadpis2"/>
      </w:pPr>
      <w:r w:rsidRPr="00140EE9">
        <w:t>Smluvní strany se zavazují, že o povinnosti utajovat neveřejné informace poučí své zaměstnance a</w:t>
      </w:r>
      <w:r w:rsidR="00A52737">
        <w:t> </w:t>
      </w:r>
      <w:r w:rsidRPr="00140EE9">
        <w:t>případné své dodavatele, kterým budou neveřejné informace zpřístupněny.</w:t>
      </w:r>
    </w:p>
    <w:p w14:paraId="3B5C3A9F" w14:textId="77777777" w:rsidR="00140EE9" w:rsidRPr="00140EE9" w:rsidRDefault="00140EE9" w:rsidP="009A190D">
      <w:pPr>
        <w:pStyle w:val="Nadpis2"/>
      </w:pPr>
      <w:r w:rsidRPr="00140EE9">
        <w:t>Ochrana neveřejných informací se nevztahuje zejména na případy, kdy:</w:t>
      </w:r>
    </w:p>
    <w:p w14:paraId="5C41B5EF" w14:textId="77777777" w:rsidR="00140EE9" w:rsidRPr="00140EE9" w:rsidRDefault="00140EE9" w:rsidP="00A52737">
      <w:pPr>
        <w:pStyle w:val="Odstavecseseznamem"/>
        <w:numPr>
          <w:ilvl w:val="0"/>
          <w:numId w:val="0"/>
        </w:numPr>
        <w:spacing w:before="60" w:after="60"/>
        <w:ind w:left="1417" w:hanging="737"/>
        <w:contextualSpacing/>
        <w:jc w:val="both"/>
        <w:rPr>
          <w:rFonts w:cs="Arial"/>
        </w:rPr>
      </w:pPr>
      <w:r w:rsidRPr="00140EE9">
        <w:rPr>
          <w:rFonts w:cs="Arial"/>
        </w:rPr>
        <w:t>a)</w:t>
      </w:r>
      <w:r w:rsidRPr="00140EE9">
        <w:rPr>
          <w:rFonts w:cs="Arial"/>
        </w:rPr>
        <w:tab/>
        <w:t>smluvní strana prokáže, že je tato informace veřejně dostupná, aniž by tuto dostupnost způsobila sama smluvní strana;</w:t>
      </w:r>
    </w:p>
    <w:p w14:paraId="5FED794C" w14:textId="77777777" w:rsidR="00140EE9" w:rsidRPr="00140EE9" w:rsidRDefault="00140EE9" w:rsidP="00A52737">
      <w:pPr>
        <w:pStyle w:val="Odstavecseseznamem"/>
        <w:numPr>
          <w:ilvl w:val="0"/>
          <w:numId w:val="0"/>
        </w:numPr>
        <w:spacing w:before="60" w:after="60"/>
        <w:ind w:left="1417" w:hanging="737"/>
        <w:contextualSpacing/>
        <w:jc w:val="both"/>
        <w:rPr>
          <w:rFonts w:cs="Arial"/>
        </w:rPr>
      </w:pPr>
      <w:r w:rsidRPr="00140EE9">
        <w:rPr>
          <w:rFonts w:cs="Arial"/>
        </w:rPr>
        <w:t>b)</w:t>
      </w:r>
      <w:r w:rsidRPr="00140EE9">
        <w:rPr>
          <w:rFonts w:cs="Arial"/>
        </w:rPr>
        <w:tab/>
        <w:t>smluvní strana prokáže, že měla tuto informaci k dispozici ještě před datem zpřístupnění druhou stranou, a že ji nenabyla v rozporu se zákonem;</w:t>
      </w:r>
    </w:p>
    <w:p w14:paraId="345352E5" w14:textId="77777777" w:rsidR="00140EE9" w:rsidRPr="00140EE9" w:rsidRDefault="00140EE9" w:rsidP="00A52737">
      <w:pPr>
        <w:pStyle w:val="Odstavecseseznamem"/>
        <w:numPr>
          <w:ilvl w:val="0"/>
          <w:numId w:val="0"/>
        </w:numPr>
        <w:spacing w:before="60" w:after="60"/>
        <w:ind w:left="1417" w:hanging="737"/>
        <w:contextualSpacing/>
        <w:jc w:val="both"/>
        <w:rPr>
          <w:rFonts w:cs="Arial"/>
        </w:rPr>
      </w:pPr>
      <w:r w:rsidRPr="00140EE9">
        <w:rPr>
          <w:rFonts w:cs="Arial"/>
        </w:rPr>
        <w:t>c)</w:t>
      </w:r>
      <w:r w:rsidRPr="00140EE9">
        <w:rPr>
          <w:rFonts w:cs="Arial"/>
        </w:rPr>
        <w:tab/>
        <w:t>smluvní strana obdrží od zpřístupňující strany písemný souhlas zpřístupňovat danou informaci;</w:t>
      </w:r>
    </w:p>
    <w:p w14:paraId="7B9FDF73" w14:textId="77777777" w:rsidR="00140EE9" w:rsidRPr="00140EE9" w:rsidRDefault="00140EE9" w:rsidP="00A52737">
      <w:pPr>
        <w:pStyle w:val="Odstavecseseznamem"/>
        <w:numPr>
          <w:ilvl w:val="0"/>
          <w:numId w:val="0"/>
        </w:numPr>
        <w:spacing w:before="60" w:after="60"/>
        <w:ind w:left="1417" w:hanging="737"/>
        <w:contextualSpacing/>
        <w:jc w:val="both"/>
        <w:rPr>
          <w:rFonts w:cs="Arial"/>
        </w:rPr>
      </w:pPr>
      <w:r w:rsidRPr="00140EE9">
        <w:rPr>
          <w:rFonts w:cs="Arial"/>
        </w:rPr>
        <w:t>d)</w:t>
      </w:r>
      <w:r w:rsidRPr="00140EE9">
        <w:rPr>
          <w:rFonts w:cs="Arial"/>
        </w:rPr>
        <w:tab/>
        <w:t>je zpřístupnění informace vyžadováno zákonem nebo závazným rozhodnutím příslušného orgánu státní správy či samosprávy;</w:t>
      </w:r>
    </w:p>
    <w:p w14:paraId="3F4C2AD3" w14:textId="353148BC" w:rsidR="00140EE9" w:rsidRPr="00140EE9" w:rsidRDefault="00140EE9" w:rsidP="00A52737">
      <w:pPr>
        <w:pStyle w:val="Odstavecseseznamem"/>
        <w:numPr>
          <w:ilvl w:val="0"/>
          <w:numId w:val="0"/>
        </w:numPr>
        <w:spacing w:before="60" w:after="60"/>
        <w:ind w:left="1417" w:hanging="737"/>
        <w:contextualSpacing/>
        <w:jc w:val="both"/>
        <w:rPr>
          <w:rFonts w:cs="Arial"/>
        </w:rPr>
      </w:pPr>
      <w:r w:rsidRPr="00140EE9">
        <w:rPr>
          <w:rFonts w:cs="Arial"/>
        </w:rPr>
        <w:t>e)</w:t>
      </w:r>
      <w:r w:rsidRPr="00140EE9">
        <w:rPr>
          <w:rFonts w:cs="Arial"/>
        </w:rPr>
        <w:tab/>
        <w:t>auditor provádí u některé ze smluvních stran audit na základě oprávnění vyplývajícího z</w:t>
      </w:r>
      <w:r w:rsidR="0037075A">
        <w:rPr>
          <w:rFonts w:cs="Arial"/>
        </w:rPr>
        <w:t> </w:t>
      </w:r>
      <w:r w:rsidRPr="00140EE9">
        <w:rPr>
          <w:rFonts w:cs="Arial"/>
        </w:rPr>
        <w:t>příslušných právních předpisů.</w:t>
      </w:r>
    </w:p>
    <w:p w14:paraId="6813B7CB" w14:textId="77777777" w:rsidR="00140EE9" w:rsidRPr="00140EE9" w:rsidRDefault="00140EE9" w:rsidP="00837EF2">
      <w:pPr>
        <w:pStyle w:val="Nadpis2"/>
        <w:keepLines w:val="0"/>
        <w:ind w:left="578" w:hanging="578"/>
      </w:pPr>
      <w:r w:rsidRPr="00140EE9">
        <w:lastRenderedPageBreak/>
        <w:t>V případě, že se kterákoli smluvní strana hodnověrným způsobem dozví, popř. bude mít odůvodněné podezření, že došlo k zpřístupnění neveřejných informací neoprávněné osobě, je povinna o tom informovat druhou smluvní stranu.</w:t>
      </w:r>
    </w:p>
    <w:p w14:paraId="577ECA1A" w14:textId="77777777" w:rsidR="00B95567" w:rsidRDefault="00140EE9" w:rsidP="009A190D">
      <w:pPr>
        <w:pStyle w:val="Nadpis2"/>
      </w:pPr>
      <w:r w:rsidRPr="00140EE9">
        <w:t>Závazek mlčenlivosti není časově omezen. Povinnost zachovávat mlčenlivost o neveřejných informacích získaných v rámci spolupráce s druhou smluvní stranou trvá po naplnění této smlouvy.</w:t>
      </w:r>
    </w:p>
    <w:p w14:paraId="361C1BBE" w14:textId="77777777" w:rsidR="00B95567" w:rsidRPr="00384A97" w:rsidRDefault="00B95567" w:rsidP="009A190D">
      <w:pPr>
        <w:pStyle w:val="Nadpis1"/>
      </w:pPr>
      <w:r w:rsidRPr="0075284F">
        <w:t>Závěrečná</w:t>
      </w:r>
      <w:r>
        <w:t xml:space="preserve"> ustanovení</w:t>
      </w:r>
    </w:p>
    <w:p w14:paraId="6F6108C2" w14:textId="77777777" w:rsidR="00B95567" w:rsidRDefault="00B95567" w:rsidP="009A190D">
      <w:pPr>
        <w:pStyle w:val="Nadpis2"/>
      </w:pPr>
      <w:r>
        <w:t>Smlouva nabývá platnosti a dnem podpisu oprávněnými zástupci obou smluvních stran</w:t>
      </w:r>
      <w:r w:rsidR="000D38C8">
        <w:t xml:space="preserve"> a </w:t>
      </w:r>
      <w:r w:rsidR="003A3FC7">
        <w:t>účinnosti dnem</w:t>
      </w:r>
      <w:r w:rsidR="00A55056">
        <w:t xml:space="preserve"> jejího</w:t>
      </w:r>
      <w:r w:rsidR="003A3FC7">
        <w:t xml:space="preserve"> uveřejnění v registru smluv</w:t>
      </w:r>
      <w:r w:rsidR="00173660">
        <w:t xml:space="preserve"> dle zákona o registru smluv</w:t>
      </w:r>
      <w:r>
        <w:t>.</w:t>
      </w:r>
    </w:p>
    <w:p w14:paraId="45D6BB19" w14:textId="77777777" w:rsidR="00436259" w:rsidRPr="00436259" w:rsidRDefault="00436259" w:rsidP="009A190D">
      <w:pPr>
        <w:pStyle w:val="Nadpis2"/>
      </w:pPr>
      <w:r w:rsidRPr="00436259">
        <w:t>S</w:t>
      </w:r>
      <w:r>
        <w:t>mluvní strany si podpisem smlouvy sjednávají (pokud s</w:t>
      </w:r>
      <w:r w:rsidRPr="00436259">
        <w:t>mlouv</w:t>
      </w:r>
      <w:r>
        <w:t>a nestanoví jinak), že závazky s</w:t>
      </w:r>
      <w:r w:rsidRPr="00436259">
        <w:t>mlouvou založené budou v</w:t>
      </w:r>
      <w:r>
        <w:t>ykládány výhradně podle obsahu s</w:t>
      </w:r>
      <w:r w:rsidRPr="00436259">
        <w:t>mlouvy, bez přihlédnutí k</w:t>
      </w:r>
      <w:r>
        <w:t> </w:t>
      </w:r>
      <w:r w:rsidRPr="00436259">
        <w:t>jakékoli skutečnosti, která nastala a/nebo byla sdělena, jednou stran</w:t>
      </w:r>
      <w:r>
        <w:t>ou druhé straně před uzavřením s</w:t>
      </w:r>
      <w:r w:rsidRPr="00436259">
        <w:t>mlouvy.</w:t>
      </w:r>
    </w:p>
    <w:p w14:paraId="59D478EF" w14:textId="45646362" w:rsidR="00436259" w:rsidRPr="00436259" w:rsidRDefault="00436259" w:rsidP="009A190D">
      <w:pPr>
        <w:pStyle w:val="Nadpis2"/>
      </w:pPr>
      <w:r w:rsidRPr="00436259">
        <w:t>Sml</w:t>
      </w:r>
      <w:r w:rsidR="009673BA">
        <w:t>ouva představuje úplnou dohodu smluvních stran o předmětu s</w:t>
      </w:r>
      <w:r w:rsidRPr="00436259">
        <w:t xml:space="preserve">mlouvy a všech náležitostech, které </w:t>
      </w:r>
      <w:r w:rsidR="009673BA">
        <w:t>smluvní strany měly a chtěly ve s</w:t>
      </w:r>
      <w:r w:rsidRPr="00436259">
        <w:t>mlouvě ujednat, a které pova</w:t>
      </w:r>
      <w:r w:rsidR="009673BA">
        <w:t>žují za</w:t>
      </w:r>
      <w:r w:rsidR="005048A9">
        <w:t> </w:t>
      </w:r>
      <w:r w:rsidR="009673BA">
        <w:t>důležité pro závaznost s</w:t>
      </w:r>
      <w:r w:rsidRPr="00436259">
        <w:t>mlouvy. Žádný pr</w:t>
      </w:r>
      <w:r w:rsidR="009673BA">
        <w:t>ojev stran učiněný po uzavření s</w:t>
      </w:r>
      <w:r w:rsidRPr="00436259">
        <w:t>mlouvy nesmí být vykládán v roz</w:t>
      </w:r>
      <w:r w:rsidR="009673BA">
        <w:t>poru s</w:t>
      </w:r>
      <w:r w:rsidR="00A52737">
        <w:t> </w:t>
      </w:r>
      <w:r w:rsidR="009673BA">
        <w:t>výslovnými ustanoveními s</w:t>
      </w:r>
      <w:r w:rsidRPr="00436259">
        <w:t>mlouvy a ne</w:t>
      </w:r>
      <w:r w:rsidR="009673BA">
        <w:t>zakládá žádný závazek žádné ze smluvních s</w:t>
      </w:r>
      <w:r w:rsidRPr="00436259">
        <w:t>tran. Smlouvu je možn</w:t>
      </w:r>
      <w:r w:rsidR="009673BA">
        <w:t>é měnit pouze písemnou dohodou smluvních s</w:t>
      </w:r>
      <w:r w:rsidRPr="00436259">
        <w:t>tra</w:t>
      </w:r>
      <w:r w:rsidR="009673BA">
        <w:t>n ve</w:t>
      </w:r>
      <w:r w:rsidR="00430E59">
        <w:t> </w:t>
      </w:r>
      <w:r w:rsidR="009673BA">
        <w:t>formě číslovaných dodatků s</w:t>
      </w:r>
      <w:r w:rsidRPr="00436259">
        <w:t>mlouvy, podepsa</w:t>
      </w:r>
      <w:r w:rsidR="009673BA">
        <w:t>ných oprávněnými zástupci obou smluvních s</w:t>
      </w:r>
      <w:r w:rsidRPr="00436259">
        <w:t>tran.</w:t>
      </w:r>
    </w:p>
    <w:p w14:paraId="47305445" w14:textId="77777777" w:rsidR="00436259" w:rsidRPr="00436259" w:rsidRDefault="00436259" w:rsidP="009A190D">
      <w:pPr>
        <w:pStyle w:val="Nadpis2"/>
      </w:pPr>
      <w:r w:rsidRPr="00436259">
        <w:t>S</w:t>
      </w:r>
      <w:r w:rsidR="00F9657E">
        <w:t>mluvní strany se podpisem s</w:t>
      </w:r>
      <w:r w:rsidRPr="00436259">
        <w:t>mlouvy dohodly, že vylučují aplik</w:t>
      </w:r>
      <w:r w:rsidR="00F9657E">
        <w:t>aci ustanovení § 557 a § 1805 občanského zákoníku</w:t>
      </w:r>
      <w:r w:rsidRPr="00436259">
        <w:t>.</w:t>
      </w:r>
    </w:p>
    <w:p w14:paraId="241DC70A" w14:textId="3505ED70" w:rsidR="00436259" w:rsidRPr="00436259" w:rsidRDefault="00436259" w:rsidP="009A190D">
      <w:pPr>
        <w:pStyle w:val="Nadpis2"/>
      </w:pPr>
      <w:r w:rsidRPr="00436259">
        <w:t>S</w:t>
      </w:r>
      <w:r w:rsidR="00F9657E">
        <w:t>mluvní s</w:t>
      </w:r>
      <w:r w:rsidRPr="00436259">
        <w:t>trany si nepřejí, aby nad rámec výsl</w:t>
      </w:r>
      <w:r w:rsidR="00F9657E">
        <w:t>ovných ustanovení s</w:t>
      </w:r>
      <w:r w:rsidRPr="00436259">
        <w:t>mlouvy byla jakákoliv práva a</w:t>
      </w:r>
      <w:r w:rsidR="00A52737">
        <w:t> </w:t>
      </w:r>
      <w:r w:rsidRPr="00436259">
        <w:t xml:space="preserve">povinnosti dovozovány z dosavadní </w:t>
      </w:r>
      <w:r w:rsidR="00F9657E">
        <w:t>či budoucí praxe zavedené mezi smluvními s</w:t>
      </w:r>
      <w:r w:rsidRPr="00436259">
        <w:t>tranami či zvyklostí zachovávaných obecně či v odvětv</w:t>
      </w:r>
      <w:r w:rsidR="003D3AF0">
        <w:t>í týkajícím se předmětu plnění smlouvy, ledaže je ve s</w:t>
      </w:r>
      <w:r w:rsidRPr="00436259">
        <w:t xml:space="preserve">mlouvě výslovně sjednáno jinak. </w:t>
      </w:r>
    </w:p>
    <w:p w14:paraId="25699AA8" w14:textId="583B192E" w:rsidR="00436259" w:rsidRPr="00436259" w:rsidRDefault="00436259" w:rsidP="009A190D">
      <w:pPr>
        <w:pStyle w:val="Nadpis2"/>
      </w:pPr>
      <w:r w:rsidRPr="00436259">
        <w:t>S</w:t>
      </w:r>
      <w:r w:rsidR="003D3AF0">
        <w:t>mluvní s</w:t>
      </w:r>
      <w:r w:rsidRPr="00436259">
        <w:t>trany si sdělily všechny skutkové a právní oko</w:t>
      </w:r>
      <w:r w:rsidR="003D3AF0">
        <w:t>lnosti, o nichž k datu podpisu s</w:t>
      </w:r>
      <w:r w:rsidRPr="00436259">
        <w:t>mlouvy věděly nebo vědět musely, a které jsou r</w:t>
      </w:r>
      <w:r w:rsidR="003D3AF0">
        <w:t>elevantní ve vztahu k uzavření s</w:t>
      </w:r>
      <w:r w:rsidRPr="00436259">
        <w:t>ml</w:t>
      </w:r>
      <w:r w:rsidR="003D3AF0">
        <w:t>ouvy. Kromě ujištění, které si smluvní strany poskytly ve smlouvě, nebude mít žádná ze smluvních s</w:t>
      </w:r>
      <w:r w:rsidRPr="00436259">
        <w:t>tran žádná další práva a</w:t>
      </w:r>
      <w:r w:rsidR="00A52737">
        <w:t> </w:t>
      </w:r>
      <w:r w:rsidRPr="00436259">
        <w:t>povinnosti v souvislosti s jakýmikoliv skutečnostmi, které vyjdou najev</w:t>
      </w:r>
      <w:r w:rsidR="003D3AF0">
        <w:t>o a o kterých neposkytla druhá smluvní strana informace při jednání o s</w:t>
      </w:r>
      <w:r w:rsidRPr="00436259">
        <w:t>mlouvě. Vý</w:t>
      </w:r>
      <w:r w:rsidR="003D3AF0">
        <w:t>jimkou budou případy, kdy daná smluvní strana úmyslně uvedla druhou smluvní s</w:t>
      </w:r>
      <w:r w:rsidRPr="00436259">
        <w:t>tranu ve skutkový omyl ohledně před</w:t>
      </w:r>
      <w:r w:rsidR="003D3AF0">
        <w:t>mětu s</w:t>
      </w:r>
      <w:r w:rsidRPr="00436259">
        <w:t>mlouvy</w:t>
      </w:r>
      <w:r w:rsidR="003D3AF0">
        <w:t xml:space="preserve"> a</w:t>
      </w:r>
      <w:r w:rsidR="00A52737">
        <w:t> </w:t>
      </w:r>
      <w:r w:rsidR="003D3AF0">
        <w:t>případy taxativně stanovené s</w:t>
      </w:r>
      <w:r w:rsidRPr="00436259">
        <w:t>mlouvou.</w:t>
      </w:r>
    </w:p>
    <w:p w14:paraId="5F5EF892" w14:textId="710F7ADB" w:rsidR="00436259" w:rsidRPr="00436259" w:rsidRDefault="00EA1476" w:rsidP="009A190D">
      <w:pPr>
        <w:pStyle w:val="Nadpis2"/>
      </w:pPr>
      <w:r>
        <w:t>Poskytovatel</w:t>
      </w:r>
      <w:r w:rsidR="00436259" w:rsidRPr="00436259">
        <w:t xml:space="preserve"> na sebe v souladu</w:t>
      </w:r>
      <w:r>
        <w:t xml:space="preserve"> s ustanovením § 1765 odst. 2 občanského zákoníku</w:t>
      </w:r>
      <w:r w:rsidR="00436259" w:rsidRPr="00436259">
        <w:t xml:space="preserve"> přebírá nebezpečí změny okolností. Tímto však nejsou nikterak dotčena práva </w:t>
      </w:r>
      <w:r>
        <w:t>smluvních stran upravená ve</w:t>
      </w:r>
      <w:r w:rsidR="00A52737">
        <w:t> </w:t>
      </w:r>
      <w:r>
        <w:t>s</w:t>
      </w:r>
      <w:r w:rsidR="00436259" w:rsidRPr="00436259">
        <w:t>mlouvě.</w:t>
      </w:r>
    </w:p>
    <w:p w14:paraId="5972D533" w14:textId="333EFE54" w:rsidR="00436259" w:rsidRPr="00436259" w:rsidRDefault="00EA1476" w:rsidP="009A190D">
      <w:pPr>
        <w:pStyle w:val="Nadpis2"/>
      </w:pPr>
      <w:r>
        <w:t>Jednacím jazykem mezi objednatelem a poskytovatelem</w:t>
      </w:r>
      <w:r w:rsidR="00436259" w:rsidRPr="00436259">
        <w:t xml:space="preserve"> bude pro</w:t>
      </w:r>
      <w:r>
        <w:t xml:space="preserve"> veškerá plnění vyplývající ze</w:t>
      </w:r>
      <w:r w:rsidR="00A52737">
        <w:t> </w:t>
      </w:r>
      <w:r>
        <w:t>s</w:t>
      </w:r>
      <w:r w:rsidR="00436259" w:rsidRPr="00436259">
        <w:t>mlouvy výhradně jazyk český, a to včetně veškeré dokume</w:t>
      </w:r>
      <w:r>
        <w:t>ntace vztahující se k předmětu s</w:t>
      </w:r>
      <w:r w:rsidR="00436259" w:rsidRPr="00436259">
        <w:t xml:space="preserve">mlouvy, není-li </w:t>
      </w:r>
      <w:r w:rsidR="001554A3">
        <w:t>stanoveno jinak (u dokumentace o</w:t>
      </w:r>
      <w:r w:rsidR="00436259" w:rsidRPr="00436259">
        <w:t>bjednatel připouští rovněž anglický jazyk</w:t>
      </w:r>
      <w:r w:rsidR="004D51CA">
        <w:t>,</w:t>
      </w:r>
      <w:r w:rsidR="00436259" w:rsidRPr="00436259">
        <w:t xml:space="preserve"> a to u</w:t>
      </w:r>
      <w:r w:rsidR="00A52737">
        <w:t> </w:t>
      </w:r>
      <w:r w:rsidR="00436259" w:rsidRPr="00436259">
        <w:t>odborných výrazů a terminologie).</w:t>
      </w:r>
    </w:p>
    <w:p w14:paraId="2569EF67" w14:textId="78D13FCA" w:rsidR="00436259" w:rsidRPr="00436259" w:rsidRDefault="00436259" w:rsidP="009A190D">
      <w:pPr>
        <w:pStyle w:val="Nadpis2"/>
      </w:pPr>
      <w:r w:rsidRPr="00436259">
        <w:t>Je-li nebo s</w:t>
      </w:r>
      <w:r w:rsidR="001554A3">
        <w:t>tane-li se jakékoli ustanovení s</w:t>
      </w:r>
      <w:r w:rsidRPr="00436259">
        <w:t>mlouvy neplatným, nezákonným nebo nevynutitelným, netýká se tato neplatnost a nevynuti</w:t>
      </w:r>
      <w:r w:rsidR="001554A3">
        <w:t>telnost zbývajících ustanovení s</w:t>
      </w:r>
      <w:r w:rsidRPr="00436259">
        <w:t>mlouvy. S</w:t>
      </w:r>
      <w:r w:rsidR="001554A3">
        <w:t>mluvní s</w:t>
      </w:r>
      <w:r w:rsidRPr="00436259">
        <w:t>trany se tímto zavazují nahradit do 5 (pěti) pracovní</w:t>
      </w:r>
      <w:r w:rsidR="001554A3">
        <w:t>ch dnů po doručení výzvy druhé smluvní s</w:t>
      </w:r>
      <w:r w:rsidRPr="00436259">
        <w:t>trany jakékoli takové neplatné, nezákonné nebo nevynutitelné ustanovení ustanovením, které je platné, zákonné a</w:t>
      </w:r>
      <w:r w:rsidR="00A52737">
        <w:t> </w:t>
      </w:r>
      <w:r w:rsidRPr="00436259">
        <w:t>vynutitelné a má stejný nebo alespoň podobný obchodní a právní význam.</w:t>
      </w:r>
    </w:p>
    <w:p w14:paraId="6C120F24" w14:textId="3DF83EE6" w:rsidR="00436259" w:rsidRPr="00436259" w:rsidRDefault="001554A3" w:rsidP="00166DA3">
      <w:pPr>
        <w:pStyle w:val="Nadpis2"/>
        <w:keepLines w:val="0"/>
        <w:ind w:left="578" w:hanging="578"/>
      </w:pPr>
      <w:r>
        <w:t>Vztahy smluvních stran s</w:t>
      </w:r>
      <w:r w:rsidR="00436259" w:rsidRPr="00436259">
        <w:t>mlouvou výslovně neupravené se řídí česk</w:t>
      </w:r>
      <w:r>
        <w:t>ým právním řádem, zejména pak občanským zákoníkem</w:t>
      </w:r>
      <w:r w:rsidR="00436259" w:rsidRPr="00436259">
        <w:t xml:space="preserve"> a příslušnými právními předpisy souvisejíc</w:t>
      </w:r>
      <w:r>
        <w:t>ími. Veškeré případné spory ze</w:t>
      </w:r>
      <w:r w:rsidR="00A52737">
        <w:t> </w:t>
      </w:r>
      <w:r>
        <w:t>s</w:t>
      </w:r>
      <w:r w:rsidR="00436259" w:rsidRPr="00436259">
        <w:t>mlouvy budou v prvé řadě řešeny smírem. Pokud smíru nebude dosaženo během 30 (</w:t>
      </w:r>
      <w:r w:rsidR="00A47566">
        <w:t>třiceti) dnů, všechny spory ze s</w:t>
      </w:r>
      <w:r w:rsidR="00436259" w:rsidRPr="00436259">
        <w:t>mlouvy a v souvis</w:t>
      </w:r>
      <w:r w:rsidR="002309E3">
        <w:t>losti s ní budou řešeny věcně a </w:t>
      </w:r>
      <w:r w:rsidR="00436259" w:rsidRPr="00436259">
        <w:t xml:space="preserve">místně příslušným soudem v České republice. </w:t>
      </w:r>
    </w:p>
    <w:p w14:paraId="0C0513E8" w14:textId="77777777" w:rsidR="00384A97" w:rsidRDefault="00B95567" w:rsidP="009A190D">
      <w:pPr>
        <w:pStyle w:val="Nadpis2"/>
      </w:pPr>
      <w:r>
        <w:t>Smlu</w:t>
      </w:r>
      <w:r w:rsidR="006266FF">
        <w:t>vní strany prohlašují, že tato s</w:t>
      </w:r>
      <w:r>
        <w:t>mlouva je projevem</w:t>
      </w:r>
      <w:r w:rsidR="000D38C8">
        <w:t xml:space="preserve"> jejich pravé a svobodné vůle a </w:t>
      </w:r>
      <w:r>
        <w:t>na</w:t>
      </w:r>
      <w:r w:rsidR="00FC1E61">
        <w:t> </w:t>
      </w:r>
      <w:r>
        <w:t>důkaz dohody o všech článcích této smlouvy připojují své podpisy.</w:t>
      </w:r>
    </w:p>
    <w:p w14:paraId="39D96547" w14:textId="77777777" w:rsidR="00140EE9" w:rsidRDefault="00140EE9" w:rsidP="00645B08">
      <w:pPr>
        <w:pStyle w:val="Nadpis2"/>
        <w:keepNext/>
      </w:pPr>
      <w:r>
        <w:lastRenderedPageBreak/>
        <w:t>Nedílnou součástí této smlouvy jsou tyto přílohy:</w:t>
      </w:r>
    </w:p>
    <w:p w14:paraId="640F1EE5" w14:textId="193BCC95" w:rsidR="00140EE9" w:rsidRPr="00E04B5E" w:rsidRDefault="00140EE9" w:rsidP="00A52737">
      <w:pPr>
        <w:pStyle w:val="Odstavecseseznamem"/>
        <w:keepNext/>
        <w:keepLines/>
        <w:numPr>
          <w:ilvl w:val="0"/>
          <w:numId w:val="0"/>
        </w:numPr>
        <w:spacing w:before="60" w:after="60"/>
        <w:ind w:left="567"/>
        <w:jc w:val="both"/>
        <w:rPr>
          <w:rFonts w:cs="Arial"/>
          <w:i/>
        </w:rPr>
      </w:pPr>
      <w:r>
        <w:rPr>
          <w:rFonts w:cs="Arial"/>
        </w:rPr>
        <w:t>Příloha č. 1 – Specif</w:t>
      </w:r>
      <w:r w:rsidR="00162C12">
        <w:rPr>
          <w:rFonts w:cs="Arial"/>
        </w:rPr>
        <w:t>ikace předmětu plnění</w:t>
      </w:r>
      <w:bookmarkStart w:id="10" w:name="_Hlk508190027"/>
    </w:p>
    <w:bookmarkEnd w:id="10"/>
    <w:p w14:paraId="332129AF" w14:textId="435B1B86" w:rsidR="00B95567" w:rsidRDefault="00140EE9" w:rsidP="00A52737">
      <w:pPr>
        <w:pStyle w:val="Odstavecseseznamem"/>
        <w:keepNext/>
        <w:keepLines/>
        <w:numPr>
          <w:ilvl w:val="0"/>
          <w:numId w:val="0"/>
        </w:numPr>
        <w:spacing w:before="60" w:after="60"/>
        <w:ind w:left="567"/>
        <w:jc w:val="both"/>
        <w:rPr>
          <w:rFonts w:cs="Arial"/>
        </w:rPr>
      </w:pPr>
      <w:r>
        <w:rPr>
          <w:rFonts w:cs="Arial"/>
        </w:rPr>
        <w:t xml:space="preserve">Příloha č. </w:t>
      </w:r>
      <w:r w:rsidR="00162C12">
        <w:rPr>
          <w:rFonts w:cs="Arial"/>
        </w:rPr>
        <w:t xml:space="preserve">2 - </w:t>
      </w:r>
      <w:r w:rsidRPr="00162C12">
        <w:rPr>
          <w:rFonts w:cs="Arial"/>
        </w:rPr>
        <w:t>Licenční ujednání</w:t>
      </w:r>
    </w:p>
    <w:tbl>
      <w:tblPr>
        <w:tblW w:w="4900" w:type="pct"/>
        <w:tblInd w:w="2" w:type="dxa"/>
        <w:tblLook w:val="01E0" w:firstRow="1" w:lastRow="1" w:firstColumn="1" w:lastColumn="1" w:noHBand="0" w:noVBand="0"/>
      </w:tblPr>
      <w:tblGrid>
        <w:gridCol w:w="4676"/>
        <w:gridCol w:w="284"/>
        <w:gridCol w:w="4485"/>
      </w:tblGrid>
      <w:tr w:rsidR="00645B08" w:rsidRPr="00160ACC" w14:paraId="04157F9D" w14:textId="77777777" w:rsidTr="00205B35">
        <w:tc>
          <w:tcPr>
            <w:tcW w:w="4676" w:type="dxa"/>
            <w:vAlign w:val="center"/>
          </w:tcPr>
          <w:p w14:paraId="062AA768" w14:textId="1EDD260E" w:rsidR="00645B08" w:rsidRPr="00160ACC" w:rsidRDefault="00645B08" w:rsidP="00C37D5A">
            <w:pPr>
              <w:keepNext/>
              <w:keepLines/>
              <w:spacing w:before="360" w:after="0" w:line="240" w:lineRule="auto"/>
              <w:rPr>
                <w:rFonts w:cs="Arial"/>
              </w:rPr>
            </w:pPr>
            <w:r w:rsidRPr="00160ACC">
              <w:rPr>
                <w:rFonts w:cs="Arial"/>
              </w:rPr>
              <w:t xml:space="preserve">Za </w:t>
            </w:r>
            <w:r>
              <w:rPr>
                <w:rFonts w:cs="Arial"/>
              </w:rPr>
              <w:t>objednatele</w:t>
            </w:r>
            <w:r w:rsidRPr="00160ACC">
              <w:rPr>
                <w:rFonts w:cs="Arial"/>
              </w:rPr>
              <w:t>:</w:t>
            </w:r>
          </w:p>
        </w:tc>
        <w:tc>
          <w:tcPr>
            <w:tcW w:w="284" w:type="dxa"/>
            <w:vAlign w:val="center"/>
          </w:tcPr>
          <w:p w14:paraId="2D64E74C" w14:textId="77777777" w:rsidR="00645B08" w:rsidRPr="00160ACC" w:rsidRDefault="00645B08" w:rsidP="00C37D5A">
            <w:pPr>
              <w:keepNext/>
              <w:keepLines/>
              <w:spacing w:before="360" w:after="0" w:line="240" w:lineRule="auto"/>
              <w:rPr>
                <w:rFonts w:cs="Arial"/>
              </w:rPr>
            </w:pPr>
          </w:p>
        </w:tc>
        <w:tc>
          <w:tcPr>
            <w:tcW w:w="4485" w:type="dxa"/>
            <w:vAlign w:val="center"/>
          </w:tcPr>
          <w:p w14:paraId="130A1006" w14:textId="7AF4E1E1" w:rsidR="00645B08" w:rsidRPr="00160ACC" w:rsidRDefault="00645B08" w:rsidP="00C37D5A">
            <w:pPr>
              <w:keepNext/>
              <w:keepLines/>
              <w:spacing w:before="360" w:after="0" w:line="240" w:lineRule="auto"/>
              <w:rPr>
                <w:rFonts w:cs="Arial"/>
              </w:rPr>
            </w:pPr>
            <w:r w:rsidRPr="00160ACC">
              <w:rPr>
                <w:rFonts w:cs="Arial"/>
              </w:rPr>
              <w:t xml:space="preserve">Za </w:t>
            </w:r>
            <w:r>
              <w:rPr>
                <w:rFonts w:cs="Arial"/>
              </w:rPr>
              <w:t>poskytovatele</w:t>
            </w:r>
            <w:r w:rsidRPr="00160ACC">
              <w:rPr>
                <w:rFonts w:cs="Arial"/>
              </w:rPr>
              <w:t>:</w:t>
            </w:r>
          </w:p>
        </w:tc>
      </w:tr>
      <w:tr w:rsidR="00645B08" w:rsidRPr="00160ACC" w14:paraId="7268A7F8" w14:textId="77777777" w:rsidTr="00205B35">
        <w:tc>
          <w:tcPr>
            <w:tcW w:w="4676" w:type="dxa"/>
            <w:vAlign w:val="center"/>
          </w:tcPr>
          <w:p w14:paraId="47CD5DCF" w14:textId="77777777" w:rsidR="00645B08" w:rsidRPr="00160ACC" w:rsidRDefault="00645B08" w:rsidP="00987691">
            <w:pPr>
              <w:keepNext/>
              <w:keepLines/>
              <w:spacing w:after="0" w:line="240" w:lineRule="auto"/>
              <w:rPr>
                <w:rFonts w:cs="Arial"/>
              </w:rPr>
            </w:pPr>
            <w:r w:rsidRPr="00160ACC">
              <w:rPr>
                <w:rFonts w:cs="Arial"/>
              </w:rPr>
              <w:t>V</w:t>
            </w:r>
            <w:r>
              <w:rPr>
                <w:rFonts w:cs="Arial"/>
              </w:rPr>
              <w:t xml:space="preserve"> </w:t>
            </w:r>
            <w:r w:rsidRPr="00160ACC">
              <w:rPr>
                <w:rFonts w:cs="Arial"/>
              </w:rPr>
              <w:t>Praze</w:t>
            </w:r>
            <w:r>
              <w:rPr>
                <w:rFonts w:cs="Arial"/>
              </w:rPr>
              <w:t xml:space="preserve"> </w:t>
            </w:r>
            <w:r w:rsidRPr="00160ACC">
              <w:rPr>
                <w:rFonts w:cs="Arial"/>
              </w:rPr>
              <w:t>dne</w:t>
            </w:r>
            <w:r>
              <w:rPr>
                <w:rFonts w:cs="Arial"/>
              </w:rPr>
              <w:t xml:space="preserve"> dle el. podpisu</w:t>
            </w:r>
          </w:p>
        </w:tc>
        <w:tc>
          <w:tcPr>
            <w:tcW w:w="284" w:type="dxa"/>
            <w:vAlign w:val="center"/>
          </w:tcPr>
          <w:p w14:paraId="2C94BBBF" w14:textId="77777777" w:rsidR="00645B08" w:rsidRPr="00160ACC" w:rsidRDefault="00645B08" w:rsidP="00987691">
            <w:pPr>
              <w:keepNext/>
              <w:keepLines/>
              <w:spacing w:after="0" w:line="240" w:lineRule="auto"/>
              <w:rPr>
                <w:rFonts w:cs="Arial"/>
              </w:rPr>
            </w:pPr>
          </w:p>
        </w:tc>
        <w:tc>
          <w:tcPr>
            <w:tcW w:w="4485" w:type="dxa"/>
            <w:vAlign w:val="center"/>
          </w:tcPr>
          <w:p w14:paraId="60F3574A" w14:textId="77777777" w:rsidR="00645B08" w:rsidRPr="00160ACC" w:rsidRDefault="00645B08" w:rsidP="00987691">
            <w:pPr>
              <w:keepNext/>
              <w:keepLines/>
              <w:spacing w:after="0" w:line="240" w:lineRule="auto"/>
              <w:rPr>
                <w:rFonts w:cs="Arial"/>
              </w:rPr>
            </w:pPr>
            <w:r w:rsidRPr="00160ACC">
              <w:rPr>
                <w:rFonts w:cs="Arial"/>
              </w:rPr>
              <w:t>V</w:t>
            </w:r>
            <w:r>
              <w:rPr>
                <w:rFonts w:cs="Arial"/>
              </w:rPr>
              <w:t xml:space="preserve"> [</w:t>
            </w:r>
            <w:r w:rsidRPr="00010E97">
              <w:rPr>
                <w:rFonts w:eastAsia="Calibri"/>
                <w:highlight w:val="yellow"/>
              </w:rPr>
              <w:t>DOPLNÍ DODAVATEL</w:t>
            </w:r>
            <w:r>
              <w:rPr>
                <w:rFonts w:eastAsia="Calibri" w:hint="eastAsia"/>
                <w:lang w:val="en-US"/>
              </w:rPr>
              <w:t>]</w:t>
            </w:r>
            <w:r>
              <w:rPr>
                <w:rFonts w:cs="Arial"/>
              </w:rPr>
              <w:t xml:space="preserve"> </w:t>
            </w:r>
            <w:r w:rsidRPr="00160ACC">
              <w:rPr>
                <w:rFonts w:cs="Arial"/>
              </w:rPr>
              <w:t>dne</w:t>
            </w:r>
            <w:r>
              <w:rPr>
                <w:rFonts w:cs="Arial"/>
              </w:rPr>
              <w:t xml:space="preserve"> dle el. podpisu</w:t>
            </w:r>
          </w:p>
        </w:tc>
      </w:tr>
      <w:tr w:rsidR="00645B08" w:rsidRPr="00160ACC" w14:paraId="21640348" w14:textId="77777777" w:rsidTr="00205B35">
        <w:tc>
          <w:tcPr>
            <w:tcW w:w="4676" w:type="dxa"/>
            <w:tcBorders>
              <w:bottom w:val="single" w:sz="4" w:space="0" w:color="auto"/>
            </w:tcBorders>
          </w:tcPr>
          <w:p w14:paraId="3400B920" w14:textId="77777777" w:rsidR="00645B08" w:rsidRPr="00160ACC" w:rsidRDefault="00645B08" w:rsidP="009926C5">
            <w:pPr>
              <w:keepNext/>
              <w:keepLines/>
              <w:spacing w:before="600" w:after="600" w:line="240" w:lineRule="auto"/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1ACAC6FC" w14:textId="77777777" w:rsidR="00645B08" w:rsidRPr="00160ACC" w:rsidRDefault="00645B08" w:rsidP="009926C5">
            <w:pPr>
              <w:keepNext/>
              <w:keepLines/>
              <w:spacing w:before="600" w:after="600" w:line="240" w:lineRule="auto"/>
              <w:jc w:val="center"/>
              <w:rPr>
                <w:rFonts w:cs="Arial"/>
              </w:rPr>
            </w:pPr>
          </w:p>
        </w:tc>
        <w:tc>
          <w:tcPr>
            <w:tcW w:w="4485" w:type="dxa"/>
            <w:tcBorders>
              <w:bottom w:val="single" w:sz="4" w:space="0" w:color="auto"/>
            </w:tcBorders>
          </w:tcPr>
          <w:p w14:paraId="74A963BB" w14:textId="77777777" w:rsidR="00645B08" w:rsidRPr="00160ACC" w:rsidRDefault="00645B08" w:rsidP="009926C5">
            <w:pPr>
              <w:keepNext/>
              <w:keepLines/>
              <w:spacing w:before="600" w:after="600" w:line="240" w:lineRule="auto"/>
              <w:jc w:val="center"/>
              <w:rPr>
                <w:rFonts w:cs="Arial"/>
              </w:rPr>
            </w:pPr>
          </w:p>
        </w:tc>
      </w:tr>
      <w:tr w:rsidR="00645B08" w:rsidRPr="00DB6C0B" w14:paraId="227EC7C8" w14:textId="77777777" w:rsidTr="00205B35">
        <w:tc>
          <w:tcPr>
            <w:tcW w:w="4676" w:type="dxa"/>
            <w:tcBorders>
              <w:top w:val="single" w:sz="4" w:space="0" w:color="auto"/>
            </w:tcBorders>
          </w:tcPr>
          <w:p w14:paraId="14DEAEDC" w14:textId="77777777" w:rsidR="00645B08" w:rsidRPr="00DB6C0B" w:rsidRDefault="00645B08" w:rsidP="00987691">
            <w:pPr>
              <w:keepNext/>
              <w:keepLines/>
              <w:spacing w:after="0" w:line="240" w:lineRule="auto"/>
              <w:jc w:val="center"/>
              <w:rPr>
                <w:rFonts w:cs="Arial"/>
                <w:bCs/>
              </w:rPr>
            </w:pPr>
            <w:r w:rsidRPr="00DB6C0B">
              <w:rPr>
                <w:rFonts w:cs="Arial"/>
                <w:bCs/>
              </w:rPr>
              <w:t>Mgr. Jakub Richter</w:t>
            </w:r>
          </w:p>
          <w:p w14:paraId="3DE6EF43" w14:textId="77777777" w:rsidR="00645B08" w:rsidRPr="00DB6C0B" w:rsidRDefault="00645B08" w:rsidP="00987691">
            <w:pPr>
              <w:keepNext/>
              <w:keepLines/>
              <w:spacing w:after="0" w:line="240" w:lineRule="auto"/>
              <w:jc w:val="center"/>
              <w:rPr>
                <w:rFonts w:cs="Arial"/>
                <w:bCs/>
              </w:rPr>
            </w:pPr>
            <w:r w:rsidRPr="00DB6C0B">
              <w:rPr>
                <w:rFonts w:cs="Arial"/>
                <w:bCs/>
              </w:rPr>
              <w:t>1. zástupce generálního ředitele</w:t>
            </w:r>
          </w:p>
          <w:p w14:paraId="5F759FCD" w14:textId="77777777" w:rsidR="00645B08" w:rsidRPr="00DB6C0B" w:rsidRDefault="00645B08" w:rsidP="00987691">
            <w:pPr>
              <w:keepNext/>
              <w:keepLines/>
              <w:spacing w:after="0" w:line="240" w:lineRule="auto"/>
              <w:jc w:val="center"/>
              <w:rPr>
                <w:rFonts w:cs="Arial"/>
                <w:bCs/>
              </w:rPr>
            </w:pPr>
            <w:r w:rsidRPr="00DB6C0B">
              <w:rPr>
                <w:rFonts w:cs="Arial"/>
                <w:bCs/>
              </w:rPr>
              <w:t>Státní pokladna Centrum sdílených služeb, s. p.</w:t>
            </w:r>
          </w:p>
        </w:tc>
        <w:tc>
          <w:tcPr>
            <w:tcW w:w="284" w:type="dxa"/>
          </w:tcPr>
          <w:p w14:paraId="3E8059BC" w14:textId="77777777" w:rsidR="00645B08" w:rsidRPr="00DB6C0B" w:rsidRDefault="00645B08" w:rsidP="00987691">
            <w:pPr>
              <w:keepNext/>
              <w:keepLines/>
              <w:spacing w:after="0" w:line="240" w:lineRule="auto"/>
              <w:jc w:val="center"/>
              <w:rPr>
                <w:rFonts w:cs="Arial"/>
                <w:bCs/>
              </w:rPr>
            </w:pPr>
          </w:p>
        </w:tc>
        <w:tc>
          <w:tcPr>
            <w:tcW w:w="4485" w:type="dxa"/>
            <w:tcBorders>
              <w:top w:val="single" w:sz="4" w:space="0" w:color="auto"/>
            </w:tcBorders>
          </w:tcPr>
          <w:p w14:paraId="5CFF481A" w14:textId="77777777" w:rsidR="00645B08" w:rsidRPr="00DB6C0B" w:rsidRDefault="00645B08" w:rsidP="00987691">
            <w:pPr>
              <w:keepNext/>
              <w:keepLines/>
              <w:spacing w:after="0" w:line="240" w:lineRule="auto"/>
              <w:jc w:val="center"/>
              <w:rPr>
                <w:rFonts w:cs="Arial"/>
                <w:bCs/>
                <w:highlight w:val="yellow"/>
              </w:rPr>
            </w:pPr>
            <w:r w:rsidRPr="00DB6C0B">
              <w:rPr>
                <w:rFonts w:cs="Arial"/>
                <w:bCs/>
                <w:highlight w:val="yellow"/>
                <w:lang w:eastAsia="ko-KR"/>
              </w:rPr>
              <w:t>[</w:t>
            </w:r>
            <w:r w:rsidRPr="00010E97">
              <w:rPr>
                <w:rFonts w:eastAsia="Calibri"/>
                <w:highlight w:val="yellow"/>
              </w:rPr>
              <w:t>DOPLNÍ DODAVATEL</w:t>
            </w:r>
            <w:r>
              <w:rPr>
                <w:rFonts w:eastAsia="Calibri"/>
                <w:highlight w:val="yellow"/>
              </w:rPr>
              <w:t xml:space="preserve"> – Titul</w:t>
            </w:r>
            <w:r w:rsidRPr="00DB6C0B">
              <w:rPr>
                <w:rFonts w:cs="Arial"/>
                <w:bCs/>
                <w:highlight w:val="yellow"/>
              </w:rPr>
              <w:t>, jméno, příjmení]</w:t>
            </w:r>
          </w:p>
          <w:p w14:paraId="487E003C" w14:textId="77777777" w:rsidR="00645B08" w:rsidRPr="00DB6C0B" w:rsidRDefault="00645B08" w:rsidP="00987691">
            <w:pPr>
              <w:keepNext/>
              <w:keepLines/>
              <w:spacing w:after="0" w:line="240" w:lineRule="auto"/>
              <w:jc w:val="center"/>
              <w:rPr>
                <w:rFonts w:cs="Arial"/>
                <w:bCs/>
                <w:highlight w:val="yellow"/>
              </w:rPr>
            </w:pPr>
            <w:r w:rsidRPr="00DB6C0B">
              <w:rPr>
                <w:rFonts w:cs="Arial"/>
                <w:bCs/>
                <w:highlight w:val="yellow"/>
              </w:rPr>
              <w:t>[</w:t>
            </w:r>
            <w:r w:rsidRPr="00010E97">
              <w:rPr>
                <w:rFonts w:eastAsia="Calibri"/>
                <w:highlight w:val="yellow"/>
              </w:rPr>
              <w:t>DOPLNÍ DODAVATEL</w:t>
            </w:r>
            <w:r>
              <w:rPr>
                <w:rFonts w:eastAsia="Calibri"/>
                <w:highlight w:val="yellow"/>
              </w:rPr>
              <w:t xml:space="preserve"> – funkce</w:t>
            </w:r>
            <w:r w:rsidRPr="00DB6C0B">
              <w:rPr>
                <w:rFonts w:cs="Arial"/>
                <w:bCs/>
                <w:highlight w:val="yellow"/>
              </w:rPr>
              <w:t>]</w:t>
            </w:r>
          </w:p>
          <w:p w14:paraId="24DBE221" w14:textId="77777777" w:rsidR="00645B08" w:rsidRPr="00DB6C0B" w:rsidRDefault="00645B08" w:rsidP="00987691">
            <w:pPr>
              <w:keepNext/>
              <w:keepLines/>
              <w:spacing w:after="0" w:line="240" w:lineRule="auto"/>
              <w:jc w:val="center"/>
              <w:rPr>
                <w:rFonts w:cs="Arial"/>
                <w:bCs/>
              </w:rPr>
            </w:pPr>
            <w:r w:rsidRPr="00DB6C0B">
              <w:rPr>
                <w:rFonts w:cs="Arial"/>
                <w:bCs/>
                <w:highlight w:val="yellow"/>
              </w:rPr>
              <w:t>[</w:t>
            </w:r>
            <w:r w:rsidRPr="00010E97">
              <w:rPr>
                <w:rFonts w:eastAsia="Calibri"/>
                <w:highlight w:val="yellow"/>
              </w:rPr>
              <w:t>DOPLNÍ DODAVATEL</w:t>
            </w:r>
            <w:r>
              <w:rPr>
                <w:rFonts w:eastAsia="Calibri"/>
                <w:highlight w:val="yellow"/>
              </w:rPr>
              <w:t xml:space="preserve"> – název</w:t>
            </w:r>
            <w:r w:rsidRPr="00DB6C0B">
              <w:rPr>
                <w:rFonts w:cs="Arial"/>
                <w:bCs/>
                <w:highlight w:val="yellow"/>
              </w:rPr>
              <w:t xml:space="preserve"> společnosti]</w:t>
            </w:r>
          </w:p>
        </w:tc>
      </w:tr>
    </w:tbl>
    <w:p w14:paraId="71418138" w14:textId="06479EC8" w:rsidR="00CD2CF2" w:rsidRDefault="00CD2CF2" w:rsidP="00F322E4">
      <w:pPr>
        <w:spacing w:after="0" w:line="360" w:lineRule="auto"/>
        <w:jc w:val="both"/>
      </w:pPr>
    </w:p>
    <w:p w14:paraId="04A31DC0" w14:textId="77777777" w:rsidR="00CD2CF2" w:rsidRDefault="00CD2CF2">
      <w:r>
        <w:br w:type="page"/>
      </w:r>
    </w:p>
    <w:tbl>
      <w:tblPr>
        <w:tblW w:w="6995" w:type="pct"/>
        <w:tblInd w:w="-3828" w:type="dxa"/>
        <w:tblBorders>
          <w:bottom w:val="single" w:sz="2" w:space="0" w:color="004666"/>
        </w:tblBorders>
        <w:tblLook w:val="04A0" w:firstRow="1" w:lastRow="0" w:firstColumn="1" w:lastColumn="0" w:noHBand="0" w:noVBand="1"/>
      </w:tblPr>
      <w:tblGrid>
        <w:gridCol w:w="5941"/>
        <w:gridCol w:w="7543"/>
      </w:tblGrid>
      <w:tr w:rsidR="00BA5FFD" w14:paraId="2A84D2E6" w14:textId="77777777" w:rsidTr="00166DA3">
        <w:tc>
          <w:tcPr>
            <w:tcW w:w="13483" w:type="dxa"/>
            <w:gridSpan w:val="2"/>
            <w:vAlign w:val="center"/>
            <w:hideMark/>
          </w:tcPr>
          <w:p w14:paraId="165A8AA0" w14:textId="547AA68A" w:rsidR="00BA5FFD" w:rsidRDefault="00BA5FFD" w:rsidP="001F0E40">
            <w:pPr>
              <w:spacing w:before="120" w:after="120" w:line="240" w:lineRule="auto"/>
              <w:rPr>
                <w:rFonts w:cs="Calibri"/>
                <w:b/>
                <w:bCs/>
                <w:color w:val="004666"/>
                <w:szCs w:val="18"/>
              </w:rPr>
            </w:pPr>
            <w:r w:rsidRPr="00BA5FFD">
              <w:rPr>
                <w:rFonts w:cs="Calibri"/>
                <w:b/>
                <w:bCs/>
                <w:color w:val="004666"/>
                <w:szCs w:val="18"/>
              </w:rPr>
              <w:lastRenderedPageBreak/>
              <w:t>Smlouv</w:t>
            </w:r>
            <w:r>
              <w:rPr>
                <w:rFonts w:cs="Calibri"/>
                <w:b/>
                <w:bCs/>
                <w:color w:val="004666"/>
                <w:szCs w:val="18"/>
              </w:rPr>
              <w:t>a</w:t>
            </w:r>
            <w:r w:rsidRPr="00BA5FFD">
              <w:rPr>
                <w:rFonts w:cs="Calibri"/>
                <w:b/>
                <w:bCs/>
                <w:color w:val="004666"/>
                <w:szCs w:val="18"/>
              </w:rPr>
              <w:t xml:space="preserve"> na poskytnutí licencí operačního systému Linux</w:t>
            </w:r>
          </w:p>
        </w:tc>
      </w:tr>
      <w:tr w:rsidR="00BA5FFD" w14:paraId="52016287" w14:textId="77777777" w:rsidTr="00166DA3">
        <w:tc>
          <w:tcPr>
            <w:tcW w:w="5941" w:type="dxa"/>
            <w:vAlign w:val="center"/>
            <w:hideMark/>
          </w:tcPr>
          <w:p w14:paraId="449B92ED" w14:textId="77777777" w:rsidR="00BA5FFD" w:rsidRDefault="00BA5FFD" w:rsidP="001F0E40">
            <w:pPr>
              <w:spacing w:before="120" w:after="120" w:line="240" w:lineRule="auto"/>
              <w:rPr>
                <w:rFonts w:cs="Calibri"/>
                <w:b/>
                <w:bCs/>
                <w:color w:val="004666"/>
                <w:szCs w:val="18"/>
              </w:rPr>
            </w:pPr>
            <w:r>
              <w:rPr>
                <w:rFonts w:cs="Calibri"/>
                <w:b/>
                <w:bCs/>
                <w:color w:val="009EE0"/>
                <w:szCs w:val="18"/>
              </w:rPr>
              <w:t>Příloha č. 1</w:t>
            </w:r>
          </w:p>
        </w:tc>
        <w:tc>
          <w:tcPr>
            <w:tcW w:w="7542" w:type="dxa"/>
            <w:vAlign w:val="center"/>
            <w:hideMark/>
          </w:tcPr>
          <w:p w14:paraId="1F6071FB" w14:textId="167C7DEB" w:rsidR="00BA5FFD" w:rsidRDefault="00BA5FFD" w:rsidP="001F0E40">
            <w:pPr>
              <w:spacing w:before="120" w:after="120" w:line="240" w:lineRule="auto"/>
              <w:rPr>
                <w:rFonts w:cs="Calibri"/>
                <w:b/>
                <w:bCs/>
                <w:color w:val="004666"/>
                <w:szCs w:val="18"/>
              </w:rPr>
            </w:pPr>
            <w:r w:rsidRPr="00BA5FFD">
              <w:rPr>
                <w:rFonts w:cs="Calibri"/>
                <w:b/>
                <w:bCs/>
                <w:color w:val="009EE0"/>
                <w:szCs w:val="18"/>
              </w:rPr>
              <w:t>Specifikace předmětu plnění</w:t>
            </w:r>
          </w:p>
        </w:tc>
      </w:tr>
    </w:tbl>
    <w:p w14:paraId="4ECFD63C" w14:textId="77777777" w:rsidR="00BA5FFD" w:rsidRDefault="00BA5FFD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"/>
        <w:gridCol w:w="7968"/>
        <w:gridCol w:w="1223"/>
      </w:tblGrid>
      <w:tr w:rsidR="00E6174D" w:rsidRPr="006B44D4" w14:paraId="45B919FF" w14:textId="77777777" w:rsidTr="00FA1393">
        <w:trPr>
          <w:trHeight w:val="300"/>
          <w:jc w:val="center"/>
        </w:trPr>
        <w:tc>
          <w:tcPr>
            <w:tcW w:w="8405" w:type="dxa"/>
            <w:gridSpan w:val="2"/>
            <w:shd w:val="clear" w:color="000000" w:fill="C9C9C9"/>
            <w:noWrap/>
            <w:vAlign w:val="center"/>
            <w:hideMark/>
          </w:tcPr>
          <w:p w14:paraId="08A9198D" w14:textId="77777777" w:rsidR="00E6174D" w:rsidRPr="006B44D4" w:rsidRDefault="00E6174D" w:rsidP="00186327">
            <w:pPr>
              <w:spacing w:before="60" w:after="60" w:line="240" w:lineRule="auto"/>
              <w:jc w:val="center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6B44D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Specifikace předmětu plnění</w:t>
            </w:r>
          </w:p>
        </w:tc>
        <w:tc>
          <w:tcPr>
            <w:tcW w:w="1223" w:type="dxa"/>
            <w:shd w:val="clear" w:color="000000" w:fill="C9C9C9"/>
          </w:tcPr>
          <w:p w14:paraId="5A45E042" w14:textId="77777777" w:rsidR="00E6174D" w:rsidRPr="006B44D4" w:rsidRDefault="00E6174D" w:rsidP="00186327">
            <w:pPr>
              <w:spacing w:before="60" w:after="60" w:line="240" w:lineRule="auto"/>
              <w:jc w:val="center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6B44D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Počet</w:t>
            </w:r>
          </w:p>
        </w:tc>
      </w:tr>
      <w:tr w:rsidR="009300BF" w:rsidRPr="00624461" w14:paraId="7009D581" w14:textId="77777777" w:rsidTr="00FA1393">
        <w:trPr>
          <w:jc w:val="center"/>
        </w:trPr>
        <w:tc>
          <w:tcPr>
            <w:tcW w:w="437" w:type="dxa"/>
            <w:vMerge w:val="restart"/>
            <w:noWrap/>
            <w:vAlign w:val="center"/>
            <w:hideMark/>
          </w:tcPr>
          <w:p w14:paraId="69271331" w14:textId="63026161" w:rsidR="009300BF" w:rsidRPr="00E12EA5" w:rsidRDefault="009300BF" w:rsidP="00624461">
            <w:pPr>
              <w:spacing w:before="60" w:after="60" w:line="240" w:lineRule="auto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E12EA5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9</w:t>
            </w:r>
          </w:p>
        </w:tc>
        <w:tc>
          <w:tcPr>
            <w:tcW w:w="7968" w:type="dxa"/>
            <w:noWrap/>
            <w:vAlign w:val="center"/>
            <w:hideMark/>
          </w:tcPr>
          <w:p w14:paraId="1B182A8D" w14:textId="50A4F2C5" w:rsidR="009300BF" w:rsidRPr="00177E24" w:rsidRDefault="009300BF" w:rsidP="00624461">
            <w:pPr>
              <w:spacing w:before="60" w:after="60" w:line="240" w:lineRule="auto"/>
              <w:rPr>
                <w:rFonts w:cs="Calibri"/>
                <w:color w:val="000000"/>
                <w:szCs w:val="18"/>
              </w:rPr>
            </w:pPr>
            <w:r w:rsidRPr="00177E24">
              <w:rPr>
                <w:rFonts w:cs="Calibri"/>
                <w:color w:val="000000"/>
                <w:szCs w:val="18"/>
              </w:rPr>
              <w:t>Linux na fyzický server, x86, 1-2 CPU s možností provozu neomezeného počtu virtuálních instancí, standardní podpora, 1 rok</w:t>
            </w:r>
          </w:p>
        </w:tc>
        <w:tc>
          <w:tcPr>
            <w:tcW w:w="1223" w:type="dxa"/>
            <w:vMerge w:val="restart"/>
            <w:vAlign w:val="center"/>
          </w:tcPr>
          <w:p w14:paraId="09251E58" w14:textId="65A189BA" w:rsidR="009300BF" w:rsidRPr="00177E24" w:rsidRDefault="00E6377E" w:rsidP="00624461">
            <w:pPr>
              <w:spacing w:before="60" w:after="60" w:line="240" w:lineRule="auto"/>
              <w:jc w:val="center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177E24">
              <w:rPr>
                <w:rFonts w:eastAsia="Times New Roman" w:cs="Calibri"/>
                <w:color w:val="000000"/>
                <w:szCs w:val="18"/>
                <w:lang w:eastAsia="cs-CZ"/>
              </w:rPr>
              <w:t>16</w:t>
            </w:r>
          </w:p>
        </w:tc>
      </w:tr>
      <w:tr w:rsidR="009300BF" w:rsidRPr="00624461" w14:paraId="2F738FAF" w14:textId="77777777" w:rsidTr="00FA1393">
        <w:trPr>
          <w:jc w:val="center"/>
        </w:trPr>
        <w:tc>
          <w:tcPr>
            <w:tcW w:w="437" w:type="dxa"/>
            <w:vMerge/>
            <w:noWrap/>
            <w:vAlign w:val="center"/>
          </w:tcPr>
          <w:p w14:paraId="4450B744" w14:textId="77777777" w:rsidR="009300BF" w:rsidRPr="00E12EA5" w:rsidRDefault="009300BF" w:rsidP="00624461">
            <w:pPr>
              <w:spacing w:before="60" w:after="60" w:line="240" w:lineRule="auto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</w:p>
        </w:tc>
        <w:tc>
          <w:tcPr>
            <w:tcW w:w="7968" w:type="dxa"/>
            <w:noWrap/>
            <w:vAlign w:val="center"/>
          </w:tcPr>
          <w:p w14:paraId="1FB68B58" w14:textId="7461E234" w:rsidR="009300BF" w:rsidRPr="00177E24" w:rsidRDefault="009300BF" w:rsidP="00624461">
            <w:pPr>
              <w:spacing w:before="60" w:after="6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177E24">
              <w:rPr>
                <w:rFonts w:eastAsia="Times New Roman" w:cs="Calibri"/>
                <w:color w:val="000000"/>
                <w:szCs w:val="18"/>
                <w:lang w:eastAsia="cs-CZ"/>
              </w:rPr>
              <w:t>Red Hat Enterprise Linux for Virtual Datacenters, Standard</w:t>
            </w:r>
          </w:p>
        </w:tc>
        <w:tc>
          <w:tcPr>
            <w:tcW w:w="1223" w:type="dxa"/>
            <w:vMerge/>
            <w:vAlign w:val="center"/>
          </w:tcPr>
          <w:p w14:paraId="390C7F11" w14:textId="77777777" w:rsidR="009300BF" w:rsidRPr="00177E24" w:rsidRDefault="009300BF" w:rsidP="00624461">
            <w:pPr>
              <w:spacing w:before="60" w:after="60" w:line="240" w:lineRule="auto"/>
              <w:jc w:val="center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</w:tr>
      <w:tr w:rsidR="00FA1393" w:rsidRPr="00624461" w14:paraId="14F5D3AA" w14:textId="77777777" w:rsidTr="00FA1393">
        <w:trPr>
          <w:jc w:val="center"/>
        </w:trPr>
        <w:tc>
          <w:tcPr>
            <w:tcW w:w="437" w:type="dxa"/>
            <w:vMerge w:val="restart"/>
            <w:noWrap/>
            <w:vAlign w:val="center"/>
          </w:tcPr>
          <w:p w14:paraId="39163BD3" w14:textId="5BD6158E" w:rsidR="00FA1393" w:rsidRPr="00E12EA5" w:rsidRDefault="00F73D55" w:rsidP="00FA1393">
            <w:pPr>
              <w:spacing w:before="60" w:after="60" w:line="240" w:lineRule="auto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E12EA5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1</w:t>
            </w:r>
          </w:p>
        </w:tc>
        <w:tc>
          <w:tcPr>
            <w:tcW w:w="7968" w:type="dxa"/>
            <w:noWrap/>
            <w:vAlign w:val="center"/>
          </w:tcPr>
          <w:p w14:paraId="2501E16D" w14:textId="5FE678D1" w:rsidR="00FA1393" w:rsidRPr="00177E24" w:rsidRDefault="00FA1393" w:rsidP="00FA1393">
            <w:pPr>
              <w:pStyle w:val="xmsoplaintext"/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177E24">
              <w:rPr>
                <w:rFonts w:ascii="Verdana" w:eastAsia="Times New Roman" w:hAnsi="Verdana"/>
                <w:color w:val="000000"/>
                <w:sz w:val="18"/>
                <w:szCs w:val="18"/>
              </w:rPr>
              <w:t>Linux na fyzický server, x86, 1-2 CPU nebo 1-2 VM, standardní podpora, 1 rok</w:t>
            </w:r>
          </w:p>
        </w:tc>
        <w:tc>
          <w:tcPr>
            <w:tcW w:w="1223" w:type="dxa"/>
            <w:vMerge w:val="restart"/>
            <w:vAlign w:val="center"/>
          </w:tcPr>
          <w:p w14:paraId="5431C8EB" w14:textId="208B8C45" w:rsidR="00FA1393" w:rsidRPr="00177E24" w:rsidRDefault="006B14A4" w:rsidP="00FA1393">
            <w:pPr>
              <w:spacing w:before="60" w:after="60" w:line="240" w:lineRule="auto"/>
              <w:jc w:val="center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177E24">
              <w:rPr>
                <w:rFonts w:eastAsia="Times New Roman" w:cs="Calibri"/>
                <w:color w:val="000000"/>
                <w:szCs w:val="18"/>
                <w:lang w:eastAsia="cs-CZ"/>
              </w:rPr>
              <w:t>20</w:t>
            </w:r>
          </w:p>
        </w:tc>
      </w:tr>
      <w:tr w:rsidR="00FA1393" w:rsidRPr="00624461" w14:paraId="14BA2F9F" w14:textId="77777777" w:rsidTr="00FA1393">
        <w:trPr>
          <w:jc w:val="center"/>
        </w:trPr>
        <w:tc>
          <w:tcPr>
            <w:tcW w:w="437" w:type="dxa"/>
            <w:vMerge/>
            <w:noWrap/>
            <w:vAlign w:val="center"/>
          </w:tcPr>
          <w:p w14:paraId="44186CEB" w14:textId="77777777" w:rsidR="00FA1393" w:rsidRPr="00E12EA5" w:rsidRDefault="00FA1393" w:rsidP="00FA1393">
            <w:pPr>
              <w:spacing w:before="60" w:after="60" w:line="240" w:lineRule="auto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</w:p>
        </w:tc>
        <w:tc>
          <w:tcPr>
            <w:tcW w:w="7968" w:type="dxa"/>
            <w:noWrap/>
            <w:vAlign w:val="center"/>
          </w:tcPr>
          <w:p w14:paraId="78175A18" w14:textId="34F5594E" w:rsidR="00FA1393" w:rsidRPr="00177E24" w:rsidRDefault="00FA1393" w:rsidP="00FA1393">
            <w:pPr>
              <w:pStyle w:val="xmsoplaintext"/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177E24">
              <w:rPr>
                <w:rFonts w:ascii="Verdana" w:eastAsia="Times New Roman" w:hAnsi="Verdana"/>
                <w:color w:val="000000"/>
                <w:sz w:val="18"/>
                <w:szCs w:val="18"/>
              </w:rPr>
              <w:t>Red Hat Enterprise Linux Server, Standard (Physical or Virtual Nodes)</w:t>
            </w:r>
          </w:p>
        </w:tc>
        <w:tc>
          <w:tcPr>
            <w:tcW w:w="1223" w:type="dxa"/>
            <w:vMerge/>
            <w:vAlign w:val="center"/>
          </w:tcPr>
          <w:p w14:paraId="32E84C0C" w14:textId="77777777" w:rsidR="00FA1393" w:rsidRPr="00177E24" w:rsidRDefault="00FA1393" w:rsidP="00FA1393">
            <w:pPr>
              <w:spacing w:before="60" w:after="60" w:line="240" w:lineRule="auto"/>
              <w:jc w:val="center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</w:tr>
      <w:tr w:rsidR="00FA1393" w:rsidRPr="00624461" w14:paraId="00368B3B" w14:textId="77777777" w:rsidTr="00FA1393">
        <w:trPr>
          <w:jc w:val="center"/>
        </w:trPr>
        <w:tc>
          <w:tcPr>
            <w:tcW w:w="437" w:type="dxa"/>
            <w:vMerge w:val="restart"/>
            <w:noWrap/>
            <w:vAlign w:val="center"/>
          </w:tcPr>
          <w:p w14:paraId="77D74FB6" w14:textId="64B7D86D" w:rsidR="00FA1393" w:rsidRPr="00E12EA5" w:rsidRDefault="00FE1D92" w:rsidP="00FA1393">
            <w:pPr>
              <w:spacing w:before="60" w:after="60" w:line="240" w:lineRule="auto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E12EA5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29</w:t>
            </w:r>
          </w:p>
        </w:tc>
        <w:tc>
          <w:tcPr>
            <w:tcW w:w="7968" w:type="dxa"/>
            <w:noWrap/>
            <w:vAlign w:val="center"/>
          </w:tcPr>
          <w:p w14:paraId="1A19F041" w14:textId="28F212E0" w:rsidR="00FA1393" w:rsidRPr="00177E24" w:rsidRDefault="00275C9A" w:rsidP="00FA1393">
            <w:pPr>
              <w:pStyle w:val="xmsoplaintext"/>
              <w:spacing w:before="60" w:after="60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177E24">
              <w:rPr>
                <w:rFonts w:ascii="Verdana" w:eastAsia="Times New Roman" w:hAnsi="Verdana"/>
                <w:color w:val="000000"/>
                <w:sz w:val="18"/>
                <w:szCs w:val="18"/>
              </w:rPr>
              <w:t xml:space="preserve">Linux na fyzický server pro aplikace SAP HANA, POWER, 1-2 VM, </w:t>
            </w:r>
            <w:r w:rsidR="00A139CD" w:rsidRPr="00177E24">
              <w:rPr>
                <w:rFonts w:ascii="Verdana" w:eastAsia="Times New Roman" w:hAnsi="Verdana"/>
                <w:color w:val="000000"/>
                <w:sz w:val="18"/>
                <w:szCs w:val="18"/>
              </w:rPr>
              <w:t>standardní podpora</w:t>
            </w:r>
            <w:r w:rsidRPr="00177E24">
              <w:rPr>
                <w:rFonts w:ascii="Verdana" w:eastAsia="Times New Roman" w:hAnsi="Verdana"/>
                <w:color w:val="000000"/>
                <w:sz w:val="18"/>
                <w:szCs w:val="18"/>
              </w:rPr>
              <w:t>, 1 rok</w:t>
            </w:r>
          </w:p>
        </w:tc>
        <w:tc>
          <w:tcPr>
            <w:tcW w:w="1223" w:type="dxa"/>
            <w:vMerge w:val="restart"/>
            <w:vAlign w:val="center"/>
          </w:tcPr>
          <w:p w14:paraId="7022C042" w14:textId="318129B2" w:rsidR="00FA1393" w:rsidRPr="00177E24" w:rsidRDefault="00FA1393" w:rsidP="00FA1393">
            <w:pPr>
              <w:spacing w:before="60" w:after="60" w:line="240" w:lineRule="auto"/>
              <w:jc w:val="center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177E24">
              <w:rPr>
                <w:rFonts w:eastAsia="Times New Roman" w:cs="Calibri"/>
                <w:color w:val="000000"/>
                <w:szCs w:val="18"/>
                <w:lang w:eastAsia="cs-CZ"/>
              </w:rPr>
              <w:t>5</w:t>
            </w:r>
          </w:p>
        </w:tc>
      </w:tr>
      <w:tr w:rsidR="00FA1393" w:rsidRPr="00624461" w14:paraId="7B7CEEF0" w14:textId="77777777" w:rsidTr="00FA1393">
        <w:trPr>
          <w:jc w:val="center"/>
        </w:trPr>
        <w:tc>
          <w:tcPr>
            <w:tcW w:w="437" w:type="dxa"/>
            <w:vMerge/>
            <w:noWrap/>
            <w:vAlign w:val="center"/>
          </w:tcPr>
          <w:p w14:paraId="1F473BF4" w14:textId="77777777" w:rsidR="00FA1393" w:rsidRPr="00E12EA5" w:rsidRDefault="00FA1393" w:rsidP="00FA1393">
            <w:pPr>
              <w:spacing w:before="60" w:after="60" w:line="240" w:lineRule="auto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</w:p>
        </w:tc>
        <w:tc>
          <w:tcPr>
            <w:tcW w:w="7968" w:type="dxa"/>
            <w:noWrap/>
            <w:vAlign w:val="center"/>
          </w:tcPr>
          <w:p w14:paraId="0AD3CD7F" w14:textId="1A9E5BEF" w:rsidR="00FA1393" w:rsidRPr="00177E24" w:rsidRDefault="00FE1D92" w:rsidP="00FA1393">
            <w:pPr>
              <w:pStyle w:val="xmsoplaintext"/>
              <w:spacing w:before="60" w:after="60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177E24">
              <w:rPr>
                <w:rFonts w:ascii="Verdana" w:eastAsia="Times New Roman" w:hAnsi="Verdana"/>
                <w:color w:val="000000"/>
                <w:sz w:val="18"/>
                <w:szCs w:val="18"/>
              </w:rPr>
              <w:t>Red Hat Enterprise Linux for SAP Solutions for IBM Power, LE, Standard</w:t>
            </w:r>
          </w:p>
        </w:tc>
        <w:tc>
          <w:tcPr>
            <w:tcW w:w="1223" w:type="dxa"/>
            <w:vMerge/>
            <w:vAlign w:val="center"/>
          </w:tcPr>
          <w:p w14:paraId="7A7F2A0B" w14:textId="77777777" w:rsidR="00FA1393" w:rsidRPr="00177E24" w:rsidRDefault="00FA1393" w:rsidP="00FA1393">
            <w:pPr>
              <w:spacing w:before="60" w:after="60" w:line="240" w:lineRule="auto"/>
              <w:jc w:val="center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</w:tr>
      <w:tr w:rsidR="00B476B5" w:rsidRPr="00624461" w14:paraId="09FFB8B8" w14:textId="77777777" w:rsidTr="00FA1393">
        <w:trPr>
          <w:jc w:val="center"/>
        </w:trPr>
        <w:tc>
          <w:tcPr>
            <w:tcW w:w="437" w:type="dxa"/>
            <w:vMerge w:val="restart"/>
            <w:noWrap/>
            <w:vAlign w:val="center"/>
          </w:tcPr>
          <w:p w14:paraId="61D45EBC" w14:textId="11FA3A61" w:rsidR="00B476B5" w:rsidRPr="00E12EA5" w:rsidRDefault="00326A52" w:rsidP="00FA1393">
            <w:pPr>
              <w:spacing w:before="60" w:after="60" w:line="240" w:lineRule="auto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E12EA5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5</w:t>
            </w:r>
          </w:p>
        </w:tc>
        <w:tc>
          <w:tcPr>
            <w:tcW w:w="7968" w:type="dxa"/>
            <w:noWrap/>
            <w:vAlign w:val="center"/>
          </w:tcPr>
          <w:p w14:paraId="2B43320F" w14:textId="231E152A" w:rsidR="00B476B5" w:rsidRPr="00177E24" w:rsidRDefault="00B476B5" w:rsidP="00FA1393">
            <w:pPr>
              <w:pStyle w:val="xmsoplaintext"/>
              <w:spacing w:before="60" w:after="60"/>
              <w:rPr>
                <w:rFonts w:ascii="Verdana" w:eastAsia="Times New Roman" w:hAnsi="Verdana"/>
                <w:sz w:val="18"/>
                <w:szCs w:val="18"/>
              </w:rPr>
            </w:pPr>
            <w:r w:rsidRPr="00177E24">
              <w:rPr>
                <w:shd w:val="clear" w:color="auto" w:fill="FFFFFF"/>
              </w:rPr>
              <w:t>Linux na fyzický server, POWER, 1-2 CPU nebo 1-2 VM, standardní podpora, 1 rok</w:t>
            </w:r>
          </w:p>
        </w:tc>
        <w:tc>
          <w:tcPr>
            <w:tcW w:w="1223" w:type="dxa"/>
            <w:vMerge w:val="restart"/>
            <w:vAlign w:val="center"/>
          </w:tcPr>
          <w:p w14:paraId="4BE4222B" w14:textId="1876EB65" w:rsidR="00B476B5" w:rsidRPr="00177E24" w:rsidRDefault="00EA150E" w:rsidP="00FA1393">
            <w:pPr>
              <w:spacing w:before="60" w:after="60" w:line="240" w:lineRule="auto"/>
              <w:jc w:val="center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lang w:eastAsia="cs-CZ"/>
              </w:rPr>
              <w:t>20</w:t>
            </w:r>
          </w:p>
        </w:tc>
      </w:tr>
      <w:tr w:rsidR="00B476B5" w:rsidRPr="00624461" w14:paraId="46D513DE" w14:textId="77777777" w:rsidTr="00FA1393">
        <w:trPr>
          <w:jc w:val="center"/>
        </w:trPr>
        <w:tc>
          <w:tcPr>
            <w:tcW w:w="437" w:type="dxa"/>
            <w:vMerge/>
            <w:noWrap/>
            <w:vAlign w:val="center"/>
          </w:tcPr>
          <w:p w14:paraId="325E304E" w14:textId="77777777" w:rsidR="00B476B5" w:rsidRPr="00624461" w:rsidRDefault="00B476B5" w:rsidP="00FA1393">
            <w:pPr>
              <w:spacing w:before="60" w:after="60" w:line="240" w:lineRule="auto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</w:p>
        </w:tc>
        <w:tc>
          <w:tcPr>
            <w:tcW w:w="7968" w:type="dxa"/>
            <w:noWrap/>
            <w:vAlign w:val="center"/>
          </w:tcPr>
          <w:p w14:paraId="626FE26C" w14:textId="1F426BE8" w:rsidR="00B476B5" w:rsidRPr="00624461" w:rsidRDefault="00B476B5" w:rsidP="00FA1393">
            <w:pPr>
              <w:pStyle w:val="xmsoplaintext"/>
              <w:spacing w:before="60" w:after="60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4B01D4">
              <w:rPr>
                <w:rFonts w:ascii="Verdana" w:eastAsia="Times New Roman" w:hAnsi="Verdana"/>
                <w:color w:val="000000"/>
                <w:sz w:val="18"/>
                <w:szCs w:val="18"/>
              </w:rPr>
              <w:t>Red Hat Enterprise Linux for IBM Power, LE, Standard (Physical or Virtual Nodes)</w:t>
            </w:r>
          </w:p>
        </w:tc>
        <w:tc>
          <w:tcPr>
            <w:tcW w:w="1223" w:type="dxa"/>
            <w:vMerge/>
            <w:vAlign w:val="center"/>
          </w:tcPr>
          <w:p w14:paraId="794E2B03" w14:textId="77777777" w:rsidR="00B476B5" w:rsidRPr="00624461" w:rsidRDefault="00B476B5" w:rsidP="00FA1393">
            <w:pPr>
              <w:spacing w:before="60" w:after="60" w:line="240" w:lineRule="auto"/>
              <w:jc w:val="center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</w:tr>
    </w:tbl>
    <w:p w14:paraId="7BE61675" w14:textId="2080863B" w:rsidR="00276121" w:rsidRPr="00624461" w:rsidRDefault="007B7C3B" w:rsidP="00276121">
      <w:pPr>
        <w:pStyle w:val="Prosttext"/>
        <w:spacing w:before="480" w:after="120" w:line="360" w:lineRule="auto"/>
        <w:jc w:val="both"/>
        <w:rPr>
          <w:rFonts w:ascii="Verdana" w:hAnsi="Verdana"/>
          <w:sz w:val="18"/>
          <w:szCs w:val="18"/>
        </w:rPr>
      </w:pPr>
      <w:r w:rsidRPr="00624461">
        <w:rPr>
          <w:rFonts w:ascii="Verdana" w:hAnsi="Verdana"/>
          <w:sz w:val="18"/>
          <w:szCs w:val="18"/>
        </w:rPr>
        <w:t>Objednatel</w:t>
      </w:r>
      <w:r w:rsidR="00276121" w:rsidRPr="00624461">
        <w:rPr>
          <w:rFonts w:ascii="Verdana" w:hAnsi="Verdana"/>
          <w:sz w:val="18"/>
          <w:szCs w:val="18"/>
        </w:rPr>
        <w:t xml:space="preserve"> požaduje, aby podpora plnění byla svázána s „Red Hat Account Number“ </w:t>
      </w:r>
      <w:r w:rsidRPr="00624461">
        <w:rPr>
          <w:rFonts w:ascii="Verdana" w:hAnsi="Verdana"/>
          <w:sz w:val="18"/>
          <w:szCs w:val="18"/>
        </w:rPr>
        <w:t>Objednatele</w:t>
      </w:r>
      <w:r w:rsidR="00276121" w:rsidRPr="00624461">
        <w:rPr>
          <w:rFonts w:ascii="Verdana" w:hAnsi="Verdana"/>
          <w:sz w:val="18"/>
          <w:szCs w:val="18"/>
        </w:rPr>
        <w:t>.</w:t>
      </w:r>
    </w:p>
    <w:p w14:paraId="739EDD94" w14:textId="6DED5990" w:rsidR="00276121" w:rsidRDefault="00276121" w:rsidP="00276121">
      <w:pPr>
        <w:pStyle w:val="Prosttext"/>
        <w:spacing w:before="120" w:after="120" w:line="360" w:lineRule="auto"/>
        <w:jc w:val="both"/>
        <w:rPr>
          <w:rFonts w:ascii="Verdana" w:hAnsi="Verdana"/>
          <w:sz w:val="18"/>
          <w:szCs w:val="18"/>
        </w:rPr>
      </w:pPr>
      <w:r w:rsidRPr="00624461">
        <w:rPr>
          <w:rFonts w:ascii="Verdana" w:hAnsi="Verdana"/>
          <w:sz w:val="18"/>
          <w:szCs w:val="18"/>
        </w:rPr>
        <w:t xml:space="preserve">Subskripce musí být dodány v počtu a s označením přesně dle zadání </w:t>
      </w:r>
      <w:r w:rsidR="007B7C3B" w:rsidRPr="00624461">
        <w:rPr>
          <w:rFonts w:ascii="Verdana" w:hAnsi="Verdana"/>
          <w:sz w:val="18"/>
          <w:szCs w:val="18"/>
        </w:rPr>
        <w:t>Objednatele</w:t>
      </w:r>
      <w:r w:rsidRPr="00624461">
        <w:rPr>
          <w:rFonts w:ascii="Verdana" w:hAnsi="Verdana"/>
          <w:sz w:val="18"/>
          <w:szCs w:val="18"/>
        </w:rPr>
        <w:t xml:space="preserve">, </w:t>
      </w:r>
      <w:r w:rsidR="007B7C3B" w:rsidRPr="00624461">
        <w:rPr>
          <w:rFonts w:ascii="Verdana" w:hAnsi="Verdana"/>
          <w:sz w:val="18"/>
          <w:szCs w:val="18"/>
        </w:rPr>
        <w:t xml:space="preserve">s </w:t>
      </w:r>
      <w:r w:rsidRPr="00624461">
        <w:rPr>
          <w:rFonts w:ascii="Verdana" w:hAnsi="Verdana"/>
          <w:sz w:val="18"/>
          <w:szCs w:val="18"/>
        </w:rPr>
        <w:t>uvedením přesného produktového SKU výrobce Red Hat.</w:t>
      </w:r>
    </w:p>
    <w:p w14:paraId="3CC2AD59" w14:textId="7EB2473A" w:rsidR="00D90A72" w:rsidRPr="00624461" w:rsidRDefault="00D90A72" w:rsidP="00276121">
      <w:pPr>
        <w:pStyle w:val="Prosttext"/>
        <w:spacing w:before="120" w:after="12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Poskytovatel </w:t>
      </w:r>
      <w:r w:rsidR="00500AFC">
        <w:rPr>
          <w:rFonts w:ascii="Verdana" w:hAnsi="Verdana"/>
          <w:sz w:val="18"/>
          <w:szCs w:val="18"/>
        </w:rPr>
        <w:t xml:space="preserve">se zavazuje </w:t>
      </w:r>
      <w:r w:rsidR="009334A8">
        <w:rPr>
          <w:rFonts w:ascii="Verdana" w:hAnsi="Verdana"/>
          <w:sz w:val="18"/>
          <w:szCs w:val="18"/>
        </w:rPr>
        <w:t xml:space="preserve">zajistit připsání </w:t>
      </w:r>
      <w:r w:rsidR="003448E9">
        <w:rPr>
          <w:rFonts w:ascii="Verdana" w:hAnsi="Verdana"/>
          <w:sz w:val="18"/>
          <w:szCs w:val="18"/>
        </w:rPr>
        <w:t xml:space="preserve">dodaných subskripcí k účtu objednatele </w:t>
      </w:r>
      <w:r w:rsidR="00D40AF6">
        <w:rPr>
          <w:rFonts w:ascii="Verdana" w:hAnsi="Verdana"/>
          <w:sz w:val="18"/>
          <w:szCs w:val="18"/>
        </w:rPr>
        <w:t xml:space="preserve">na portálu výrobce Red Hat, přičemž ID tohoto účtu je </w:t>
      </w:r>
      <w:r w:rsidR="00DC1D70">
        <w:rPr>
          <w:rFonts w:ascii="Verdana" w:hAnsi="Verdana"/>
          <w:sz w:val="18"/>
          <w:szCs w:val="18"/>
        </w:rPr>
        <w:t>„5929779“.</w:t>
      </w:r>
    </w:p>
    <w:p w14:paraId="02DF4F5A" w14:textId="58FC7FDB" w:rsidR="00276121" w:rsidRPr="00624461" w:rsidRDefault="007B7C3B" w:rsidP="00276121">
      <w:pPr>
        <w:pStyle w:val="Prosttext"/>
        <w:spacing w:before="120" w:after="120" w:line="360" w:lineRule="auto"/>
        <w:jc w:val="both"/>
        <w:rPr>
          <w:rFonts w:ascii="Verdana" w:hAnsi="Verdana"/>
          <w:sz w:val="18"/>
          <w:szCs w:val="18"/>
        </w:rPr>
      </w:pPr>
      <w:r w:rsidRPr="00624461">
        <w:rPr>
          <w:rFonts w:ascii="Verdana" w:hAnsi="Verdana"/>
          <w:sz w:val="18"/>
          <w:szCs w:val="18"/>
        </w:rPr>
        <w:t>Objednatel</w:t>
      </w:r>
      <w:r w:rsidR="00276121" w:rsidRPr="00624461">
        <w:rPr>
          <w:rFonts w:ascii="Verdana" w:hAnsi="Verdana"/>
          <w:sz w:val="18"/>
          <w:szCs w:val="18"/>
        </w:rPr>
        <w:t xml:space="preserve"> požaduje, aby mohl přímo komunikovat s výrobcem Red Hat, a to na všech úrovních podpory plnění.</w:t>
      </w:r>
    </w:p>
    <w:p w14:paraId="4F33D5EE" w14:textId="77777777" w:rsidR="00CD2CF2" w:rsidRDefault="00276121" w:rsidP="00276121">
      <w:pPr>
        <w:pStyle w:val="Prosttext"/>
        <w:spacing w:before="120" w:after="120" w:line="360" w:lineRule="auto"/>
        <w:jc w:val="both"/>
        <w:rPr>
          <w:rFonts w:ascii="Verdana" w:hAnsi="Verdana"/>
          <w:sz w:val="18"/>
          <w:szCs w:val="18"/>
        </w:rPr>
      </w:pPr>
      <w:r w:rsidRPr="00624461">
        <w:rPr>
          <w:rFonts w:ascii="Verdana" w:hAnsi="Verdana"/>
          <w:sz w:val="18"/>
          <w:szCs w:val="18"/>
        </w:rPr>
        <w:t>Subskripce musí být přenositelná mezi různými hardwarovými platformami dle matice podporovaného hardware v plném rozsahu (</w:t>
      </w:r>
      <w:hyperlink r:id="rId11" w:history="1">
        <w:r w:rsidRPr="00624461">
          <w:rPr>
            <w:rStyle w:val="Hypertextovodkaz"/>
            <w:rFonts w:ascii="Verdana" w:hAnsi="Verdana"/>
            <w:sz w:val="18"/>
            <w:szCs w:val="18"/>
          </w:rPr>
          <w:t>http://hardware.redhat.com</w:t>
        </w:r>
      </w:hyperlink>
      <w:r w:rsidRPr="006B44D4">
        <w:rPr>
          <w:rFonts w:ascii="Verdana" w:hAnsi="Verdana"/>
          <w:sz w:val="18"/>
          <w:szCs w:val="18"/>
        </w:rPr>
        <w:t>)</w:t>
      </w:r>
    </w:p>
    <w:p w14:paraId="0F885E09" w14:textId="77777777" w:rsidR="00CD2CF2" w:rsidRDefault="00CD2CF2">
      <w:pPr>
        <w:rPr>
          <w:rFonts w:cs="Calibri"/>
          <w:szCs w:val="18"/>
        </w:rPr>
      </w:pPr>
      <w:r>
        <w:rPr>
          <w:szCs w:val="18"/>
        </w:rPr>
        <w:br w:type="page"/>
      </w:r>
    </w:p>
    <w:tbl>
      <w:tblPr>
        <w:tblW w:w="5009" w:type="pct"/>
        <w:tblBorders>
          <w:bottom w:val="single" w:sz="2" w:space="0" w:color="004666"/>
        </w:tblBorders>
        <w:tblLook w:val="04A0" w:firstRow="1" w:lastRow="0" w:firstColumn="1" w:lastColumn="0" w:noHBand="0" w:noVBand="1"/>
      </w:tblPr>
      <w:tblGrid>
        <w:gridCol w:w="2148"/>
        <w:gridCol w:w="7507"/>
      </w:tblGrid>
      <w:tr w:rsidR="00E66D16" w14:paraId="40A904D1" w14:textId="77777777" w:rsidTr="00E66D16">
        <w:tc>
          <w:tcPr>
            <w:tcW w:w="90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3F122C" w14:textId="77777777" w:rsidR="00E66D16" w:rsidRDefault="00E66D16" w:rsidP="001F0E40">
            <w:pPr>
              <w:spacing w:before="120" w:after="120" w:line="240" w:lineRule="auto"/>
              <w:rPr>
                <w:rFonts w:cs="Calibri"/>
                <w:b/>
                <w:bCs/>
                <w:color w:val="004666"/>
                <w:szCs w:val="18"/>
              </w:rPr>
            </w:pPr>
            <w:r w:rsidRPr="00BA5FFD">
              <w:rPr>
                <w:rFonts w:cs="Calibri"/>
                <w:b/>
                <w:bCs/>
                <w:color w:val="004666"/>
                <w:szCs w:val="18"/>
              </w:rPr>
              <w:lastRenderedPageBreak/>
              <w:t>Smlouv</w:t>
            </w:r>
            <w:r>
              <w:rPr>
                <w:rFonts w:cs="Calibri"/>
                <w:b/>
                <w:bCs/>
                <w:color w:val="004666"/>
                <w:szCs w:val="18"/>
              </w:rPr>
              <w:t>a</w:t>
            </w:r>
            <w:r w:rsidRPr="00BA5FFD">
              <w:rPr>
                <w:rFonts w:cs="Calibri"/>
                <w:b/>
                <w:bCs/>
                <w:color w:val="004666"/>
                <w:szCs w:val="18"/>
              </w:rPr>
              <w:t xml:space="preserve"> na poskytnutí licencí operačního systému Linux</w:t>
            </w:r>
          </w:p>
        </w:tc>
      </w:tr>
      <w:tr w:rsidR="00E66D16" w14:paraId="1CE5970E" w14:textId="77777777" w:rsidTr="00E66D16">
        <w:tc>
          <w:tcPr>
            <w:tcW w:w="2022" w:type="dxa"/>
            <w:tcBorders>
              <w:top w:val="nil"/>
              <w:left w:val="nil"/>
              <w:bottom w:val="single" w:sz="2" w:space="0" w:color="004666"/>
              <w:right w:val="nil"/>
            </w:tcBorders>
            <w:vAlign w:val="center"/>
            <w:hideMark/>
          </w:tcPr>
          <w:p w14:paraId="2F2A8FCE" w14:textId="3F2C0C97" w:rsidR="00E66D16" w:rsidRDefault="00E66D16" w:rsidP="001F0E40">
            <w:pPr>
              <w:spacing w:before="120" w:after="120" w:line="240" w:lineRule="auto"/>
              <w:rPr>
                <w:rFonts w:cs="Calibri"/>
                <w:b/>
                <w:bCs/>
                <w:color w:val="004666"/>
                <w:szCs w:val="18"/>
              </w:rPr>
            </w:pPr>
            <w:r>
              <w:rPr>
                <w:rFonts w:cs="Calibri"/>
                <w:b/>
                <w:bCs/>
                <w:color w:val="009EE0"/>
                <w:szCs w:val="18"/>
              </w:rPr>
              <w:t xml:space="preserve">Příloha č. </w:t>
            </w:r>
            <w:r w:rsidR="0037075A">
              <w:rPr>
                <w:rFonts w:cs="Calibri"/>
                <w:b/>
                <w:bCs/>
                <w:color w:val="009EE0"/>
                <w:szCs w:val="18"/>
              </w:rPr>
              <w:t>2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2" w:space="0" w:color="004666"/>
              <w:right w:val="nil"/>
            </w:tcBorders>
            <w:vAlign w:val="center"/>
            <w:hideMark/>
          </w:tcPr>
          <w:p w14:paraId="0EDBAF6D" w14:textId="004B8815" w:rsidR="00E66D16" w:rsidRDefault="0037075A" w:rsidP="001F0E40">
            <w:pPr>
              <w:spacing w:before="120" w:after="120" w:line="240" w:lineRule="auto"/>
              <w:rPr>
                <w:rFonts w:cs="Calibri"/>
                <w:b/>
                <w:bCs/>
                <w:color w:val="004666"/>
                <w:szCs w:val="18"/>
              </w:rPr>
            </w:pPr>
            <w:r w:rsidRPr="0037075A">
              <w:rPr>
                <w:rFonts w:cs="Calibri"/>
                <w:b/>
                <w:bCs/>
                <w:color w:val="009EE0"/>
                <w:szCs w:val="18"/>
              </w:rPr>
              <w:t>Licenční ujednání</w:t>
            </w:r>
          </w:p>
        </w:tc>
      </w:tr>
    </w:tbl>
    <w:p w14:paraId="790B91A5" w14:textId="69019F07" w:rsidR="00276121" w:rsidRPr="00FC1E61" w:rsidRDefault="0037075A" w:rsidP="0037075A">
      <w:pPr>
        <w:pStyle w:val="Prosttext"/>
        <w:spacing w:before="120" w:after="120" w:line="360" w:lineRule="auto"/>
        <w:jc w:val="both"/>
      </w:pPr>
      <w:r>
        <w:rPr>
          <w:rFonts w:cs="Arial"/>
          <w:highlight w:val="yellow"/>
        </w:rPr>
        <w:t>[</w:t>
      </w:r>
      <w:r w:rsidR="00A52737">
        <w:rPr>
          <w:rFonts w:cs="Arial"/>
          <w:highlight w:val="yellow"/>
        </w:rPr>
        <w:t>DOPLNÍ DODAVATEL</w:t>
      </w:r>
      <w:r w:rsidR="0075284F" w:rsidRPr="00175985">
        <w:rPr>
          <w:rFonts w:cs="Arial"/>
        </w:rPr>
        <w:t>]</w:t>
      </w:r>
    </w:p>
    <w:sectPr w:rsidR="00276121" w:rsidRPr="00FC1E61" w:rsidSect="00B05BA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44CEA" w14:textId="77777777" w:rsidR="0096477C" w:rsidRDefault="0096477C" w:rsidP="002F4B17">
      <w:pPr>
        <w:spacing w:after="0" w:line="240" w:lineRule="auto"/>
      </w:pPr>
      <w:r>
        <w:separator/>
      </w:r>
    </w:p>
  </w:endnote>
  <w:endnote w:type="continuationSeparator" w:id="0">
    <w:p w14:paraId="5BDE1837" w14:textId="77777777" w:rsidR="0096477C" w:rsidRDefault="0096477C" w:rsidP="002F4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4B3E2" w14:textId="66D01746" w:rsidR="00015184" w:rsidRDefault="0037075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03296" behindDoc="0" locked="0" layoutInCell="1" allowOverlap="1" wp14:anchorId="5819B56A" wp14:editId="27DFE79B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60109472" name="Textové pole 17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A6D574" w14:textId="5757C78A" w:rsidR="0037075A" w:rsidRPr="0037075A" w:rsidRDefault="0037075A" w:rsidP="0037075A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7075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7075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7075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19B56A" id="_x0000_t202" coordsize="21600,21600" o:spt="202" path="m,l,21600r21600,l21600,xe">
              <v:stroke joinstyle="miter"/>
              <v:path gradientshapeok="t" o:connecttype="rect"/>
            </v:shapetype>
            <v:shape id="Textové pole 17" o:spid="_x0000_s1028" type="#_x0000_t202" alt="TLP:AMBER  " style="position:absolute;margin-left:-16.25pt;margin-top:0;width:34.95pt;height:34.95pt;z-index:25170329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fL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7Dny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6CA6D574" w14:textId="5757C78A" w:rsidR="0037075A" w:rsidRPr="0037075A" w:rsidRDefault="0037075A" w:rsidP="0037075A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7075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7075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7075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94740" w14:textId="43EDEF79" w:rsidR="00015184" w:rsidRPr="00B05BA5" w:rsidRDefault="0037075A" w:rsidP="00B05BA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04320" behindDoc="0" locked="0" layoutInCell="1" allowOverlap="1" wp14:anchorId="1A08D05F" wp14:editId="3CB115E6">
              <wp:simplePos x="723900" y="10267950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83553903" name="Textové pole 18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6636C1" w14:textId="014F39D9" w:rsidR="0037075A" w:rsidRPr="0037075A" w:rsidRDefault="0037075A" w:rsidP="0037075A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7075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7075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7075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08D05F" id="_x0000_t202" coordsize="21600,21600" o:spt="202" path="m,l,21600r21600,l21600,xe">
              <v:stroke joinstyle="miter"/>
              <v:path gradientshapeok="t" o:connecttype="rect"/>
            </v:shapetype>
            <v:shape id="Textové pole 18" o:spid="_x0000_s1029" type="#_x0000_t202" alt="TLP:AMBER  " style="position:absolute;margin-left:-16.25pt;margin-top:0;width:34.95pt;height:34.95pt;z-index:25170432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iz9mQ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196636C1" w14:textId="014F39D9" w:rsidR="0037075A" w:rsidRPr="0037075A" w:rsidRDefault="0037075A" w:rsidP="0037075A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7075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7075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7075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8176" behindDoc="0" locked="1" layoutInCell="1" allowOverlap="1" wp14:anchorId="6BC5EDE8" wp14:editId="2344C296">
              <wp:simplePos x="0" y="0"/>
              <wp:positionH relativeFrom="margin">
                <wp:posOffset>0</wp:posOffset>
              </wp:positionH>
              <wp:positionV relativeFrom="page">
                <wp:posOffset>10264775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F206F08" w14:textId="77777777" w:rsidR="0037075A" w:rsidRDefault="0037075A" w:rsidP="0037075A"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C5EDE8" id="Textové pole 93" o:spid="_x0000_s1030" type="#_x0000_t202" style="position:absolute;margin-left:0;margin-top:808.25pt;width:85.05pt;height:17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Dy&#10;vaVL3wAAAAoBAAAPAAAAAAAAAAAAAAAAAGkEAABkcnMvZG93bnJldi54bWxQSwUGAAAAAAQABADz&#10;AAAAdQUAAAAA&#10;" filled="f" stroked="f" strokeweight=".5pt">
              <v:textbox inset="0,0,0,0">
                <w:txbxContent>
                  <w:p w14:paraId="4F206F08" w14:textId="77777777" w:rsidR="0037075A" w:rsidRDefault="0037075A" w:rsidP="0037075A"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BD319" w14:textId="002A6073" w:rsidR="00015184" w:rsidRDefault="0037075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02272" behindDoc="0" locked="0" layoutInCell="1" allowOverlap="1" wp14:anchorId="74C2BCF8" wp14:editId="07724E33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53558634" name="Textové pole 16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2E64FA" w14:textId="0BE485A4" w:rsidR="0037075A" w:rsidRPr="0037075A" w:rsidRDefault="0037075A" w:rsidP="0037075A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7075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7075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7075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C2BCF8" id="_x0000_t202" coordsize="21600,21600" o:spt="202" path="m,l,21600r21600,l21600,xe">
              <v:stroke joinstyle="miter"/>
              <v:path gradientshapeok="t" o:connecttype="rect"/>
            </v:shapetype>
            <v:shape id="Textové pole 16" o:spid="_x0000_s1032" type="#_x0000_t202" alt="TLP:AMBER  " style="position:absolute;margin-left:-16.25pt;margin-top:0;width:34.95pt;height:34.95pt;z-index:25170227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IVyhB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212E64FA" w14:textId="0BE485A4" w:rsidR="0037075A" w:rsidRPr="0037075A" w:rsidRDefault="0037075A" w:rsidP="0037075A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7075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7075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7075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59E29" w14:textId="77777777" w:rsidR="0096477C" w:rsidRDefault="0096477C" w:rsidP="002F4B17">
      <w:pPr>
        <w:spacing w:after="0" w:line="240" w:lineRule="auto"/>
      </w:pPr>
      <w:r>
        <w:separator/>
      </w:r>
    </w:p>
  </w:footnote>
  <w:footnote w:type="continuationSeparator" w:id="0">
    <w:p w14:paraId="76834052" w14:textId="77777777" w:rsidR="0096477C" w:rsidRDefault="0096477C" w:rsidP="002F4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605F7" w14:textId="6FC8C2F8" w:rsidR="00015184" w:rsidRDefault="0037075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00224" behindDoc="0" locked="0" layoutInCell="1" allowOverlap="1" wp14:anchorId="03EC935E" wp14:editId="3ECE102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5875"/>
              <wp:wrapNone/>
              <wp:docPr id="1001040204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7B0D20" w14:textId="49B36D26" w:rsidR="0037075A" w:rsidRPr="0037075A" w:rsidRDefault="0037075A" w:rsidP="0037075A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7075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7075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7075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EC935E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6" type="#_x0000_t202" alt="TLP:AMBER  " style="position:absolute;margin-left:-16.25pt;margin-top:0;width:34.95pt;height:34.95pt;z-index:25170022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567B0D20" w14:textId="49B36D26" w:rsidR="0037075A" w:rsidRPr="0037075A" w:rsidRDefault="0037075A" w:rsidP="0037075A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7075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7075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7075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4416E" w14:textId="070C85A4" w:rsidR="0075284F" w:rsidRDefault="0037075A" w:rsidP="00FC1E61">
    <w:r>
      <w:rPr>
        <w:noProof/>
      </w:rPr>
      <mc:AlternateContent>
        <mc:Choice Requires="wps">
          <w:drawing>
            <wp:anchor distT="0" distB="0" distL="0" distR="0" simplePos="0" relativeHeight="251701248" behindDoc="0" locked="0" layoutInCell="1" allowOverlap="1" wp14:anchorId="066FA9F8" wp14:editId="21D369E7">
              <wp:simplePos x="723900" y="285750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5875"/>
              <wp:wrapNone/>
              <wp:docPr id="1838651236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563E0B" w14:textId="65973388" w:rsidR="0037075A" w:rsidRPr="0037075A" w:rsidRDefault="0037075A" w:rsidP="0037075A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7075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7075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7075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6FA9F8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7" type="#_x0000_t202" alt="TLP:AMBER  " style="position:absolute;margin-left:-16.25pt;margin-top:0;width:34.95pt;height:34.95pt;z-index:25170124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76563E0B" w14:textId="65973388" w:rsidR="0037075A" w:rsidRPr="0037075A" w:rsidRDefault="0037075A" w:rsidP="0037075A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7075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7075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7075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5BA5" w:rsidRPr="00E81D46">
      <w:rPr>
        <w:noProof/>
      </w:rPr>
      <w:drawing>
        <wp:anchor distT="0" distB="0" distL="114300" distR="114300" simplePos="0" relativeHeight="251696128" behindDoc="0" locked="0" layoutInCell="1" allowOverlap="0" wp14:anchorId="41B7BABF" wp14:editId="4083FC04">
          <wp:simplePos x="0" y="0"/>
          <wp:positionH relativeFrom="column">
            <wp:posOffset>0</wp:posOffset>
          </wp:positionH>
          <wp:positionV relativeFrom="page">
            <wp:posOffset>287655</wp:posOffset>
          </wp:positionV>
          <wp:extent cx="1299210" cy="543560"/>
          <wp:effectExtent l="0" t="0" r="0" b="8890"/>
          <wp:wrapNone/>
          <wp:docPr id="951582125" name="Obrázek 951582125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21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D5173" w14:textId="04F31E8F" w:rsidR="00015184" w:rsidRDefault="0037075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99200" behindDoc="0" locked="0" layoutInCell="1" allowOverlap="1" wp14:anchorId="7DE815CF" wp14:editId="103A620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5875"/>
              <wp:wrapNone/>
              <wp:docPr id="1728831699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A0459D" w14:textId="459B6F67" w:rsidR="0037075A" w:rsidRPr="0037075A" w:rsidRDefault="0037075A" w:rsidP="0037075A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7075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7075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7075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E815CF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1" type="#_x0000_t202" alt="TLP:AMBER  " style="position:absolute;margin-left:-16.25pt;margin-top:0;width:34.95pt;height:34.95pt;z-index:25169920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OUi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K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HBjlIg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5EA0459D" w14:textId="459B6F67" w:rsidR="0037075A" w:rsidRPr="0037075A" w:rsidRDefault="0037075A" w:rsidP="0037075A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7075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7075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7075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B09FD"/>
    <w:multiLevelType w:val="hybridMultilevel"/>
    <w:tmpl w:val="5FCC82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F1D6E"/>
    <w:multiLevelType w:val="hybridMultilevel"/>
    <w:tmpl w:val="84E25BCA"/>
    <w:lvl w:ilvl="0" w:tplc="66D21F1E">
      <w:start w:val="1"/>
      <w:numFmt w:val="bullet"/>
      <w:lvlText w:val="-"/>
      <w:lvlJc w:val="left"/>
      <w:pPr>
        <w:ind w:left="21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80" w:hanging="360"/>
      </w:pPr>
      <w:rPr>
        <w:rFonts w:ascii="Wingdings" w:hAnsi="Wingdings" w:hint="default"/>
      </w:rPr>
    </w:lvl>
  </w:abstractNum>
  <w:abstractNum w:abstractNumId="2" w15:restartNumberingAfterBreak="0">
    <w:nsid w:val="1A740D5D"/>
    <w:multiLevelType w:val="hybridMultilevel"/>
    <w:tmpl w:val="0A4A0F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F7357"/>
    <w:multiLevelType w:val="hybridMultilevel"/>
    <w:tmpl w:val="313AE55A"/>
    <w:lvl w:ilvl="0" w:tplc="04050017">
      <w:start w:val="1"/>
      <w:numFmt w:val="lowerLetter"/>
      <w:lvlText w:val="%1)"/>
      <w:lvlJc w:val="left"/>
      <w:pPr>
        <w:ind w:left="1400" w:hanging="360"/>
      </w:pPr>
    </w:lvl>
    <w:lvl w:ilvl="1" w:tplc="04050019" w:tentative="1">
      <w:start w:val="1"/>
      <w:numFmt w:val="lowerLetter"/>
      <w:lvlText w:val="%2."/>
      <w:lvlJc w:val="left"/>
      <w:pPr>
        <w:ind w:left="2120" w:hanging="360"/>
      </w:pPr>
    </w:lvl>
    <w:lvl w:ilvl="2" w:tplc="0405001B" w:tentative="1">
      <w:start w:val="1"/>
      <w:numFmt w:val="lowerRoman"/>
      <w:lvlText w:val="%3."/>
      <w:lvlJc w:val="right"/>
      <w:pPr>
        <w:ind w:left="2840" w:hanging="180"/>
      </w:pPr>
    </w:lvl>
    <w:lvl w:ilvl="3" w:tplc="0405000F" w:tentative="1">
      <w:start w:val="1"/>
      <w:numFmt w:val="decimal"/>
      <w:lvlText w:val="%4."/>
      <w:lvlJc w:val="left"/>
      <w:pPr>
        <w:ind w:left="3560" w:hanging="360"/>
      </w:pPr>
    </w:lvl>
    <w:lvl w:ilvl="4" w:tplc="04050019" w:tentative="1">
      <w:start w:val="1"/>
      <w:numFmt w:val="lowerLetter"/>
      <w:lvlText w:val="%5."/>
      <w:lvlJc w:val="left"/>
      <w:pPr>
        <w:ind w:left="4280" w:hanging="360"/>
      </w:pPr>
    </w:lvl>
    <w:lvl w:ilvl="5" w:tplc="0405001B" w:tentative="1">
      <w:start w:val="1"/>
      <w:numFmt w:val="lowerRoman"/>
      <w:lvlText w:val="%6."/>
      <w:lvlJc w:val="right"/>
      <w:pPr>
        <w:ind w:left="5000" w:hanging="180"/>
      </w:pPr>
    </w:lvl>
    <w:lvl w:ilvl="6" w:tplc="0405000F" w:tentative="1">
      <w:start w:val="1"/>
      <w:numFmt w:val="decimal"/>
      <w:lvlText w:val="%7."/>
      <w:lvlJc w:val="left"/>
      <w:pPr>
        <w:ind w:left="5720" w:hanging="360"/>
      </w:pPr>
    </w:lvl>
    <w:lvl w:ilvl="7" w:tplc="04050019" w:tentative="1">
      <w:start w:val="1"/>
      <w:numFmt w:val="lowerLetter"/>
      <w:lvlText w:val="%8."/>
      <w:lvlJc w:val="left"/>
      <w:pPr>
        <w:ind w:left="6440" w:hanging="360"/>
      </w:pPr>
    </w:lvl>
    <w:lvl w:ilvl="8" w:tplc="040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4" w15:restartNumberingAfterBreak="0">
    <w:nsid w:val="289D516A"/>
    <w:multiLevelType w:val="multilevel"/>
    <w:tmpl w:val="CFC8CF12"/>
    <w:lvl w:ilvl="0">
      <w:start w:val="1"/>
      <w:numFmt w:val="upperRoman"/>
      <w:lvlText w:val="%1."/>
      <w:lvlJc w:val="right"/>
      <w:pPr>
        <w:ind w:left="2156" w:firstLine="397"/>
      </w:pPr>
      <w:rPr>
        <w:rFonts w:hint="default"/>
      </w:rPr>
    </w:lvl>
    <w:lvl w:ilvl="1">
      <w:start w:val="1"/>
      <w:numFmt w:val="decimal"/>
      <w:pStyle w:val="Odstavecseseznamem"/>
      <w:isLgl/>
      <w:lvlText w:val="%1.%2."/>
      <w:lvlJc w:val="left"/>
      <w:pPr>
        <w:ind w:left="2836" w:hanging="6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2950" w:firstLine="39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47" w:firstLine="39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44" w:firstLine="397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1" w:firstLine="397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38" w:firstLine="397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35" w:firstLine="397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32" w:firstLine="397"/>
      </w:pPr>
      <w:rPr>
        <w:rFonts w:hint="default"/>
      </w:rPr>
    </w:lvl>
  </w:abstractNum>
  <w:abstractNum w:abstractNumId="5" w15:restartNumberingAfterBreak="0">
    <w:nsid w:val="2A5A7CDE"/>
    <w:multiLevelType w:val="multilevel"/>
    <w:tmpl w:val="249867E0"/>
    <w:lvl w:ilvl="0">
      <w:start w:val="2"/>
      <w:numFmt w:val="upperRoman"/>
      <w:lvlText w:val="%1."/>
      <w:lvlJc w:val="left"/>
      <w:pPr>
        <w:ind w:left="3981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C533796"/>
    <w:multiLevelType w:val="hybridMultilevel"/>
    <w:tmpl w:val="973C6F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B21EE"/>
    <w:multiLevelType w:val="multilevel"/>
    <w:tmpl w:val="F574FB1A"/>
    <w:lvl w:ilvl="0">
      <w:start w:val="1"/>
      <w:numFmt w:val="upperRoman"/>
      <w:pStyle w:val="Nadpis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isLgl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3A521E29"/>
    <w:multiLevelType w:val="multilevel"/>
    <w:tmpl w:val="D2C2EE9C"/>
    <w:lvl w:ilvl="0">
      <w:start w:val="3"/>
      <w:numFmt w:val="upperRoman"/>
      <w:lvlText w:val="%1."/>
      <w:lvlJc w:val="left"/>
      <w:pPr>
        <w:ind w:left="3981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BAF6C51"/>
    <w:multiLevelType w:val="hybridMultilevel"/>
    <w:tmpl w:val="69B4B810"/>
    <w:lvl w:ilvl="0" w:tplc="3268381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5D0A06"/>
    <w:multiLevelType w:val="multilevel"/>
    <w:tmpl w:val="D2C2EE9C"/>
    <w:lvl w:ilvl="0">
      <w:start w:val="3"/>
      <w:numFmt w:val="upperRoman"/>
      <w:lvlText w:val="%1."/>
      <w:lvlJc w:val="left"/>
      <w:pPr>
        <w:ind w:left="3981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C757262"/>
    <w:multiLevelType w:val="multilevel"/>
    <w:tmpl w:val="C374D76E"/>
    <w:lvl w:ilvl="0">
      <w:start w:val="1"/>
      <w:numFmt w:val="upperRoman"/>
      <w:lvlText w:val="%1."/>
      <w:lvlJc w:val="left"/>
      <w:pPr>
        <w:ind w:left="3981" w:hanging="720"/>
      </w:pPr>
    </w:lvl>
    <w:lvl w:ilvl="1">
      <w:start w:val="3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2" w15:restartNumberingAfterBreak="0">
    <w:nsid w:val="4DC539DD"/>
    <w:multiLevelType w:val="hybridMultilevel"/>
    <w:tmpl w:val="783286A8"/>
    <w:lvl w:ilvl="0" w:tplc="11CC10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29868BA"/>
    <w:multiLevelType w:val="hybridMultilevel"/>
    <w:tmpl w:val="5A82A324"/>
    <w:lvl w:ilvl="0" w:tplc="2676F3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6084815"/>
    <w:multiLevelType w:val="multilevel"/>
    <w:tmpl w:val="36442D18"/>
    <w:lvl w:ilvl="0">
      <w:start w:val="1"/>
      <w:numFmt w:val="upperRoman"/>
      <w:lvlText w:val="%1."/>
      <w:lvlJc w:val="right"/>
      <w:pPr>
        <w:ind w:left="4188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5CFB6403"/>
    <w:multiLevelType w:val="hybridMultilevel"/>
    <w:tmpl w:val="AD401B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4F66D4"/>
    <w:multiLevelType w:val="hybridMultilevel"/>
    <w:tmpl w:val="5E8E06AA"/>
    <w:lvl w:ilvl="0" w:tplc="66D21F1E">
      <w:start w:val="1"/>
      <w:numFmt w:val="bullet"/>
      <w:lvlText w:val="-"/>
      <w:lvlJc w:val="left"/>
      <w:pPr>
        <w:ind w:left="14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7" w15:restartNumberingAfterBreak="0">
    <w:nsid w:val="65CE4E93"/>
    <w:multiLevelType w:val="hybridMultilevel"/>
    <w:tmpl w:val="CD42FFA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F44F1C"/>
    <w:multiLevelType w:val="multilevel"/>
    <w:tmpl w:val="CBF879D4"/>
    <w:lvl w:ilvl="0">
      <w:start w:val="1"/>
      <w:numFmt w:val="upperRoman"/>
      <w:lvlText w:val="%1."/>
      <w:lvlJc w:val="righ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"/>
      <w:lvlJc w:val="left"/>
      <w:pPr>
        <w:ind w:left="680" w:hanging="6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1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1418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2041" w:hanging="9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88" w:firstLine="397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5" w:firstLine="397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82" w:firstLine="397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79" w:firstLine="397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76" w:firstLine="397"/>
      </w:pPr>
      <w:rPr>
        <w:rFonts w:hint="default"/>
      </w:rPr>
    </w:lvl>
  </w:abstractNum>
  <w:abstractNum w:abstractNumId="19" w15:restartNumberingAfterBreak="0">
    <w:nsid w:val="70CC12AA"/>
    <w:multiLevelType w:val="hybridMultilevel"/>
    <w:tmpl w:val="64E2A112"/>
    <w:lvl w:ilvl="0" w:tplc="15B4E1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529720F"/>
    <w:multiLevelType w:val="hybridMultilevel"/>
    <w:tmpl w:val="8F0EAE3E"/>
    <w:lvl w:ilvl="0" w:tplc="C3063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5922B20"/>
    <w:multiLevelType w:val="multilevel"/>
    <w:tmpl w:val="E8F4672E"/>
    <w:lvl w:ilvl="0">
      <w:start w:val="1"/>
      <w:numFmt w:val="upperRoman"/>
      <w:lvlText w:val="%1."/>
      <w:lvlJc w:val="right"/>
      <w:pPr>
        <w:ind w:left="2156" w:firstLine="39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36" w:hanging="6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2950" w:firstLine="39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47" w:firstLine="39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44" w:firstLine="397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1" w:firstLine="397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38" w:firstLine="397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35" w:firstLine="397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32" w:firstLine="397"/>
      </w:pPr>
      <w:rPr>
        <w:rFonts w:hint="default"/>
      </w:rPr>
    </w:lvl>
  </w:abstractNum>
  <w:abstractNum w:abstractNumId="22" w15:restartNumberingAfterBreak="0">
    <w:nsid w:val="76CB2632"/>
    <w:multiLevelType w:val="multilevel"/>
    <w:tmpl w:val="249867E0"/>
    <w:lvl w:ilvl="0">
      <w:start w:val="2"/>
      <w:numFmt w:val="upperRoman"/>
      <w:lvlText w:val="%1."/>
      <w:lvlJc w:val="left"/>
      <w:pPr>
        <w:ind w:left="3981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CAD3E6F"/>
    <w:multiLevelType w:val="hybridMultilevel"/>
    <w:tmpl w:val="050A9E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E65E16"/>
    <w:multiLevelType w:val="hybridMultilevel"/>
    <w:tmpl w:val="0BB6B606"/>
    <w:lvl w:ilvl="0" w:tplc="72BACE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07423">
    <w:abstractNumId w:val="14"/>
  </w:num>
  <w:num w:numId="2" w16cid:durableId="1123770996">
    <w:abstractNumId w:val="4"/>
  </w:num>
  <w:num w:numId="3" w16cid:durableId="1351640814">
    <w:abstractNumId w:val="4"/>
    <w:lvlOverride w:ilvl="0">
      <w:lvl w:ilvl="0">
        <w:start w:val="1"/>
        <w:numFmt w:val="upperRoman"/>
        <w:lvlText w:val="%1."/>
        <w:lvlJc w:val="right"/>
        <w:pPr>
          <w:ind w:left="0" w:firstLine="0"/>
        </w:pPr>
        <w:rPr>
          <w:rFonts w:hint="default"/>
          <w:b/>
          <w:sz w:val="20"/>
          <w:szCs w:val="20"/>
        </w:rPr>
      </w:lvl>
    </w:lvlOverride>
    <w:lvlOverride w:ilvl="1">
      <w:lvl w:ilvl="1">
        <w:start w:val="1"/>
        <w:numFmt w:val="decimal"/>
        <w:pStyle w:val="Odstavecseseznamem"/>
        <w:isLgl/>
        <w:lvlText w:val="%1.%2"/>
        <w:lvlJc w:val="left"/>
        <w:pPr>
          <w:ind w:left="680" w:hanging="68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418" w:hanging="851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041" w:hanging="96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588" w:firstLine="39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985" w:firstLine="397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382" w:firstLine="397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779" w:firstLine="397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176" w:firstLine="397"/>
        </w:pPr>
        <w:rPr>
          <w:rFonts w:hint="default"/>
        </w:rPr>
      </w:lvl>
    </w:lvlOverride>
  </w:num>
  <w:num w:numId="4" w16cid:durableId="376272495">
    <w:abstractNumId w:val="24"/>
  </w:num>
  <w:num w:numId="5" w16cid:durableId="847135008">
    <w:abstractNumId w:val="11"/>
  </w:num>
  <w:num w:numId="6" w16cid:durableId="1290356382">
    <w:abstractNumId w:val="3"/>
  </w:num>
  <w:num w:numId="7" w16cid:durableId="1785073128">
    <w:abstractNumId w:val="1"/>
  </w:num>
  <w:num w:numId="8" w16cid:durableId="1638335817">
    <w:abstractNumId w:val="16"/>
  </w:num>
  <w:num w:numId="9" w16cid:durableId="1896701284">
    <w:abstractNumId w:val="10"/>
  </w:num>
  <w:num w:numId="10" w16cid:durableId="1627931538">
    <w:abstractNumId w:val="4"/>
    <w:lvlOverride w:ilvl="0">
      <w:lvl w:ilvl="0">
        <w:start w:val="1"/>
        <w:numFmt w:val="upperRoman"/>
        <w:lvlText w:val="%1."/>
        <w:lvlJc w:val="righ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Odstavecseseznamem"/>
        <w:isLgl/>
        <w:lvlText w:val="%1.%2"/>
        <w:lvlJc w:val="left"/>
        <w:pPr>
          <w:ind w:left="680" w:hanging="68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418" w:hanging="851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041" w:hanging="96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588" w:firstLine="39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985" w:firstLine="397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382" w:firstLine="397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779" w:firstLine="397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176" w:firstLine="397"/>
        </w:pPr>
        <w:rPr>
          <w:rFonts w:hint="default"/>
        </w:rPr>
      </w:lvl>
    </w:lvlOverride>
  </w:num>
  <w:num w:numId="11" w16cid:durableId="1789003558">
    <w:abstractNumId w:val="5"/>
  </w:num>
  <w:num w:numId="12" w16cid:durableId="2081367687">
    <w:abstractNumId w:val="17"/>
  </w:num>
  <w:num w:numId="13" w16cid:durableId="1514302059">
    <w:abstractNumId w:val="4"/>
    <w:lvlOverride w:ilvl="0">
      <w:lvl w:ilvl="0">
        <w:start w:val="1"/>
        <w:numFmt w:val="upperRoman"/>
        <w:lvlText w:val="%1."/>
        <w:lvlJc w:val="righ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Odstavecseseznamem"/>
        <w:isLgl/>
        <w:lvlText w:val="4.%2"/>
        <w:lvlJc w:val="left"/>
        <w:pPr>
          <w:ind w:left="680" w:hanging="68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418" w:hanging="851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041" w:hanging="96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588" w:firstLine="39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985" w:firstLine="397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382" w:firstLine="397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779" w:firstLine="397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176" w:firstLine="397"/>
        </w:pPr>
        <w:rPr>
          <w:rFonts w:hint="default"/>
        </w:rPr>
      </w:lvl>
    </w:lvlOverride>
  </w:num>
  <w:num w:numId="14" w16cid:durableId="710350755">
    <w:abstractNumId w:val="4"/>
    <w:lvlOverride w:ilvl="0">
      <w:lvl w:ilvl="0">
        <w:start w:val="1"/>
        <w:numFmt w:val="upperRoman"/>
        <w:lvlText w:val="%1."/>
        <w:lvlJc w:val="righ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none"/>
        <w:pStyle w:val="Odstavecseseznamem"/>
        <w:isLgl/>
        <w:lvlText w:val="5.1"/>
        <w:lvlJc w:val="left"/>
        <w:pPr>
          <w:ind w:left="680" w:hanging="68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418" w:hanging="851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041" w:hanging="96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588" w:firstLine="39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985" w:firstLine="397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382" w:firstLine="397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779" w:firstLine="397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176" w:firstLine="397"/>
        </w:pPr>
        <w:rPr>
          <w:rFonts w:hint="default"/>
        </w:rPr>
      </w:lvl>
    </w:lvlOverride>
  </w:num>
  <w:num w:numId="15" w16cid:durableId="2098166474">
    <w:abstractNumId w:val="21"/>
  </w:num>
  <w:num w:numId="16" w16cid:durableId="790392810">
    <w:abstractNumId w:val="4"/>
    <w:lvlOverride w:ilvl="0">
      <w:startOverride w:val="1"/>
      <w:lvl w:ilvl="0">
        <w:start w:val="1"/>
        <w:numFmt w:val="upperRoman"/>
        <w:lvlText w:val="%1."/>
        <w:lvlJc w:val="right"/>
        <w:pPr>
          <w:ind w:left="0" w:firstLine="0"/>
        </w:pPr>
        <w:rPr>
          <w:rFonts w:hint="default"/>
          <w:b/>
        </w:rPr>
      </w:lvl>
    </w:lvlOverride>
    <w:lvlOverride w:ilvl="1">
      <w:startOverride w:val="1"/>
      <w:lvl w:ilvl="1">
        <w:start w:val="1"/>
        <w:numFmt w:val="decimal"/>
        <w:pStyle w:val="Odstavecseseznamem"/>
        <w:isLgl/>
        <w:lvlText w:val="%1.%2"/>
        <w:lvlJc w:val="left"/>
        <w:pPr>
          <w:ind w:left="680" w:hanging="68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startOverride w:val="1"/>
      <w:lvl w:ilvl="2">
        <w:start w:val="1"/>
        <w:numFmt w:val="decimal"/>
        <w:isLgl/>
        <w:lvlText w:val="%1.%2.%3"/>
        <w:lvlJc w:val="left"/>
        <w:pPr>
          <w:ind w:left="1418" w:hanging="851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isLgl/>
        <w:lvlText w:val="%1.%2.%3.%4"/>
        <w:lvlJc w:val="left"/>
        <w:pPr>
          <w:ind w:left="2041" w:hanging="964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isLgl/>
        <w:lvlText w:val="%1.%2.%3.%4.%5"/>
        <w:lvlJc w:val="left"/>
        <w:pPr>
          <w:ind w:left="1588" w:firstLine="39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isLgl/>
        <w:lvlText w:val="%1.%2.%3.%4.%5.%6."/>
        <w:lvlJc w:val="left"/>
        <w:pPr>
          <w:ind w:left="1985" w:firstLine="39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isLgl/>
        <w:lvlText w:val="%1.%2.%3.%4.%5.%6.%7."/>
        <w:lvlJc w:val="left"/>
        <w:pPr>
          <w:ind w:left="2382" w:firstLine="397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isLgl/>
        <w:lvlText w:val="%1.%2.%3.%4.%5.%6.%7.%8."/>
        <w:lvlJc w:val="left"/>
        <w:pPr>
          <w:ind w:left="2779" w:firstLine="397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isLgl/>
        <w:lvlText w:val="%1.%2.%3.%4.%5.%6.%7.%8.%9."/>
        <w:lvlJc w:val="left"/>
        <w:pPr>
          <w:ind w:left="3176" w:firstLine="397"/>
        </w:pPr>
        <w:rPr>
          <w:rFonts w:hint="default"/>
        </w:rPr>
      </w:lvl>
    </w:lvlOverride>
  </w:num>
  <w:num w:numId="17" w16cid:durableId="71901770">
    <w:abstractNumId w:val="18"/>
  </w:num>
  <w:num w:numId="18" w16cid:durableId="1162429144">
    <w:abstractNumId w:val="2"/>
  </w:num>
  <w:num w:numId="19" w16cid:durableId="974985558">
    <w:abstractNumId w:val="4"/>
    <w:lvlOverride w:ilvl="0">
      <w:lvl w:ilvl="0">
        <w:start w:val="1"/>
        <w:numFmt w:val="upperRoman"/>
        <w:lvlText w:val="%1."/>
        <w:lvlJc w:val="right"/>
        <w:pPr>
          <w:ind w:left="0" w:firstLine="0"/>
        </w:pPr>
        <w:rPr>
          <w:rFonts w:hint="default"/>
          <w:b/>
          <w:sz w:val="20"/>
          <w:szCs w:val="20"/>
        </w:rPr>
      </w:lvl>
    </w:lvlOverride>
    <w:lvlOverride w:ilvl="1">
      <w:lvl w:ilvl="1">
        <w:start w:val="1"/>
        <w:numFmt w:val="decimal"/>
        <w:pStyle w:val="Odstavecseseznamem"/>
        <w:isLgl/>
        <w:lvlText w:val="%1.%2"/>
        <w:lvlJc w:val="left"/>
        <w:pPr>
          <w:ind w:left="680" w:hanging="68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418" w:hanging="851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041" w:hanging="96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588" w:firstLine="39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985" w:firstLine="397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382" w:firstLine="397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779" w:firstLine="397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176" w:firstLine="397"/>
        </w:pPr>
        <w:rPr>
          <w:rFonts w:hint="default"/>
        </w:rPr>
      </w:lvl>
    </w:lvlOverride>
  </w:num>
  <w:num w:numId="20" w16cid:durableId="837773641">
    <w:abstractNumId w:val="4"/>
    <w:lvlOverride w:ilvl="0">
      <w:lvl w:ilvl="0">
        <w:start w:val="1"/>
        <w:numFmt w:val="upperRoman"/>
        <w:lvlText w:val="%1."/>
        <w:lvlJc w:val="right"/>
        <w:pPr>
          <w:ind w:left="0" w:firstLine="0"/>
        </w:pPr>
        <w:rPr>
          <w:rFonts w:hint="default"/>
          <w:b/>
          <w:sz w:val="20"/>
          <w:szCs w:val="20"/>
        </w:rPr>
      </w:lvl>
    </w:lvlOverride>
    <w:lvlOverride w:ilvl="1">
      <w:lvl w:ilvl="1">
        <w:start w:val="1"/>
        <w:numFmt w:val="decimal"/>
        <w:pStyle w:val="Odstavecseseznamem"/>
        <w:isLgl/>
        <w:lvlText w:val="%1.%2"/>
        <w:lvlJc w:val="left"/>
        <w:pPr>
          <w:ind w:left="680" w:hanging="68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418" w:hanging="851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041" w:hanging="96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588" w:firstLine="39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985" w:firstLine="397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382" w:firstLine="397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779" w:firstLine="397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176" w:firstLine="397"/>
        </w:pPr>
        <w:rPr>
          <w:rFonts w:hint="default"/>
        </w:rPr>
      </w:lvl>
    </w:lvlOverride>
  </w:num>
  <w:num w:numId="21" w16cid:durableId="1687709656">
    <w:abstractNumId w:val="22"/>
  </w:num>
  <w:num w:numId="22" w16cid:durableId="442499148">
    <w:abstractNumId w:val="4"/>
    <w:lvlOverride w:ilvl="0">
      <w:startOverride w:val="1"/>
      <w:lvl w:ilvl="0">
        <w:start w:val="1"/>
        <w:numFmt w:val="upperRoman"/>
        <w:lvlText w:val="%1."/>
        <w:lvlJc w:val="right"/>
        <w:pPr>
          <w:ind w:left="0" w:firstLine="0"/>
        </w:pPr>
        <w:rPr>
          <w:rFonts w:hint="default"/>
          <w:b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dstavecseseznamem"/>
        <w:isLgl/>
        <w:lvlText w:val="%1.%2"/>
        <w:lvlJc w:val="left"/>
        <w:pPr>
          <w:ind w:left="680" w:hanging="68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startOverride w:val="1"/>
      <w:lvl w:ilvl="2">
        <w:start w:val="1"/>
        <w:numFmt w:val="decimal"/>
        <w:isLgl/>
        <w:lvlText w:val="%1.%2.%3"/>
        <w:lvlJc w:val="left"/>
        <w:pPr>
          <w:ind w:left="1418" w:hanging="851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isLgl/>
        <w:lvlText w:val="%1.%2.%3.%4"/>
        <w:lvlJc w:val="left"/>
        <w:pPr>
          <w:ind w:left="2041" w:hanging="964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isLgl/>
        <w:lvlText w:val="%1.%2.%3.%4.%5"/>
        <w:lvlJc w:val="left"/>
        <w:pPr>
          <w:ind w:left="1588" w:firstLine="39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isLgl/>
        <w:lvlText w:val="%1.%2.%3.%4.%5.%6."/>
        <w:lvlJc w:val="left"/>
        <w:pPr>
          <w:ind w:left="1985" w:firstLine="39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isLgl/>
        <w:lvlText w:val="%1.%2.%3.%4.%5.%6.%7."/>
        <w:lvlJc w:val="left"/>
        <w:pPr>
          <w:ind w:left="2382" w:firstLine="397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isLgl/>
        <w:lvlText w:val="%1.%2.%3.%4.%5.%6.%7.%8."/>
        <w:lvlJc w:val="left"/>
        <w:pPr>
          <w:ind w:left="2779" w:firstLine="397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isLgl/>
        <w:lvlText w:val="%1.%2.%3.%4.%5.%6.%7.%8.%9."/>
        <w:lvlJc w:val="left"/>
        <w:pPr>
          <w:ind w:left="3176" w:firstLine="397"/>
        </w:pPr>
        <w:rPr>
          <w:rFonts w:hint="default"/>
        </w:rPr>
      </w:lvl>
    </w:lvlOverride>
  </w:num>
  <w:num w:numId="23" w16cid:durableId="1253666209">
    <w:abstractNumId w:val="8"/>
  </w:num>
  <w:num w:numId="24" w16cid:durableId="2103186290">
    <w:abstractNumId w:val="9"/>
  </w:num>
  <w:num w:numId="25" w16cid:durableId="634796152">
    <w:abstractNumId w:val="4"/>
  </w:num>
  <w:num w:numId="26" w16cid:durableId="2038892282">
    <w:abstractNumId w:val="4"/>
    <w:lvlOverride w:ilvl="0">
      <w:lvl w:ilvl="0">
        <w:start w:val="1"/>
        <w:numFmt w:val="upperRoman"/>
        <w:lvlText w:val="%1."/>
        <w:lvlJc w:val="righ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Odstavecseseznamem"/>
        <w:isLgl/>
        <w:lvlText w:val="%1.%2"/>
        <w:lvlJc w:val="left"/>
        <w:pPr>
          <w:ind w:left="680" w:hanging="68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418" w:hanging="851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041" w:hanging="96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588" w:firstLine="39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985" w:firstLine="397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382" w:firstLine="397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779" w:firstLine="397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176" w:firstLine="397"/>
        </w:pPr>
        <w:rPr>
          <w:rFonts w:hint="default"/>
        </w:rPr>
      </w:lvl>
    </w:lvlOverride>
  </w:num>
  <w:num w:numId="27" w16cid:durableId="564798350">
    <w:abstractNumId w:val="4"/>
    <w:lvlOverride w:ilvl="0">
      <w:lvl w:ilvl="0">
        <w:start w:val="1"/>
        <w:numFmt w:val="upperRoman"/>
        <w:lvlText w:val="%1."/>
        <w:lvlJc w:val="righ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Odstavecseseznamem"/>
        <w:isLgl/>
        <w:lvlText w:val="%1.%2"/>
        <w:lvlJc w:val="left"/>
        <w:pPr>
          <w:ind w:left="680" w:hanging="68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418" w:hanging="851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041" w:hanging="96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588" w:firstLine="39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985" w:firstLine="397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382" w:firstLine="397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779" w:firstLine="397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176" w:firstLine="397"/>
        </w:pPr>
        <w:rPr>
          <w:rFonts w:hint="default"/>
        </w:rPr>
      </w:lvl>
    </w:lvlOverride>
  </w:num>
  <w:num w:numId="28" w16cid:durableId="1943605966">
    <w:abstractNumId w:val="14"/>
  </w:num>
  <w:num w:numId="29" w16cid:durableId="779450679">
    <w:abstractNumId w:val="14"/>
  </w:num>
  <w:num w:numId="30" w16cid:durableId="925580590">
    <w:abstractNumId w:val="15"/>
  </w:num>
  <w:num w:numId="31" w16cid:durableId="593442095">
    <w:abstractNumId w:val="4"/>
    <w:lvlOverride w:ilvl="0">
      <w:lvl w:ilvl="0">
        <w:start w:val="1"/>
        <w:numFmt w:val="upperRoman"/>
        <w:lvlText w:val="%1."/>
        <w:lvlJc w:val="righ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Odstavecseseznamem"/>
        <w:isLgl/>
        <w:lvlText w:val="%1.%2"/>
        <w:lvlJc w:val="left"/>
        <w:pPr>
          <w:ind w:left="680" w:hanging="68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418" w:hanging="851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041" w:hanging="96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588" w:firstLine="39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985" w:firstLine="397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382" w:firstLine="397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779" w:firstLine="397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176" w:firstLine="397"/>
        </w:pPr>
        <w:rPr>
          <w:rFonts w:hint="default"/>
        </w:rPr>
      </w:lvl>
    </w:lvlOverride>
  </w:num>
  <w:num w:numId="32" w16cid:durableId="1378624991">
    <w:abstractNumId w:val="4"/>
    <w:lvlOverride w:ilvl="0">
      <w:lvl w:ilvl="0">
        <w:start w:val="1"/>
        <w:numFmt w:val="upperRoman"/>
        <w:lvlText w:val="%1."/>
        <w:lvlJc w:val="righ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Odstavecseseznamem"/>
        <w:isLgl/>
        <w:lvlText w:val="%1.%2"/>
        <w:lvlJc w:val="left"/>
        <w:pPr>
          <w:ind w:left="680" w:hanging="68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418" w:hanging="851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041" w:hanging="96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588" w:firstLine="39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985" w:firstLine="397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382" w:firstLine="397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779" w:firstLine="397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176" w:firstLine="397"/>
        </w:pPr>
        <w:rPr>
          <w:rFonts w:hint="default"/>
        </w:rPr>
      </w:lvl>
    </w:lvlOverride>
  </w:num>
  <w:num w:numId="33" w16cid:durableId="85154844">
    <w:abstractNumId w:val="7"/>
  </w:num>
  <w:num w:numId="34" w16cid:durableId="239147052">
    <w:abstractNumId w:val="7"/>
    <w:lvlOverride w:ilvl="0">
      <w:lvl w:ilvl="0">
        <w:start w:val="1"/>
        <w:numFmt w:val="upperRoman"/>
        <w:pStyle w:val="Nadpis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isLgl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isLgl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dpis4"/>
        <w:isLgl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dpis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dpis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dpis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dpis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dpis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5" w16cid:durableId="2134442917">
    <w:abstractNumId w:val="20"/>
  </w:num>
  <w:num w:numId="36" w16cid:durableId="353311818">
    <w:abstractNumId w:val="12"/>
  </w:num>
  <w:num w:numId="37" w16cid:durableId="1736586843">
    <w:abstractNumId w:val="4"/>
    <w:lvlOverride w:ilvl="0">
      <w:lvl w:ilvl="0">
        <w:start w:val="1"/>
        <w:numFmt w:val="upperRoman"/>
        <w:lvlText w:val="%1."/>
        <w:lvlJc w:val="righ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Odstavecseseznamem"/>
        <w:isLgl/>
        <w:lvlText w:val="%1.%2"/>
        <w:lvlJc w:val="left"/>
        <w:pPr>
          <w:ind w:left="680" w:hanging="68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418" w:hanging="851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041" w:hanging="96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588" w:firstLine="39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985" w:firstLine="397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382" w:firstLine="397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779" w:firstLine="397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176" w:firstLine="397"/>
        </w:pPr>
        <w:rPr>
          <w:rFonts w:hint="default"/>
        </w:rPr>
      </w:lvl>
    </w:lvlOverride>
  </w:num>
  <w:num w:numId="38" w16cid:durableId="925193461">
    <w:abstractNumId w:val="6"/>
  </w:num>
  <w:num w:numId="39" w16cid:durableId="1898321017">
    <w:abstractNumId w:val="23"/>
  </w:num>
  <w:num w:numId="40" w16cid:durableId="1138766765">
    <w:abstractNumId w:val="19"/>
  </w:num>
  <w:num w:numId="41" w16cid:durableId="2002418098">
    <w:abstractNumId w:val="13"/>
  </w:num>
  <w:num w:numId="42" w16cid:durableId="1750616414">
    <w:abstractNumId w:val="0"/>
  </w:num>
  <w:num w:numId="43" w16cid:durableId="1834489502">
    <w:abstractNumId w:val="7"/>
  </w:num>
  <w:num w:numId="44" w16cid:durableId="2119449695">
    <w:abstractNumId w:val="7"/>
  </w:num>
  <w:num w:numId="45" w16cid:durableId="1022366493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05F"/>
    <w:rsid w:val="00015184"/>
    <w:rsid w:val="000266A0"/>
    <w:rsid w:val="000404F7"/>
    <w:rsid w:val="00045146"/>
    <w:rsid w:val="000518A5"/>
    <w:rsid w:val="00053368"/>
    <w:rsid w:val="0005440B"/>
    <w:rsid w:val="00064E4D"/>
    <w:rsid w:val="0008084D"/>
    <w:rsid w:val="00080D3A"/>
    <w:rsid w:val="00086176"/>
    <w:rsid w:val="00087C96"/>
    <w:rsid w:val="00097725"/>
    <w:rsid w:val="0009774F"/>
    <w:rsid w:val="000A13B2"/>
    <w:rsid w:val="000A71F6"/>
    <w:rsid w:val="000B5896"/>
    <w:rsid w:val="000B7B1B"/>
    <w:rsid w:val="000B7FDA"/>
    <w:rsid w:val="000C464C"/>
    <w:rsid w:val="000D196A"/>
    <w:rsid w:val="000D38C8"/>
    <w:rsid w:val="000D53E3"/>
    <w:rsid w:val="000E56BF"/>
    <w:rsid w:val="000F06F6"/>
    <w:rsid w:val="000F562A"/>
    <w:rsid w:val="00100096"/>
    <w:rsid w:val="00104085"/>
    <w:rsid w:val="00105755"/>
    <w:rsid w:val="001057DB"/>
    <w:rsid w:val="00113548"/>
    <w:rsid w:val="0012298F"/>
    <w:rsid w:val="0013308C"/>
    <w:rsid w:val="00133B33"/>
    <w:rsid w:val="00140EE9"/>
    <w:rsid w:val="001427B7"/>
    <w:rsid w:val="00143678"/>
    <w:rsid w:val="0014705F"/>
    <w:rsid w:val="001473DC"/>
    <w:rsid w:val="00150C0D"/>
    <w:rsid w:val="00152491"/>
    <w:rsid w:val="001554A3"/>
    <w:rsid w:val="00157861"/>
    <w:rsid w:val="00162C12"/>
    <w:rsid w:val="00163084"/>
    <w:rsid w:val="00164C75"/>
    <w:rsid w:val="00166DA3"/>
    <w:rsid w:val="00173660"/>
    <w:rsid w:val="00175985"/>
    <w:rsid w:val="00177E24"/>
    <w:rsid w:val="001804E2"/>
    <w:rsid w:val="00181A08"/>
    <w:rsid w:val="001851BC"/>
    <w:rsid w:val="001862BD"/>
    <w:rsid w:val="0018767D"/>
    <w:rsid w:val="001A04A3"/>
    <w:rsid w:val="001D1E58"/>
    <w:rsid w:val="001D5E31"/>
    <w:rsid w:val="001E253A"/>
    <w:rsid w:val="00204603"/>
    <w:rsid w:val="00205B35"/>
    <w:rsid w:val="00207640"/>
    <w:rsid w:val="00210E60"/>
    <w:rsid w:val="0021576A"/>
    <w:rsid w:val="002266B9"/>
    <w:rsid w:val="002278AC"/>
    <w:rsid w:val="002309E3"/>
    <w:rsid w:val="00230CF9"/>
    <w:rsid w:val="00230DB6"/>
    <w:rsid w:val="002330A6"/>
    <w:rsid w:val="002331B6"/>
    <w:rsid w:val="00246C89"/>
    <w:rsid w:val="00252960"/>
    <w:rsid w:val="00267FAA"/>
    <w:rsid w:val="00270DD3"/>
    <w:rsid w:val="00275C9A"/>
    <w:rsid w:val="00276121"/>
    <w:rsid w:val="00294A59"/>
    <w:rsid w:val="00296E51"/>
    <w:rsid w:val="002972AE"/>
    <w:rsid w:val="00297DB3"/>
    <w:rsid w:val="002A38B2"/>
    <w:rsid w:val="002B59B9"/>
    <w:rsid w:val="002B70AA"/>
    <w:rsid w:val="002C36F2"/>
    <w:rsid w:val="002D0A62"/>
    <w:rsid w:val="002D5574"/>
    <w:rsid w:val="002E43B1"/>
    <w:rsid w:val="002E59A0"/>
    <w:rsid w:val="002F0203"/>
    <w:rsid w:val="002F4B17"/>
    <w:rsid w:val="00301CE4"/>
    <w:rsid w:val="00316846"/>
    <w:rsid w:val="00326A52"/>
    <w:rsid w:val="00341EE7"/>
    <w:rsid w:val="0034322F"/>
    <w:rsid w:val="003448E9"/>
    <w:rsid w:val="003468A0"/>
    <w:rsid w:val="0035234B"/>
    <w:rsid w:val="00361D14"/>
    <w:rsid w:val="00362EF3"/>
    <w:rsid w:val="00364FE7"/>
    <w:rsid w:val="00365633"/>
    <w:rsid w:val="0037075A"/>
    <w:rsid w:val="00375189"/>
    <w:rsid w:val="00375B12"/>
    <w:rsid w:val="00384A97"/>
    <w:rsid w:val="00386980"/>
    <w:rsid w:val="003919A9"/>
    <w:rsid w:val="00396AF6"/>
    <w:rsid w:val="003A3FC7"/>
    <w:rsid w:val="003B54BD"/>
    <w:rsid w:val="003B6C09"/>
    <w:rsid w:val="003C46D3"/>
    <w:rsid w:val="003D3AF0"/>
    <w:rsid w:val="003D73F8"/>
    <w:rsid w:val="003E5408"/>
    <w:rsid w:val="003F19C0"/>
    <w:rsid w:val="00410A64"/>
    <w:rsid w:val="00411854"/>
    <w:rsid w:val="004118BB"/>
    <w:rsid w:val="00415203"/>
    <w:rsid w:val="004244BC"/>
    <w:rsid w:val="004276C5"/>
    <w:rsid w:val="00430C8B"/>
    <w:rsid w:val="00430E59"/>
    <w:rsid w:val="00434736"/>
    <w:rsid w:val="00436259"/>
    <w:rsid w:val="00440AE0"/>
    <w:rsid w:val="00447E88"/>
    <w:rsid w:val="0046275F"/>
    <w:rsid w:val="004647B5"/>
    <w:rsid w:val="004648D1"/>
    <w:rsid w:val="004677D0"/>
    <w:rsid w:val="004703D7"/>
    <w:rsid w:val="00473B92"/>
    <w:rsid w:val="004760A3"/>
    <w:rsid w:val="004833BB"/>
    <w:rsid w:val="00485502"/>
    <w:rsid w:val="00487965"/>
    <w:rsid w:val="004908EC"/>
    <w:rsid w:val="00497CBA"/>
    <w:rsid w:val="004B01D4"/>
    <w:rsid w:val="004B021A"/>
    <w:rsid w:val="004B0975"/>
    <w:rsid w:val="004C3006"/>
    <w:rsid w:val="004C54B8"/>
    <w:rsid w:val="004C6D40"/>
    <w:rsid w:val="004C73FD"/>
    <w:rsid w:val="004D2631"/>
    <w:rsid w:val="004D51CA"/>
    <w:rsid w:val="004D7512"/>
    <w:rsid w:val="004D7FAA"/>
    <w:rsid w:val="004E112A"/>
    <w:rsid w:val="004E1A54"/>
    <w:rsid w:val="004F3808"/>
    <w:rsid w:val="004F7FC9"/>
    <w:rsid w:val="00500AFC"/>
    <w:rsid w:val="00501A57"/>
    <w:rsid w:val="005048A9"/>
    <w:rsid w:val="0050705F"/>
    <w:rsid w:val="0050773B"/>
    <w:rsid w:val="005347A7"/>
    <w:rsid w:val="0054017A"/>
    <w:rsid w:val="005404F6"/>
    <w:rsid w:val="005440DA"/>
    <w:rsid w:val="0054634B"/>
    <w:rsid w:val="00546EB2"/>
    <w:rsid w:val="0054767C"/>
    <w:rsid w:val="0055100D"/>
    <w:rsid w:val="00551CF4"/>
    <w:rsid w:val="00554B76"/>
    <w:rsid w:val="0056028C"/>
    <w:rsid w:val="00562C61"/>
    <w:rsid w:val="0056307D"/>
    <w:rsid w:val="00564749"/>
    <w:rsid w:val="00565AB6"/>
    <w:rsid w:val="0058105A"/>
    <w:rsid w:val="00583840"/>
    <w:rsid w:val="00584C50"/>
    <w:rsid w:val="005871A0"/>
    <w:rsid w:val="00591332"/>
    <w:rsid w:val="00591C20"/>
    <w:rsid w:val="00591F39"/>
    <w:rsid w:val="00593500"/>
    <w:rsid w:val="005A3545"/>
    <w:rsid w:val="005A5EC5"/>
    <w:rsid w:val="005B024B"/>
    <w:rsid w:val="005B6057"/>
    <w:rsid w:val="005B6EB7"/>
    <w:rsid w:val="005B75FB"/>
    <w:rsid w:val="005C0D7D"/>
    <w:rsid w:val="005C3D5B"/>
    <w:rsid w:val="005D32BA"/>
    <w:rsid w:val="005E7529"/>
    <w:rsid w:val="005F6192"/>
    <w:rsid w:val="00601064"/>
    <w:rsid w:val="00601300"/>
    <w:rsid w:val="00613AF5"/>
    <w:rsid w:val="00615EBE"/>
    <w:rsid w:val="00617C59"/>
    <w:rsid w:val="00620B76"/>
    <w:rsid w:val="00624461"/>
    <w:rsid w:val="006266FF"/>
    <w:rsid w:val="00626F59"/>
    <w:rsid w:val="00631CF1"/>
    <w:rsid w:val="00634715"/>
    <w:rsid w:val="00642FC7"/>
    <w:rsid w:val="00645252"/>
    <w:rsid w:val="00645B08"/>
    <w:rsid w:val="00656F1C"/>
    <w:rsid w:val="00661A42"/>
    <w:rsid w:val="00662E31"/>
    <w:rsid w:val="00663FDE"/>
    <w:rsid w:val="006709B9"/>
    <w:rsid w:val="00672DCD"/>
    <w:rsid w:val="00676C13"/>
    <w:rsid w:val="00695C30"/>
    <w:rsid w:val="006969DD"/>
    <w:rsid w:val="006A0617"/>
    <w:rsid w:val="006A2AC7"/>
    <w:rsid w:val="006A690C"/>
    <w:rsid w:val="006B14A4"/>
    <w:rsid w:val="006B1CAF"/>
    <w:rsid w:val="006B44D4"/>
    <w:rsid w:val="006C13F1"/>
    <w:rsid w:val="006C503E"/>
    <w:rsid w:val="006D1B63"/>
    <w:rsid w:val="006D2FFB"/>
    <w:rsid w:val="006D7917"/>
    <w:rsid w:val="006E3706"/>
    <w:rsid w:val="006F26C4"/>
    <w:rsid w:val="00700268"/>
    <w:rsid w:val="00701DE7"/>
    <w:rsid w:val="00712099"/>
    <w:rsid w:val="0071298A"/>
    <w:rsid w:val="00716DA8"/>
    <w:rsid w:val="00720E14"/>
    <w:rsid w:val="0072608A"/>
    <w:rsid w:val="007263D3"/>
    <w:rsid w:val="007502D0"/>
    <w:rsid w:val="0075284F"/>
    <w:rsid w:val="00754463"/>
    <w:rsid w:val="00755B74"/>
    <w:rsid w:val="00760AF5"/>
    <w:rsid w:val="00776BBB"/>
    <w:rsid w:val="0077743A"/>
    <w:rsid w:val="007A68F9"/>
    <w:rsid w:val="007A7115"/>
    <w:rsid w:val="007B1E8C"/>
    <w:rsid w:val="007B7C3B"/>
    <w:rsid w:val="007C6D53"/>
    <w:rsid w:val="007C6E1E"/>
    <w:rsid w:val="007D062F"/>
    <w:rsid w:val="007D360D"/>
    <w:rsid w:val="007D5B5E"/>
    <w:rsid w:val="007D6314"/>
    <w:rsid w:val="007E0270"/>
    <w:rsid w:val="007E0B09"/>
    <w:rsid w:val="007E2623"/>
    <w:rsid w:val="007E5B36"/>
    <w:rsid w:val="008024D0"/>
    <w:rsid w:val="00803729"/>
    <w:rsid w:val="00810BF3"/>
    <w:rsid w:val="008149EC"/>
    <w:rsid w:val="008169F2"/>
    <w:rsid w:val="00820EF6"/>
    <w:rsid w:val="00837EF2"/>
    <w:rsid w:val="00840D72"/>
    <w:rsid w:val="008476F2"/>
    <w:rsid w:val="00850B74"/>
    <w:rsid w:val="008571F8"/>
    <w:rsid w:val="00865CD3"/>
    <w:rsid w:val="0086704B"/>
    <w:rsid w:val="0087352A"/>
    <w:rsid w:val="00873A3C"/>
    <w:rsid w:val="00873C26"/>
    <w:rsid w:val="00891761"/>
    <w:rsid w:val="008A490B"/>
    <w:rsid w:val="008A53A2"/>
    <w:rsid w:val="008B5A68"/>
    <w:rsid w:val="008B71EC"/>
    <w:rsid w:val="008C16E9"/>
    <w:rsid w:val="008C5F91"/>
    <w:rsid w:val="008D28BF"/>
    <w:rsid w:val="008D450E"/>
    <w:rsid w:val="008D6A0A"/>
    <w:rsid w:val="008D7051"/>
    <w:rsid w:val="008E6FCC"/>
    <w:rsid w:val="008F0DE6"/>
    <w:rsid w:val="008F583D"/>
    <w:rsid w:val="008F64A9"/>
    <w:rsid w:val="0090026D"/>
    <w:rsid w:val="009026B3"/>
    <w:rsid w:val="009300BF"/>
    <w:rsid w:val="009334A8"/>
    <w:rsid w:val="00940E51"/>
    <w:rsid w:val="009424AE"/>
    <w:rsid w:val="009425D8"/>
    <w:rsid w:val="0095116E"/>
    <w:rsid w:val="0095301A"/>
    <w:rsid w:val="009535CD"/>
    <w:rsid w:val="00960555"/>
    <w:rsid w:val="00962546"/>
    <w:rsid w:val="0096477C"/>
    <w:rsid w:val="009673BA"/>
    <w:rsid w:val="00975E31"/>
    <w:rsid w:val="00977F7A"/>
    <w:rsid w:val="009802B0"/>
    <w:rsid w:val="009836EE"/>
    <w:rsid w:val="00986520"/>
    <w:rsid w:val="00992363"/>
    <w:rsid w:val="009926C5"/>
    <w:rsid w:val="00996421"/>
    <w:rsid w:val="009A190D"/>
    <w:rsid w:val="009A1B01"/>
    <w:rsid w:val="009B5C35"/>
    <w:rsid w:val="009B5CD3"/>
    <w:rsid w:val="009C6BDD"/>
    <w:rsid w:val="009D08E1"/>
    <w:rsid w:val="009E0C1F"/>
    <w:rsid w:val="009E13ED"/>
    <w:rsid w:val="009F280A"/>
    <w:rsid w:val="00A01739"/>
    <w:rsid w:val="00A13451"/>
    <w:rsid w:val="00A139CD"/>
    <w:rsid w:val="00A16ECD"/>
    <w:rsid w:val="00A20CA0"/>
    <w:rsid w:val="00A22FA0"/>
    <w:rsid w:val="00A25172"/>
    <w:rsid w:val="00A25852"/>
    <w:rsid w:val="00A4137A"/>
    <w:rsid w:val="00A437FE"/>
    <w:rsid w:val="00A470F9"/>
    <w:rsid w:val="00A47566"/>
    <w:rsid w:val="00A52737"/>
    <w:rsid w:val="00A54E07"/>
    <w:rsid w:val="00A55056"/>
    <w:rsid w:val="00A77DF4"/>
    <w:rsid w:val="00A84D22"/>
    <w:rsid w:val="00A85AF1"/>
    <w:rsid w:val="00A908BC"/>
    <w:rsid w:val="00A9253B"/>
    <w:rsid w:val="00A97947"/>
    <w:rsid w:val="00AA168E"/>
    <w:rsid w:val="00AE1B94"/>
    <w:rsid w:val="00AE5488"/>
    <w:rsid w:val="00AF321F"/>
    <w:rsid w:val="00AF7D44"/>
    <w:rsid w:val="00AF7FDC"/>
    <w:rsid w:val="00B00CCF"/>
    <w:rsid w:val="00B03ACE"/>
    <w:rsid w:val="00B048AD"/>
    <w:rsid w:val="00B05BA5"/>
    <w:rsid w:val="00B10669"/>
    <w:rsid w:val="00B11D90"/>
    <w:rsid w:val="00B1445F"/>
    <w:rsid w:val="00B1537E"/>
    <w:rsid w:val="00B15594"/>
    <w:rsid w:val="00B1593E"/>
    <w:rsid w:val="00B16DE0"/>
    <w:rsid w:val="00B41E00"/>
    <w:rsid w:val="00B42C36"/>
    <w:rsid w:val="00B430DF"/>
    <w:rsid w:val="00B43F3B"/>
    <w:rsid w:val="00B476B5"/>
    <w:rsid w:val="00B53348"/>
    <w:rsid w:val="00B549BD"/>
    <w:rsid w:val="00B5567A"/>
    <w:rsid w:val="00B56BD4"/>
    <w:rsid w:val="00B6018D"/>
    <w:rsid w:val="00B61610"/>
    <w:rsid w:val="00B65DC6"/>
    <w:rsid w:val="00B82B56"/>
    <w:rsid w:val="00B93D77"/>
    <w:rsid w:val="00B95567"/>
    <w:rsid w:val="00B96730"/>
    <w:rsid w:val="00BA09CA"/>
    <w:rsid w:val="00BA1EFB"/>
    <w:rsid w:val="00BA5FFD"/>
    <w:rsid w:val="00BA7478"/>
    <w:rsid w:val="00BC58A6"/>
    <w:rsid w:val="00BD2BDE"/>
    <w:rsid w:val="00BE1799"/>
    <w:rsid w:val="00BE3AD5"/>
    <w:rsid w:val="00BF0DC9"/>
    <w:rsid w:val="00BF1EB9"/>
    <w:rsid w:val="00C014F0"/>
    <w:rsid w:val="00C03CA0"/>
    <w:rsid w:val="00C13378"/>
    <w:rsid w:val="00C16382"/>
    <w:rsid w:val="00C2037E"/>
    <w:rsid w:val="00C2212D"/>
    <w:rsid w:val="00C2388E"/>
    <w:rsid w:val="00C23BD6"/>
    <w:rsid w:val="00C31051"/>
    <w:rsid w:val="00C31D09"/>
    <w:rsid w:val="00C32CDF"/>
    <w:rsid w:val="00C35BF9"/>
    <w:rsid w:val="00C36117"/>
    <w:rsid w:val="00C37D5A"/>
    <w:rsid w:val="00C4056B"/>
    <w:rsid w:val="00C426DE"/>
    <w:rsid w:val="00C5206F"/>
    <w:rsid w:val="00C63EE2"/>
    <w:rsid w:val="00C65E1D"/>
    <w:rsid w:val="00C66305"/>
    <w:rsid w:val="00C71495"/>
    <w:rsid w:val="00C73C07"/>
    <w:rsid w:val="00C75839"/>
    <w:rsid w:val="00C851F9"/>
    <w:rsid w:val="00C853D7"/>
    <w:rsid w:val="00C85CAD"/>
    <w:rsid w:val="00C96D9B"/>
    <w:rsid w:val="00C96F8E"/>
    <w:rsid w:val="00C971C0"/>
    <w:rsid w:val="00C97BA2"/>
    <w:rsid w:val="00CA522D"/>
    <w:rsid w:val="00CC5522"/>
    <w:rsid w:val="00CD2CF2"/>
    <w:rsid w:val="00CD5C81"/>
    <w:rsid w:val="00CE12D3"/>
    <w:rsid w:val="00CE47AA"/>
    <w:rsid w:val="00CE7A5B"/>
    <w:rsid w:val="00CE7C5A"/>
    <w:rsid w:val="00CF0CF4"/>
    <w:rsid w:val="00CF5A9F"/>
    <w:rsid w:val="00CF6A02"/>
    <w:rsid w:val="00D11C01"/>
    <w:rsid w:val="00D11F92"/>
    <w:rsid w:val="00D14878"/>
    <w:rsid w:val="00D15250"/>
    <w:rsid w:val="00D15E89"/>
    <w:rsid w:val="00D17308"/>
    <w:rsid w:val="00D17CEC"/>
    <w:rsid w:val="00D2127E"/>
    <w:rsid w:val="00D260B7"/>
    <w:rsid w:val="00D26461"/>
    <w:rsid w:val="00D36934"/>
    <w:rsid w:val="00D40AF6"/>
    <w:rsid w:val="00D474F8"/>
    <w:rsid w:val="00D5658A"/>
    <w:rsid w:val="00D71C20"/>
    <w:rsid w:val="00D72186"/>
    <w:rsid w:val="00D90A72"/>
    <w:rsid w:val="00D95910"/>
    <w:rsid w:val="00DA7391"/>
    <w:rsid w:val="00DB7CFF"/>
    <w:rsid w:val="00DC1D70"/>
    <w:rsid w:val="00DC4B32"/>
    <w:rsid w:val="00DD4D4A"/>
    <w:rsid w:val="00DD4EB1"/>
    <w:rsid w:val="00DE3065"/>
    <w:rsid w:val="00DE6760"/>
    <w:rsid w:val="00DF07E3"/>
    <w:rsid w:val="00DF420C"/>
    <w:rsid w:val="00DF4589"/>
    <w:rsid w:val="00E02F9D"/>
    <w:rsid w:val="00E03E93"/>
    <w:rsid w:val="00E04B5E"/>
    <w:rsid w:val="00E056F1"/>
    <w:rsid w:val="00E07303"/>
    <w:rsid w:val="00E12EA5"/>
    <w:rsid w:val="00E134EE"/>
    <w:rsid w:val="00E17E01"/>
    <w:rsid w:val="00E17EC4"/>
    <w:rsid w:val="00E25388"/>
    <w:rsid w:val="00E51A3F"/>
    <w:rsid w:val="00E6174D"/>
    <w:rsid w:val="00E619B4"/>
    <w:rsid w:val="00E6377E"/>
    <w:rsid w:val="00E63C8C"/>
    <w:rsid w:val="00E647D1"/>
    <w:rsid w:val="00E66D16"/>
    <w:rsid w:val="00E710B0"/>
    <w:rsid w:val="00E7457F"/>
    <w:rsid w:val="00E75177"/>
    <w:rsid w:val="00E7716B"/>
    <w:rsid w:val="00E82B7A"/>
    <w:rsid w:val="00E84236"/>
    <w:rsid w:val="00E91D88"/>
    <w:rsid w:val="00E91F02"/>
    <w:rsid w:val="00E92B93"/>
    <w:rsid w:val="00EA1476"/>
    <w:rsid w:val="00EA150E"/>
    <w:rsid w:val="00EC00A1"/>
    <w:rsid w:val="00ED25AF"/>
    <w:rsid w:val="00ED29DA"/>
    <w:rsid w:val="00ED4A00"/>
    <w:rsid w:val="00ED5813"/>
    <w:rsid w:val="00EE61FA"/>
    <w:rsid w:val="00EF17B0"/>
    <w:rsid w:val="00EF6ADA"/>
    <w:rsid w:val="00F035F8"/>
    <w:rsid w:val="00F1205B"/>
    <w:rsid w:val="00F16737"/>
    <w:rsid w:val="00F16DBE"/>
    <w:rsid w:val="00F322E4"/>
    <w:rsid w:val="00F3600C"/>
    <w:rsid w:val="00F412DB"/>
    <w:rsid w:val="00F42DF7"/>
    <w:rsid w:val="00F469B8"/>
    <w:rsid w:val="00F54B36"/>
    <w:rsid w:val="00F614D6"/>
    <w:rsid w:val="00F67858"/>
    <w:rsid w:val="00F72969"/>
    <w:rsid w:val="00F73532"/>
    <w:rsid w:val="00F73D55"/>
    <w:rsid w:val="00F82B0B"/>
    <w:rsid w:val="00F86FA9"/>
    <w:rsid w:val="00F9559F"/>
    <w:rsid w:val="00F9657E"/>
    <w:rsid w:val="00F977B2"/>
    <w:rsid w:val="00FA1393"/>
    <w:rsid w:val="00FA46AE"/>
    <w:rsid w:val="00FB0FED"/>
    <w:rsid w:val="00FB1611"/>
    <w:rsid w:val="00FB71A6"/>
    <w:rsid w:val="00FC1E61"/>
    <w:rsid w:val="00FC38D7"/>
    <w:rsid w:val="00FD7CAE"/>
    <w:rsid w:val="00FE1D92"/>
    <w:rsid w:val="00FE2F8E"/>
    <w:rsid w:val="00FF56A7"/>
    <w:rsid w:val="00FF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AAC78C"/>
  <w15:docId w15:val="{E5F3D4B2-433F-455D-8126-BCE07592E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71F8"/>
    <w:rPr>
      <w:rFonts w:ascii="Verdana" w:hAnsi="Verdana"/>
      <w:sz w:val="18"/>
    </w:rPr>
  </w:style>
  <w:style w:type="paragraph" w:styleId="Nadpis1">
    <w:name w:val="heading 1"/>
    <w:aliases w:val="Nadpis 1 - Článek smlouvy"/>
    <w:basedOn w:val="Normln"/>
    <w:next w:val="Odstavecseseznamem"/>
    <w:link w:val="Nadpis1Char"/>
    <w:uiPriority w:val="9"/>
    <w:qFormat/>
    <w:rsid w:val="009A190D"/>
    <w:pPr>
      <w:keepNext/>
      <w:numPr>
        <w:numId w:val="33"/>
      </w:numPr>
      <w:tabs>
        <w:tab w:val="left" w:pos="709"/>
      </w:tabs>
      <w:spacing w:before="360" w:after="120" w:line="360" w:lineRule="auto"/>
      <w:jc w:val="center"/>
      <w:outlineLvl w:val="0"/>
    </w:pPr>
    <w:rPr>
      <w:rFonts w:eastAsiaTheme="majorEastAsia" w:cstheme="majorBidi"/>
      <w:b/>
      <w:bCs/>
      <w:caps/>
      <w:sz w:val="20"/>
      <w:szCs w:val="20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A52737"/>
    <w:pPr>
      <w:keepLines/>
      <w:numPr>
        <w:numId w:val="33"/>
      </w:numPr>
      <w:spacing w:before="60" w:after="60"/>
      <w:jc w:val="both"/>
      <w:outlineLvl w:val="1"/>
    </w:p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645B08"/>
    <w:pPr>
      <w:numPr>
        <w:ilvl w:val="2"/>
      </w:numPr>
      <w:ind w:left="1418" w:hanging="851"/>
      <w:outlineLvl w:val="2"/>
    </w:pPr>
  </w:style>
  <w:style w:type="paragraph" w:styleId="Nadpis4">
    <w:name w:val="heading 4"/>
    <w:basedOn w:val="Nadpis3"/>
    <w:next w:val="Normln"/>
    <w:link w:val="Nadpis4Char"/>
    <w:uiPriority w:val="9"/>
    <w:unhideWhenUsed/>
    <w:qFormat/>
    <w:rsid w:val="009A190D"/>
    <w:pPr>
      <w:numPr>
        <w:ilvl w:val="3"/>
      </w:numPr>
      <w:ind w:left="2410" w:hanging="992"/>
      <w:outlineLvl w:val="3"/>
    </w:pPr>
  </w:style>
  <w:style w:type="paragraph" w:styleId="Nadpis5">
    <w:name w:val="heading 5"/>
    <w:basedOn w:val="Normln"/>
    <w:next w:val="Normln"/>
    <w:link w:val="Nadpis5Char"/>
    <w:unhideWhenUsed/>
    <w:qFormat/>
    <w:rsid w:val="0075284F"/>
    <w:pPr>
      <w:keepNext/>
      <w:keepLines/>
      <w:numPr>
        <w:ilvl w:val="4"/>
        <w:numId w:val="3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E5488"/>
    <w:pPr>
      <w:keepNext/>
      <w:keepLines/>
      <w:numPr>
        <w:ilvl w:val="5"/>
        <w:numId w:val="3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E5488"/>
    <w:pPr>
      <w:keepNext/>
      <w:keepLines/>
      <w:numPr>
        <w:ilvl w:val="6"/>
        <w:numId w:val="3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E5488"/>
    <w:pPr>
      <w:keepNext/>
      <w:keepLines/>
      <w:numPr>
        <w:ilvl w:val="7"/>
        <w:numId w:val="3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E5488"/>
    <w:pPr>
      <w:keepNext/>
      <w:keepLines/>
      <w:numPr>
        <w:ilvl w:val="8"/>
        <w:numId w:val="3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- Článek smlouvy Char"/>
    <w:basedOn w:val="Standardnpsmoodstavce"/>
    <w:link w:val="Nadpis1"/>
    <w:uiPriority w:val="9"/>
    <w:rsid w:val="009A190D"/>
    <w:rPr>
      <w:rFonts w:ascii="Verdana" w:eastAsiaTheme="majorEastAsia" w:hAnsi="Verdana" w:cstheme="majorBidi"/>
      <w:b/>
      <w:bCs/>
      <w:caps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A52737"/>
    <w:rPr>
      <w:rFonts w:ascii="Verdana" w:hAnsi="Verdana"/>
      <w:sz w:val="18"/>
    </w:rPr>
  </w:style>
  <w:style w:type="character" w:customStyle="1" w:styleId="Nadpis3Char">
    <w:name w:val="Nadpis 3 Char"/>
    <w:basedOn w:val="Standardnpsmoodstavce"/>
    <w:link w:val="Nadpis3"/>
    <w:uiPriority w:val="9"/>
    <w:rsid w:val="00645B08"/>
    <w:rPr>
      <w:rFonts w:ascii="Verdana" w:hAnsi="Verdana"/>
      <w:sz w:val="18"/>
    </w:rPr>
  </w:style>
  <w:style w:type="character" w:customStyle="1" w:styleId="Nadpis4Char">
    <w:name w:val="Nadpis 4 Char"/>
    <w:basedOn w:val="Standardnpsmoodstavce"/>
    <w:link w:val="Nadpis4"/>
    <w:uiPriority w:val="9"/>
    <w:rsid w:val="009A190D"/>
    <w:rPr>
      <w:rFonts w:ascii="Verdana" w:hAnsi="Verdana"/>
      <w:sz w:val="18"/>
    </w:rPr>
  </w:style>
  <w:style w:type="character" w:customStyle="1" w:styleId="Nadpis5Char">
    <w:name w:val="Nadpis 5 Char"/>
    <w:basedOn w:val="Standardnpsmoodstavce"/>
    <w:link w:val="Nadpis5"/>
    <w:rsid w:val="0075284F"/>
    <w:rPr>
      <w:rFonts w:asciiTheme="majorHAnsi" w:eastAsiaTheme="majorEastAsia" w:hAnsiTheme="majorHAnsi" w:cstheme="majorBidi"/>
      <w:color w:val="243F60" w:themeColor="accent1" w:themeShade="7F"/>
      <w:sz w:val="1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E5488"/>
    <w:rPr>
      <w:rFonts w:asciiTheme="majorHAnsi" w:eastAsiaTheme="majorEastAsia" w:hAnsiTheme="majorHAnsi" w:cstheme="majorBidi"/>
      <w:i/>
      <w:iCs/>
      <w:color w:val="243F60" w:themeColor="accent1" w:themeShade="7F"/>
      <w:sz w:val="18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E5488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E548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E548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D6314"/>
    <w:pPr>
      <w:numPr>
        <w:ilvl w:val="1"/>
        <w:numId w:val="27"/>
      </w:numPr>
    </w:pPr>
  </w:style>
  <w:style w:type="paragraph" w:styleId="Zhlav">
    <w:name w:val="header"/>
    <w:basedOn w:val="Normln"/>
    <w:link w:val="ZhlavChar"/>
    <w:uiPriority w:val="99"/>
    <w:unhideWhenUsed/>
    <w:rsid w:val="002F4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4B17"/>
    <w:rPr>
      <w:rFonts w:ascii="Verdana" w:hAnsi="Verdana"/>
      <w:sz w:val="18"/>
    </w:rPr>
  </w:style>
  <w:style w:type="paragraph" w:styleId="Zpat">
    <w:name w:val="footer"/>
    <w:basedOn w:val="Normln"/>
    <w:link w:val="ZpatChar"/>
    <w:uiPriority w:val="99"/>
    <w:unhideWhenUsed/>
    <w:rsid w:val="002F4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4B17"/>
    <w:rPr>
      <w:rFonts w:ascii="Verdana" w:hAnsi="Verdana"/>
      <w:sz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4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4B1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1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link w:val="PodnadpisChar"/>
    <w:uiPriority w:val="11"/>
    <w:qFormat/>
    <w:rsid w:val="00591332"/>
    <w:pPr>
      <w:keepNext/>
      <w:keepLines/>
      <w:spacing w:before="240" w:after="120" w:line="259" w:lineRule="auto"/>
      <w:contextualSpacing/>
      <w:jc w:val="both"/>
      <w:outlineLvl w:val="0"/>
    </w:pPr>
    <w:rPr>
      <w:rFonts w:eastAsiaTheme="majorEastAsia" w:cstheme="majorBidi"/>
      <w:sz w:val="20"/>
      <w:szCs w:val="32"/>
    </w:rPr>
  </w:style>
  <w:style w:type="character" w:customStyle="1" w:styleId="PodnadpisChar">
    <w:name w:val="Podnadpis Char"/>
    <w:basedOn w:val="Standardnpsmoodstavce"/>
    <w:link w:val="Podnadpis"/>
    <w:uiPriority w:val="11"/>
    <w:rsid w:val="00591332"/>
    <w:rPr>
      <w:rFonts w:ascii="Verdana" w:eastAsiaTheme="majorEastAsia" w:hAnsi="Verdana" w:cstheme="majorBidi"/>
      <w:sz w:val="20"/>
      <w:szCs w:val="32"/>
    </w:rPr>
  </w:style>
  <w:style w:type="paragraph" w:customStyle="1" w:styleId="Titulka">
    <w:name w:val="Titulka"/>
    <w:basedOn w:val="Nadpis1"/>
    <w:next w:val="Normln"/>
    <w:link w:val="TitulkaChar"/>
    <w:qFormat/>
    <w:rsid w:val="009425D8"/>
    <w:pPr>
      <w:numPr>
        <w:numId w:val="0"/>
      </w:numPr>
    </w:pPr>
  </w:style>
  <w:style w:type="character" w:customStyle="1" w:styleId="TitulkaChar">
    <w:name w:val="Titulka Char"/>
    <w:basedOn w:val="Nadpis1Char"/>
    <w:link w:val="Titulka"/>
    <w:rsid w:val="009425D8"/>
    <w:rPr>
      <w:rFonts w:ascii="Verdana" w:eastAsiaTheme="majorEastAsia" w:hAnsi="Verdana" w:cstheme="majorBidi"/>
      <w:b/>
      <w:bCs/>
      <w:caps/>
      <w:sz w:val="28"/>
      <w:szCs w:val="28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25172"/>
    <w:pPr>
      <w:numPr>
        <w:numId w:val="0"/>
      </w:numPr>
      <w:spacing w:after="0"/>
      <w:jc w:val="left"/>
      <w:outlineLvl w:val="9"/>
    </w:pPr>
    <w:rPr>
      <w:rFonts w:asciiTheme="majorHAnsi" w:hAnsiTheme="majorHAnsi"/>
      <w:caps w:val="0"/>
      <w:color w:val="365F91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E134EE"/>
    <w:pPr>
      <w:tabs>
        <w:tab w:val="left" w:pos="709"/>
        <w:tab w:val="right" w:leader="dot" w:pos="9062"/>
      </w:tabs>
      <w:spacing w:after="100"/>
    </w:pPr>
    <w:rPr>
      <w:caps/>
    </w:rPr>
  </w:style>
  <w:style w:type="character" w:styleId="Hypertextovodkaz">
    <w:name w:val="Hyperlink"/>
    <w:basedOn w:val="Standardnpsmoodstavce"/>
    <w:uiPriority w:val="99"/>
    <w:unhideWhenUsed/>
    <w:rsid w:val="00A25172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uiPriority w:val="1"/>
    <w:qFormat/>
    <w:rsid w:val="00656F1C"/>
    <w:pPr>
      <w:widowControl w:val="0"/>
      <w:spacing w:after="0" w:line="240" w:lineRule="auto"/>
      <w:ind w:left="474" w:hanging="360"/>
    </w:pPr>
    <w:rPr>
      <w:rFonts w:ascii="Times New Roman" w:eastAsia="Times New Roman" w:hAnsi="Times New Roman"/>
      <w:sz w:val="19"/>
      <w:szCs w:val="19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656F1C"/>
    <w:rPr>
      <w:rFonts w:ascii="Times New Roman" w:eastAsia="Times New Roman" w:hAnsi="Times New Roman"/>
      <w:sz w:val="19"/>
      <w:szCs w:val="19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2D55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D557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D5574"/>
    <w:rPr>
      <w:rFonts w:ascii="Verdana" w:hAnsi="Verdan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55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5574"/>
    <w:rPr>
      <w:rFonts w:ascii="Verdana" w:hAnsi="Verdana"/>
      <w:b/>
      <w:bCs/>
      <w:sz w:val="20"/>
      <w:szCs w:val="20"/>
    </w:rPr>
  </w:style>
  <w:style w:type="character" w:customStyle="1" w:styleId="ZKLADNChar">
    <w:name w:val="ZÁKLADNÍ Char"/>
    <w:link w:val="ZKLADN"/>
    <w:uiPriority w:val="99"/>
    <w:locked/>
    <w:rsid w:val="009D08E1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9D08E1"/>
    <w:pPr>
      <w:spacing w:before="120" w:after="120" w:line="280" w:lineRule="atLeast"/>
      <w:ind w:left="0" w:firstLine="0"/>
      <w:jc w:val="both"/>
    </w:pPr>
    <w:rPr>
      <w:rFonts w:ascii="Garamond" w:eastAsiaTheme="minorHAnsi" w:hAnsi="Garamond" w:cs="Garamond"/>
      <w:sz w:val="24"/>
      <w:szCs w:val="24"/>
      <w:lang w:val="cs-CZ"/>
    </w:rPr>
  </w:style>
  <w:style w:type="paragraph" w:styleId="Normlnweb">
    <w:name w:val="Normal (Web)"/>
    <w:basedOn w:val="Normln"/>
    <w:semiHidden/>
    <w:unhideWhenUsed/>
    <w:rsid w:val="00B955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Mkatabulky1">
    <w:name w:val="Mřížka tabulky1"/>
    <w:basedOn w:val="Normlntabulka"/>
    <w:uiPriority w:val="59"/>
    <w:rsid w:val="00B9556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276121"/>
    <w:pPr>
      <w:spacing w:after="0" w:line="240" w:lineRule="auto"/>
    </w:pPr>
    <w:rPr>
      <w:rFonts w:ascii="Calibri" w:hAnsi="Calibri" w:cs="Calibri"/>
      <w:sz w:val="22"/>
    </w:rPr>
  </w:style>
  <w:style w:type="character" w:customStyle="1" w:styleId="ProsttextChar">
    <w:name w:val="Prostý text Char"/>
    <w:basedOn w:val="Standardnpsmoodstavce"/>
    <w:link w:val="Prosttext"/>
    <w:uiPriority w:val="99"/>
    <w:rsid w:val="00276121"/>
    <w:rPr>
      <w:rFonts w:ascii="Calibri" w:hAnsi="Calibri" w:cs="Calibri"/>
    </w:rPr>
  </w:style>
  <w:style w:type="paragraph" w:customStyle="1" w:styleId="xmsoplaintext">
    <w:name w:val="x_msoplaintext"/>
    <w:basedOn w:val="Normln"/>
    <w:rsid w:val="00A13451"/>
    <w:pPr>
      <w:spacing w:after="0" w:line="240" w:lineRule="auto"/>
    </w:pPr>
    <w:rPr>
      <w:rFonts w:ascii="Calibri" w:hAnsi="Calibri" w:cs="Calibri"/>
      <w:sz w:val="22"/>
      <w:lang w:eastAsia="cs-CZ"/>
    </w:rPr>
  </w:style>
  <w:style w:type="paragraph" w:styleId="Revize">
    <w:name w:val="Revision"/>
    <w:hidden/>
    <w:uiPriority w:val="99"/>
    <w:semiHidden/>
    <w:rsid w:val="00D90A72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hardware.redhat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24C5C12E64BA43AB520E1F2F60B393" ma:contentTypeVersion="8" ma:contentTypeDescription="Vytvoří nový dokument" ma:contentTypeScope="" ma:versionID="a741c9d5d5cd28fe2d218ecdf71516a0">
  <xsd:schema xmlns:xsd="http://www.w3.org/2001/XMLSchema" xmlns:xs="http://www.w3.org/2001/XMLSchema" xmlns:p="http://schemas.microsoft.com/office/2006/metadata/properties" xmlns:ns2="7cb4cfa2-ae78-4e03-927d-469238c5a063" targetNamespace="http://schemas.microsoft.com/office/2006/metadata/properties" ma:root="true" ma:fieldsID="6bc121e06d44048f3893c1f21a452372" ns2:_="">
    <xsd:import namespace="7cb4cfa2-ae78-4e03-927d-469238c5a0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4cfa2-ae78-4e03-927d-469238c5a0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ACED08-CBDC-4008-8C58-2CDB1F3139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8026BF-70A3-480F-A1B9-C8FC15D69F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b4cfa2-ae78-4e03-927d-469238c5a0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D69DDA-4C0E-4F97-9F3E-6CCCFB368B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DF99039-5AE4-43F6-93C6-0306CDF855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4123</Words>
  <Characters>24331</Characters>
  <Application>Microsoft Office Word</Application>
  <DocSecurity>0</DocSecurity>
  <Lines>202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 Hrabětová</dc:creator>
  <cp:lastModifiedBy>Milec Tomáš</cp:lastModifiedBy>
  <cp:revision>14</cp:revision>
  <cp:lastPrinted>2019-06-05T08:44:00Z</cp:lastPrinted>
  <dcterms:created xsi:type="dcterms:W3CDTF">2025-10-08T13:20:00Z</dcterms:created>
  <dcterms:modified xsi:type="dcterms:W3CDTF">2025-10-08T14:01:00Z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0x0101006024C5C12E64BA43AB520E1F2F60B393</vt:lpwstr>
  </property>
  <property fmtid="{D5CDD505-2E9C-101B-9397-08002B2CF9AE}" pid="3" name="Order">
    <vt:r8>900200</vt:r8>
  </property>
  <property fmtid="{D5CDD505-2E9C-101B-9397-08002B2CF9AE}" pid="4" name="ClassificationContentMarkingHeaderShapeIds">
    <vt:lpwstr>2,3,4,646000f4,246c35f6,759c4c86,670be0d3,3baaa94c,6d979764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e,f,10,13,16,5a0529c8,69592951,62191f4e,69d013ac,9271e6a,f80f4a0,4faee6f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ComplianceAssetId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SIP_Label_22c5d95a-8ae7-458f-9507-70e0cc24520d_Enabled">
    <vt:lpwstr>true</vt:lpwstr>
  </property>
  <property fmtid="{D5CDD505-2E9C-101B-9397-08002B2CF9AE}" pid="14" name="MSIP_Label_22c5d95a-8ae7-458f-9507-70e0cc24520d_SetDate">
    <vt:lpwstr>2023-10-03T07:54:36Z</vt:lpwstr>
  </property>
  <property fmtid="{D5CDD505-2E9C-101B-9397-08002B2CF9AE}" pid="15" name="MSIP_Label_22c5d95a-8ae7-458f-9507-70e0cc24520d_Method">
    <vt:lpwstr>Privileged</vt:lpwstr>
  </property>
  <property fmtid="{D5CDD505-2E9C-101B-9397-08002B2CF9AE}" pid="16" name="MSIP_Label_22c5d95a-8ae7-458f-9507-70e0cc24520d_Name">
    <vt:lpwstr>TLP AMBER</vt:lpwstr>
  </property>
  <property fmtid="{D5CDD505-2E9C-101B-9397-08002B2CF9AE}" pid="17" name="MSIP_Label_22c5d95a-8ae7-458f-9507-70e0cc24520d_SiteId">
    <vt:lpwstr>8ef2ef64-61e6-4033-9f7f-48ccd5d03c90</vt:lpwstr>
  </property>
  <property fmtid="{D5CDD505-2E9C-101B-9397-08002B2CF9AE}" pid="18" name="MSIP_Label_22c5d95a-8ae7-458f-9507-70e0cc24520d_ActionId">
    <vt:lpwstr>c063ddcd-8d23-47fc-a41f-e3a7e78d7929</vt:lpwstr>
  </property>
  <property fmtid="{D5CDD505-2E9C-101B-9397-08002B2CF9AE}" pid="19" name="MSIP_Label_22c5d95a-8ae7-458f-9507-70e0cc24520d_ContentBits">
    <vt:lpwstr>3</vt:lpwstr>
  </property>
  <property fmtid="{D5CDD505-2E9C-101B-9397-08002B2CF9AE}" pid="20" name="MediaServiceImageTags">
    <vt:lpwstr/>
  </property>
  <property fmtid="{D5CDD505-2E9C-101B-9397-08002B2CF9AE}" pid="21" name="_activity">
    <vt:lpwstr>{"FileActivityType":"6","FileActivityTimeStamp":"2024-09-30T08:56:32.950Z","FileActivityUsersOnPage":[{"DisplayName":"Špačková Helena","Id":"helena.spackova@spcss.cz"}],"FileActivityNavigationId":null}</vt:lpwstr>
  </property>
</Properties>
</file>