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7A01DEEB" w:rsidR="009425D8" w:rsidRPr="00F322E4" w:rsidRDefault="00B16DE0" w:rsidP="002A590A">
      <w:pPr>
        <w:pStyle w:val="Titulka"/>
      </w:pPr>
      <w:bookmarkStart w:id="0" w:name="_Hlk150509115"/>
      <w:r w:rsidRPr="002266B9">
        <w:t xml:space="preserve">smlouva </w:t>
      </w:r>
      <w:r w:rsidR="002266B9" w:rsidRPr="002266B9">
        <w:t>n</w:t>
      </w:r>
      <w:r w:rsidR="002266B9">
        <w:t xml:space="preserve">a </w:t>
      </w:r>
      <w:r w:rsidR="00FA580A">
        <w:t xml:space="preserve">zajištění </w:t>
      </w:r>
      <w:r w:rsidR="00B64307">
        <w:t>rozšíření clusterů</w:t>
      </w:r>
    </w:p>
    <w:bookmarkEnd w:id="0"/>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F8362A" w:rsidRDefault="005C3D5B" w:rsidP="006A16EE">
      <w:pPr>
        <w:tabs>
          <w:tab w:val="left" w:pos="709"/>
          <w:tab w:val="left" w:pos="1388"/>
          <w:tab w:val="left" w:pos="2060"/>
        </w:tabs>
        <w:spacing w:after="0" w:line="360" w:lineRule="auto"/>
        <w:ind w:right="-142"/>
        <w:outlineLvl w:val="0"/>
        <w:rPr>
          <w:rFonts w:eastAsia="Calibri"/>
          <w:b/>
          <w:szCs w:val="18"/>
        </w:rPr>
      </w:pPr>
      <w:r w:rsidRPr="00F8362A">
        <w:rPr>
          <w:rFonts w:eastAsia="Calibri"/>
          <w:b/>
          <w:szCs w:val="18"/>
        </w:rPr>
        <w:t>Státní pokladna Centrum sdílených služeb, s. p.</w:t>
      </w:r>
    </w:p>
    <w:p w14:paraId="3C26389E" w14:textId="1AEEC09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se sídlem</w:t>
      </w:r>
      <w:r w:rsidR="0086220F" w:rsidRPr="00F8362A">
        <w:rPr>
          <w:rFonts w:eastAsia="Calibri"/>
          <w:szCs w:val="18"/>
        </w:rPr>
        <w:t>:</w:t>
      </w:r>
      <w:r w:rsidR="0086220F" w:rsidRPr="00F8362A">
        <w:rPr>
          <w:rFonts w:eastAsia="Calibri"/>
          <w:szCs w:val="18"/>
        </w:rPr>
        <w:tab/>
      </w:r>
      <w:r w:rsidR="0086220F" w:rsidRPr="00F8362A">
        <w:rPr>
          <w:rFonts w:eastAsia="Calibri"/>
          <w:szCs w:val="18"/>
        </w:rPr>
        <w:tab/>
      </w:r>
      <w:r w:rsidRPr="00F8362A">
        <w:rPr>
          <w:rFonts w:eastAsia="Calibri"/>
          <w:szCs w:val="18"/>
        </w:rPr>
        <w:t>Na Vápence 915</w:t>
      </w:r>
      <w:r w:rsidRPr="00F8362A">
        <w:rPr>
          <w:rFonts w:eastAsia="Calibri"/>
          <w:szCs w:val="18"/>
          <w:lang w:val="pl-PL"/>
        </w:rPr>
        <w:t>/</w:t>
      </w:r>
      <w:r w:rsidRPr="00F8362A">
        <w:rPr>
          <w:rFonts w:eastAsia="Calibri"/>
          <w:szCs w:val="18"/>
        </w:rPr>
        <w:t>14, 130 00 Praha 3</w:t>
      </w:r>
    </w:p>
    <w:p w14:paraId="1CE17748" w14:textId="001D7515" w:rsidR="005C3D5B" w:rsidRPr="00F8362A" w:rsidRDefault="002A590A" w:rsidP="0086220F">
      <w:pPr>
        <w:tabs>
          <w:tab w:val="left" w:pos="709"/>
        </w:tabs>
        <w:spacing w:after="0" w:line="360" w:lineRule="auto"/>
        <w:ind w:right="-142"/>
        <w:rPr>
          <w:rFonts w:eastAsia="Calibri"/>
          <w:szCs w:val="18"/>
        </w:rPr>
      </w:pPr>
      <w:r w:rsidRPr="00F8362A">
        <w:rPr>
          <w:rFonts w:eastAsia="Calibri"/>
          <w:szCs w:val="18"/>
        </w:rPr>
        <w:t>zapsaný</w:t>
      </w:r>
      <w:r w:rsidR="005C3D5B" w:rsidRPr="00F8362A">
        <w:rPr>
          <w:rFonts w:eastAsia="Calibri"/>
          <w:szCs w:val="18"/>
        </w:rPr>
        <w:t xml:space="preserve"> v obchodním rejstříku vedeném Městským soudem v Praze pod </w:t>
      </w:r>
      <w:proofErr w:type="spellStart"/>
      <w:r w:rsidR="005C3D5B" w:rsidRPr="00F8362A">
        <w:rPr>
          <w:rFonts w:eastAsia="Calibri"/>
          <w:szCs w:val="18"/>
        </w:rPr>
        <w:t>sp</w:t>
      </w:r>
      <w:proofErr w:type="spellEnd"/>
      <w:r w:rsidR="005C3D5B" w:rsidRPr="00F8362A">
        <w:rPr>
          <w:rFonts w:eastAsia="Calibri"/>
          <w:szCs w:val="18"/>
        </w:rPr>
        <w:t>. zn. A 76922</w:t>
      </w:r>
    </w:p>
    <w:p w14:paraId="10A9D376" w14:textId="545F267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zastoupen</w:t>
      </w:r>
      <w:r w:rsidR="002A590A" w:rsidRPr="00F8362A">
        <w:rPr>
          <w:rFonts w:eastAsia="Calibri"/>
          <w:szCs w:val="18"/>
        </w:rPr>
        <w:t>ý</w:t>
      </w:r>
      <w:r w:rsidRPr="00F8362A">
        <w:rPr>
          <w:rFonts w:eastAsia="Calibri"/>
          <w:szCs w:val="18"/>
        </w:rPr>
        <w:t xml:space="preserve">: </w:t>
      </w:r>
      <w:r w:rsidR="0086220F" w:rsidRPr="00F8362A">
        <w:rPr>
          <w:rFonts w:eastAsia="Calibri"/>
          <w:szCs w:val="18"/>
        </w:rPr>
        <w:tab/>
      </w:r>
      <w:r w:rsidR="0086220F" w:rsidRPr="00F8362A">
        <w:rPr>
          <w:rFonts w:eastAsia="Calibri"/>
          <w:szCs w:val="18"/>
        </w:rPr>
        <w:tab/>
      </w:r>
      <w:r w:rsidR="00084C7C" w:rsidRPr="00F8362A">
        <w:rPr>
          <w:rFonts w:eastAsia="Calibri"/>
          <w:szCs w:val="18"/>
        </w:rPr>
        <w:t>Mgr. Jakubem Richterem, 1. zástupcem generálního ředitele</w:t>
      </w:r>
    </w:p>
    <w:p w14:paraId="5E220239" w14:textId="6153734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IČO: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03630919</w:t>
      </w:r>
      <w:r w:rsidRPr="00F8362A">
        <w:rPr>
          <w:rFonts w:eastAsia="Calibri"/>
          <w:szCs w:val="18"/>
        </w:rPr>
        <w:tab/>
      </w:r>
    </w:p>
    <w:p w14:paraId="59BC32ED" w14:textId="59795E2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DIČ: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CZ03630919</w:t>
      </w:r>
      <w:r w:rsidRPr="00F8362A">
        <w:rPr>
          <w:rFonts w:eastAsia="Calibri"/>
          <w:szCs w:val="18"/>
        </w:rPr>
        <w:tab/>
      </w:r>
    </w:p>
    <w:p w14:paraId="23FA8F5B" w14:textId="201DDA55"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ID datové schránky: </w:t>
      </w:r>
      <w:r w:rsidR="0086220F" w:rsidRPr="00F8362A">
        <w:rPr>
          <w:rFonts w:eastAsia="Calibri"/>
          <w:szCs w:val="18"/>
        </w:rPr>
        <w:tab/>
      </w:r>
      <w:r w:rsidRPr="00F8362A">
        <w:rPr>
          <w:rFonts w:eastAsia="Calibri"/>
          <w:szCs w:val="18"/>
        </w:rPr>
        <w:t>ag5uunk</w:t>
      </w:r>
    </w:p>
    <w:p w14:paraId="5E5A670E" w14:textId="344DB264" w:rsidR="005C3D5B" w:rsidRPr="00F8362A" w:rsidRDefault="005F1D9A" w:rsidP="0086220F">
      <w:pPr>
        <w:tabs>
          <w:tab w:val="left" w:pos="709"/>
        </w:tabs>
        <w:spacing w:after="0" w:line="360" w:lineRule="auto"/>
        <w:ind w:right="-142"/>
        <w:rPr>
          <w:rFonts w:eastAsia="Calibri"/>
          <w:szCs w:val="18"/>
        </w:rPr>
      </w:pPr>
      <w:r w:rsidRPr="00F8362A">
        <w:rPr>
          <w:rFonts w:eastAsia="Calibri"/>
          <w:szCs w:val="18"/>
        </w:rPr>
        <w:t>b</w:t>
      </w:r>
      <w:r w:rsidR="005C3D5B" w:rsidRPr="00F8362A">
        <w:rPr>
          <w:rFonts w:eastAsia="Calibri"/>
          <w:szCs w:val="18"/>
        </w:rPr>
        <w:t xml:space="preserve">ankovní spojení: </w:t>
      </w:r>
      <w:r w:rsidR="0086220F" w:rsidRPr="00F8362A">
        <w:rPr>
          <w:rFonts w:eastAsia="Calibri"/>
          <w:szCs w:val="18"/>
        </w:rPr>
        <w:tab/>
      </w:r>
      <w:r w:rsidR="005C3D5B" w:rsidRPr="00F8362A">
        <w:rPr>
          <w:rFonts w:eastAsia="Calibri"/>
          <w:szCs w:val="18"/>
        </w:rPr>
        <w:t>Česká spořitelna, a. s.</w:t>
      </w:r>
    </w:p>
    <w:p w14:paraId="4D306B7D" w14:textId="7649671B" w:rsidR="002266B9" w:rsidRPr="00F8362A" w:rsidRDefault="005F1D9A" w:rsidP="0086220F">
      <w:pPr>
        <w:tabs>
          <w:tab w:val="left" w:pos="709"/>
        </w:tabs>
        <w:spacing w:after="0" w:line="360" w:lineRule="auto"/>
        <w:ind w:right="-142"/>
        <w:rPr>
          <w:rFonts w:eastAsia="Calibri"/>
          <w:szCs w:val="18"/>
        </w:rPr>
      </w:pPr>
      <w:r w:rsidRPr="00F8362A">
        <w:rPr>
          <w:rFonts w:eastAsia="Calibri"/>
          <w:szCs w:val="18"/>
        </w:rPr>
        <w:t>č</w:t>
      </w:r>
      <w:r w:rsidR="005C3D5B" w:rsidRPr="00F8362A">
        <w:rPr>
          <w:rFonts w:eastAsia="Calibri"/>
          <w:szCs w:val="18"/>
        </w:rPr>
        <w:t xml:space="preserve">íslo účtu: </w:t>
      </w:r>
      <w:r w:rsidR="0086220F" w:rsidRPr="00F8362A">
        <w:rPr>
          <w:rFonts w:eastAsia="Calibri"/>
          <w:szCs w:val="18"/>
        </w:rPr>
        <w:tab/>
      </w:r>
      <w:r w:rsidR="0086220F" w:rsidRPr="00F8362A">
        <w:rPr>
          <w:rFonts w:eastAsia="Calibri"/>
          <w:szCs w:val="18"/>
        </w:rPr>
        <w:tab/>
      </w:r>
      <w:r w:rsidR="005C3D5B" w:rsidRPr="00F8362A">
        <w:rPr>
          <w:rFonts w:eastAsia="Calibri"/>
          <w:szCs w:val="18"/>
        </w:rPr>
        <w:t>6303942/0800</w:t>
      </w:r>
      <w:r w:rsidR="000538AA" w:rsidRPr="00F8362A">
        <w:rPr>
          <w:rFonts w:eastAsia="Calibri"/>
          <w:szCs w:val="18"/>
        </w:rPr>
        <w:tab/>
      </w:r>
    </w:p>
    <w:p w14:paraId="1B5C80F5" w14:textId="77777777" w:rsidR="0086220F" w:rsidRPr="00F8362A" w:rsidRDefault="0086220F" w:rsidP="0086220F">
      <w:pPr>
        <w:tabs>
          <w:tab w:val="left" w:pos="709"/>
        </w:tabs>
        <w:spacing w:after="0" w:line="360" w:lineRule="auto"/>
        <w:ind w:right="-142"/>
        <w:rPr>
          <w:rFonts w:eastAsia="Calibri"/>
          <w:szCs w:val="18"/>
        </w:rPr>
      </w:pPr>
    </w:p>
    <w:p w14:paraId="5598675C" w14:textId="5B912D6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(dále jen </w:t>
      </w:r>
      <w:r w:rsidR="00966117">
        <w:rPr>
          <w:rFonts w:eastAsia="Calibri"/>
          <w:szCs w:val="18"/>
        </w:rPr>
        <w:t>„</w:t>
      </w:r>
      <w:r w:rsidR="00CF575E" w:rsidRPr="001A3AF1">
        <w:rPr>
          <w:rFonts w:eastAsia="Calibri"/>
          <w:b/>
          <w:bCs/>
          <w:szCs w:val="18"/>
        </w:rPr>
        <w:t>Objednatel</w:t>
      </w:r>
      <w:r w:rsidR="00CF575E">
        <w:rPr>
          <w:rFonts w:eastAsia="Calibri"/>
          <w:szCs w:val="18"/>
        </w:rPr>
        <w:t>“</w:t>
      </w:r>
      <w:r w:rsidRPr="00F8362A">
        <w:rPr>
          <w:rFonts w:eastAsia="Calibri"/>
          <w:szCs w:val="18"/>
        </w:rPr>
        <w:t>)</w:t>
      </w:r>
    </w:p>
    <w:p w14:paraId="2825C064" w14:textId="77777777" w:rsidR="0086220F" w:rsidRPr="00F8362A" w:rsidRDefault="0086220F" w:rsidP="006A16EE">
      <w:pPr>
        <w:spacing w:after="0" w:line="360" w:lineRule="auto"/>
        <w:rPr>
          <w:bCs/>
          <w:szCs w:val="18"/>
        </w:rPr>
      </w:pPr>
    </w:p>
    <w:p w14:paraId="52C2232A" w14:textId="1903216B" w:rsidR="005C3D5B" w:rsidRPr="00F8362A" w:rsidRDefault="000538AA" w:rsidP="006A16EE">
      <w:pPr>
        <w:spacing w:after="0" w:line="360" w:lineRule="auto"/>
        <w:rPr>
          <w:bCs/>
          <w:szCs w:val="18"/>
        </w:rPr>
      </w:pPr>
      <w:r w:rsidRPr="00F8362A">
        <w:rPr>
          <w:bCs/>
          <w:szCs w:val="18"/>
        </w:rPr>
        <w:t>a</w:t>
      </w:r>
    </w:p>
    <w:p w14:paraId="7CCBEDED" w14:textId="77777777" w:rsidR="000538AA" w:rsidRPr="00F8362A" w:rsidRDefault="000538AA" w:rsidP="006A16EE">
      <w:pPr>
        <w:spacing w:after="0" w:line="360" w:lineRule="auto"/>
        <w:rPr>
          <w:bCs/>
          <w:szCs w:val="18"/>
        </w:rPr>
      </w:pPr>
    </w:p>
    <w:p w14:paraId="36739DFA" w14:textId="21E945FC" w:rsidR="00880EBE" w:rsidRPr="00F8362A" w:rsidRDefault="00880EBE" w:rsidP="006A16EE">
      <w:pPr>
        <w:tabs>
          <w:tab w:val="left" w:pos="709"/>
          <w:tab w:val="left" w:pos="1388"/>
          <w:tab w:val="left" w:pos="2060"/>
        </w:tabs>
        <w:spacing w:after="0" w:line="360" w:lineRule="auto"/>
        <w:ind w:right="-142"/>
        <w:outlineLvl w:val="0"/>
        <w:rPr>
          <w:szCs w:val="18"/>
        </w:rPr>
      </w:pP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0C80437C" w14:textId="2D58040A" w:rsidR="00880EBE" w:rsidRPr="00F8362A" w:rsidRDefault="00880EBE" w:rsidP="006A16EE">
      <w:pPr>
        <w:spacing w:after="0" w:line="360" w:lineRule="auto"/>
        <w:rPr>
          <w:szCs w:val="18"/>
        </w:rPr>
      </w:pPr>
      <w:r w:rsidRPr="00F8362A">
        <w:rPr>
          <w:szCs w:val="18"/>
        </w:rPr>
        <w:t>se sídlem:</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2FA9A059" w14:textId="68B13C49" w:rsidR="00880EBE" w:rsidRPr="00F8362A" w:rsidRDefault="00880EBE" w:rsidP="0086220F">
      <w:pPr>
        <w:tabs>
          <w:tab w:val="left" w:pos="709"/>
        </w:tabs>
        <w:spacing w:after="0" w:line="360" w:lineRule="auto"/>
        <w:ind w:right="-142"/>
        <w:rPr>
          <w:rFonts w:eastAsia="Calibri"/>
          <w:szCs w:val="18"/>
        </w:rPr>
      </w:pPr>
      <w:r w:rsidRPr="00F8362A">
        <w:rPr>
          <w:rFonts w:eastAsia="Calibri"/>
          <w:szCs w:val="18"/>
        </w:rPr>
        <w:t xml:space="preserve">zápis v obchodním rejstříku vedeném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r w:rsidRPr="00F8362A">
        <w:rPr>
          <w:rFonts w:cs="Arial"/>
          <w:szCs w:val="18"/>
        </w:rPr>
        <w:t xml:space="preserve"> </w:t>
      </w:r>
      <w:r w:rsidRPr="00F8362A">
        <w:rPr>
          <w:rFonts w:eastAsia="Calibri"/>
          <w:szCs w:val="18"/>
        </w:rPr>
        <w:t xml:space="preserve">pod </w:t>
      </w:r>
      <w:proofErr w:type="spellStart"/>
      <w:r w:rsidRPr="00F8362A">
        <w:rPr>
          <w:rFonts w:eastAsia="Calibri"/>
          <w:szCs w:val="18"/>
        </w:rPr>
        <w:t>sp</w:t>
      </w:r>
      <w:proofErr w:type="spellEnd"/>
      <w:r w:rsidRPr="00F8362A">
        <w:rPr>
          <w:rFonts w:eastAsia="Calibri"/>
          <w:szCs w:val="18"/>
        </w:rPr>
        <w:t xml:space="preserve">. zn.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97947EE" w14:textId="2B34CE65" w:rsidR="00880EBE" w:rsidRPr="00F8362A" w:rsidRDefault="00880EBE" w:rsidP="006A16EE">
      <w:pPr>
        <w:spacing w:after="0" w:line="360" w:lineRule="auto"/>
        <w:rPr>
          <w:szCs w:val="18"/>
        </w:rPr>
      </w:pPr>
      <w:r w:rsidRPr="00F8362A">
        <w:rPr>
          <w:szCs w:val="18"/>
        </w:rPr>
        <w:t xml:space="preserve">zastoupen/a: </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CC947E1" w14:textId="29A7B174" w:rsidR="00880EBE" w:rsidRPr="00F8362A" w:rsidRDefault="00880EBE" w:rsidP="0086220F">
      <w:pPr>
        <w:spacing w:after="0" w:line="360" w:lineRule="auto"/>
        <w:rPr>
          <w:szCs w:val="18"/>
        </w:rPr>
      </w:pPr>
      <w:r w:rsidRPr="00F8362A">
        <w:rPr>
          <w:szCs w:val="18"/>
        </w:rPr>
        <w:t xml:space="preserve">IČO: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30D77B73" w14:textId="449C74C6" w:rsidR="00880EBE" w:rsidRPr="00F8362A" w:rsidRDefault="00880EBE" w:rsidP="0086220F">
      <w:pPr>
        <w:spacing w:after="0" w:line="360" w:lineRule="auto"/>
        <w:rPr>
          <w:rFonts w:cs="Arial"/>
          <w:szCs w:val="18"/>
        </w:rPr>
      </w:pPr>
      <w:r w:rsidRPr="00F8362A">
        <w:rPr>
          <w:szCs w:val="18"/>
        </w:rPr>
        <w:t xml:space="preserve">DIČ: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5A7B627" w14:textId="083BC497" w:rsidR="00880EBE" w:rsidRPr="00F8362A" w:rsidRDefault="00880EBE" w:rsidP="00D826A4">
      <w:pPr>
        <w:spacing w:after="0" w:line="360" w:lineRule="auto"/>
        <w:rPr>
          <w:szCs w:val="18"/>
        </w:rPr>
      </w:pPr>
      <w:r w:rsidRPr="00F8362A">
        <w:rPr>
          <w:rFonts w:eastAsia="Calibri"/>
          <w:szCs w:val="18"/>
        </w:rPr>
        <w:t xml:space="preserve">ID datové schránky: </w:t>
      </w:r>
      <w:r w:rsidR="00D826A4" w:rsidRPr="00F8362A">
        <w:rPr>
          <w:rFonts w:eastAsia="Calibri"/>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E03EC08" w14:textId="77F194D7" w:rsidR="00880EBE" w:rsidRPr="00F8362A" w:rsidRDefault="005F1D9A" w:rsidP="00D826A4">
      <w:pPr>
        <w:spacing w:after="0" w:line="360" w:lineRule="auto"/>
        <w:rPr>
          <w:szCs w:val="18"/>
        </w:rPr>
      </w:pPr>
      <w:r w:rsidRPr="00F8362A">
        <w:rPr>
          <w:szCs w:val="18"/>
        </w:rPr>
        <w:t>b</w:t>
      </w:r>
      <w:r w:rsidR="00880EBE" w:rsidRPr="00F8362A">
        <w:rPr>
          <w:szCs w:val="18"/>
        </w:rPr>
        <w:t>ankovní spojení</w:t>
      </w:r>
      <w:r w:rsidR="00880EBE" w:rsidRPr="00EB1BDB">
        <w:rPr>
          <w:szCs w:val="18"/>
        </w:rPr>
        <w:t>:</w:t>
      </w:r>
      <w:r w:rsidR="00880EBE" w:rsidRPr="00EB1BDB">
        <w:rPr>
          <w:rFonts w:cs="Arial"/>
          <w:szCs w:val="18"/>
        </w:rPr>
        <w:t xml:space="preserve"> </w:t>
      </w:r>
      <w:r w:rsidR="00D826A4" w:rsidRPr="00EB1BDB">
        <w:rPr>
          <w:rFonts w:cs="Arial"/>
          <w:szCs w:val="18"/>
        </w:rPr>
        <w:tab/>
      </w:r>
      <w:r w:rsidR="00880EBE" w:rsidRPr="00F8362A">
        <w:rPr>
          <w:rFonts w:cs="Arial"/>
          <w:szCs w:val="18"/>
          <w:highlight w:val="yellow"/>
        </w:rPr>
        <w:t xml:space="preserve">[doplní </w:t>
      </w:r>
      <w:r w:rsidR="0009486B" w:rsidRPr="00F8362A">
        <w:rPr>
          <w:rFonts w:cs="Arial"/>
          <w:szCs w:val="18"/>
          <w:highlight w:val="yellow"/>
        </w:rPr>
        <w:t>dodavatel</w:t>
      </w:r>
      <w:r w:rsidR="00880EBE" w:rsidRPr="00F8362A">
        <w:rPr>
          <w:rFonts w:cs="Arial"/>
          <w:szCs w:val="18"/>
          <w:highlight w:val="yellow"/>
        </w:rPr>
        <w:t>]</w:t>
      </w:r>
    </w:p>
    <w:p w14:paraId="1782BE09" w14:textId="24796C6E" w:rsidR="00880EBE" w:rsidRPr="00F8362A" w:rsidRDefault="005F1D9A" w:rsidP="00D826A4">
      <w:pPr>
        <w:spacing w:after="0" w:line="360" w:lineRule="auto"/>
        <w:rPr>
          <w:szCs w:val="18"/>
        </w:rPr>
      </w:pPr>
      <w:r w:rsidRPr="00F8362A">
        <w:rPr>
          <w:szCs w:val="18"/>
        </w:rPr>
        <w:t>č</w:t>
      </w:r>
      <w:r w:rsidR="00880EBE" w:rsidRPr="00F8362A">
        <w:rPr>
          <w:szCs w:val="18"/>
        </w:rPr>
        <w:t xml:space="preserve">íslo účtu: </w:t>
      </w:r>
      <w:r w:rsidR="00D826A4" w:rsidRPr="00F8362A">
        <w:rPr>
          <w:szCs w:val="18"/>
        </w:rPr>
        <w:tab/>
      </w:r>
      <w:r w:rsidR="00D826A4" w:rsidRPr="00F8362A">
        <w:rPr>
          <w:szCs w:val="18"/>
        </w:rPr>
        <w:tab/>
      </w:r>
      <w:r w:rsidR="00880EBE" w:rsidRPr="00F8362A">
        <w:rPr>
          <w:szCs w:val="18"/>
        </w:rPr>
        <w:t>[</w:t>
      </w:r>
      <w:r w:rsidR="00880EBE" w:rsidRPr="00F8362A">
        <w:rPr>
          <w:szCs w:val="18"/>
          <w:highlight w:val="yellow"/>
        </w:rPr>
        <w:t xml:space="preserve">doplní </w:t>
      </w:r>
      <w:r w:rsidR="0009486B" w:rsidRPr="00F8362A">
        <w:rPr>
          <w:szCs w:val="18"/>
          <w:highlight w:val="yellow"/>
        </w:rPr>
        <w:t>dodavatel</w:t>
      </w:r>
      <w:r w:rsidR="00880EBE" w:rsidRPr="00F8362A">
        <w:rPr>
          <w:szCs w:val="18"/>
        </w:rPr>
        <w:t>]</w:t>
      </w:r>
    </w:p>
    <w:p w14:paraId="3834E247" w14:textId="77777777" w:rsidR="00D826A4" w:rsidRPr="00F8362A" w:rsidRDefault="00D826A4" w:rsidP="00D826A4">
      <w:pPr>
        <w:spacing w:after="0" w:line="360" w:lineRule="auto"/>
      </w:pPr>
    </w:p>
    <w:p w14:paraId="0DC10B8E" w14:textId="40F2A872" w:rsidR="00880EBE" w:rsidRPr="00F8362A" w:rsidRDefault="00880EBE" w:rsidP="00D826A4">
      <w:pPr>
        <w:spacing w:after="0" w:line="360" w:lineRule="auto"/>
      </w:pPr>
      <w:r w:rsidRPr="00F8362A">
        <w:t>(dále jen „</w:t>
      </w:r>
      <w:r w:rsidRPr="0014538E">
        <w:rPr>
          <w:b/>
        </w:rPr>
        <w:t>Poskytovatel</w:t>
      </w:r>
      <w:r w:rsidRPr="00F8362A">
        <w:t>“)</w:t>
      </w:r>
    </w:p>
    <w:p w14:paraId="0A5C9257" w14:textId="31826C37" w:rsidR="004244BC" w:rsidRPr="00F8362A" w:rsidRDefault="004244BC" w:rsidP="00880EBE">
      <w:pPr>
        <w:spacing w:after="0" w:line="360" w:lineRule="auto"/>
        <w:jc w:val="center"/>
      </w:pPr>
      <w:r w:rsidRPr="00F8362A">
        <w:t>(</w:t>
      </w:r>
      <w:r w:rsidR="006D55CE" w:rsidRPr="00F8362A">
        <w:t>O</w:t>
      </w:r>
      <w:r w:rsidR="002D5574" w:rsidRPr="00F8362A">
        <w:t>bjed</w:t>
      </w:r>
      <w:r w:rsidRPr="00F8362A">
        <w:t xml:space="preserve">natel a </w:t>
      </w:r>
      <w:r w:rsidR="006D55CE" w:rsidRPr="00F8362A">
        <w:t>P</w:t>
      </w:r>
      <w:r w:rsidR="00E91D88" w:rsidRPr="00F8362A">
        <w:t>o</w:t>
      </w:r>
      <w:r w:rsidR="00E75177" w:rsidRPr="00F8362A">
        <w:t>skyt</w:t>
      </w:r>
      <w:r w:rsidR="00ED5813" w:rsidRPr="00F8362A">
        <w:t>ovatel</w:t>
      </w:r>
      <w:r w:rsidRPr="00F8362A">
        <w:t xml:space="preserve"> dále jednotlivě též jen „</w:t>
      </w:r>
      <w:r w:rsidR="004A30F7" w:rsidRPr="0014538E">
        <w:rPr>
          <w:b/>
        </w:rPr>
        <w:t>S</w:t>
      </w:r>
      <w:r w:rsidRPr="0014538E">
        <w:rPr>
          <w:b/>
        </w:rPr>
        <w:t>mluvní strana</w:t>
      </w:r>
      <w:r w:rsidRPr="00F8362A">
        <w:t>“ nebo společně „</w:t>
      </w:r>
      <w:r w:rsidR="004A30F7" w:rsidRPr="0014538E">
        <w:rPr>
          <w:b/>
        </w:rPr>
        <w:t>S</w:t>
      </w:r>
      <w:r w:rsidRPr="0014538E">
        <w:rPr>
          <w:b/>
        </w:rPr>
        <w:t>mluvní strany</w:t>
      </w:r>
      <w:r w:rsidRPr="00F8362A">
        <w:t>“)</w:t>
      </w:r>
    </w:p>
    <w:p w14:paraId="2C8EB236" w14:textId="53C1CDB1" w:rsidR="004244BC" w:rsidRPr="00F8362A" w:rsidRDefault="004244BC" w:rsidP="005C3D5B">
      <w:pPr>
        <w:spacing w:after="0" w:line="360" w:lineRule="auto"/>
        <w:jc w:val="center"/>
      </w:pPr>
      <w:r w:rsidRPr="00F8362A">
        <w:t xml:space="preserve">uzavírají v souladu s </w:t>
      </w:r>
      <w:r w:rsidR="00ED5813" w:rsidRPr="00F8362A">
        <w:t xml:space="preserve">§ </w:t>
      </w:r>
      <w:r w:rsidR="00185273">
        <w:t>2079 a násl.</w:t>
      </w:r>
      <w:r w:rsidR="00ED5813" w:rsidRPr="00F8362A">
        <w:t xml:space="preserve"> zákona č. </w:t>
      </w:r>
      <w:r w:rsidR="005F6192" w:rsidRPr="00F8362A">
        <w:t>89/2012 Sb., občanský zákoník, ve znění pozdějších předpisů (dále jen „</w:t>
      </w:r>
      <w:r w:rsidR="00D11797" w:rsidRPr="0014538E">
        <w:rPr>
          <w:b/>
        </w:rPr>
        <w:t>O</w:t>
      </w:r>
      <w:r w:rsidR="005F6192" w:rsidRPr="0014538E">
        <w:rPr>
          <w:b/>
        </w:rPr>
        <w:t>bčanský zákoník</w:t>
      </w:r>
      <w:r w:rsidR="005F6192" w:rsidRPr="00F8362A">
        <w:t>“)</w:t>
      </w:r>
      <w:r w:rsidR="00D11797" w:rsidRPr="00F8362A">
        <w:t xml:space="preserve"> </w:t>
      </w:r>
      <w:r w:rsidR="00FF56A7" w:rsidRPr="00F8362A">
        <w:t>tuto</w:t>
      </w:r>
    </w:p>
    <w:p w14:paraId="72F38DE5" w14:textId="77777777" w:rsidR="007A4749" w:rsidRPr="00F8362A" w:rsidRDefault="007A4749" w:rsidP="005C3D5B">
      <w:pPr>
        <w:spacing w:after="0" w:line="360" w:lineRule="auto"/>
        <w:jc w:val="center"/>
      </w:pPr>
    </w:p>
    <w:p w14:paraId="79577CCF" w14:textId="2E32094F" w:rsidR="00ED5813" w:rsidRPr="00F8362A" w:rsidRDefault="00303ABF" w:rsidP="007A4749">
      <w:pPr>
        <w:spacing w:after="0" w:line="360" w:lineRule="auto"/>
        <w:jc w:val="center"/>
      </w:pPr>
      <w:r w:rsidRPr="00F8362A">
        <w:t xml:space="preserve">Smlouvu </w:t>
      </w:r>
      <w:r w:rsidR="007A4749" w:rsidRPr="00F8362A">
        <w:t xml:space="preserve">na zajištění </w:t>
      </w:r>
      <w:r w:rsidR="00BD6138">
        <w:t>rozšíření clusterů</w:t>
      </w:r>
    </w:p>
    <w:p w14:paraId="2C5BFE12" w14:textId="45CBEBCD" w:rsidR="002A590A" w:rsidRPr="00F8362A" w:rsidRDefault="00053368" w:rsidP="005C3D5B">
      <w:pPr>
        <w:spacing w:after="0" w:line="360" w:lineRule="auto"/>
        <w:jc w:val="center"/>
      </w:pPr>
      <w:r w:rsidRPr="00F8362A">
        <w:t>(dále jen „</w:t>
      </w:r>
      <w:r w:rsidR="00D11797" w:rsidRPr="0014538E">
        <w:rPr>
          <w:b/>
        </w:rPr>
        <w:t>S</w:t>
      </w:r>
      <w:r w:rsidR="004244BC" w:rsidRPr="0014538E">
        <w:rPr>
          <w:b/>
        </w:rPr>
        <w:t>mlouva</w:t>
      </w:r>
      <w:r w:rsidR="004244BC" w:rsidRPr="00F8362A">
        <w:t>“)</w:t>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5DCC2CAD" w14:textId="3C634CA4" w:rsidR="00C06852" w:rsidRDefault="00C171BF" w:rsidP="00C06852">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w:t>
      </w:r>
      <w:r>
        <w:rPr>
          <w:rStyle w:val="TMNormlnModrChar"/>
          <w:rFonts w:ascii="Verdana" w:hAnsi="Verdana" w:cs="Arial"/>
          <w:color w:val="auto"/>
        </w:rPr>
        <w:t xml:space="preserve">nadlimitní </w:t>
      </w:r>
      <w:r w:rsidRPr="008B2AA9">
        <w:rPr>
          <w:rStyle w:val="TMNormlnModrChar"/>
          <w:rFonts w:ascii="Verdana" w:hAnsi="Verdana" w:cs="Arial"/>
          <w:color w:val="auto"/>
        </w:rPr>
        <w:t xml:space="preserve">veřejné zakázky </w:t>
      </w:r>
      <w:r w:rsidR="0009676A" w:rsidRPr="00A061D6">
        <w:rPr>
          <w:rStyle w:val="TMNormlnModrChar"/>
          <w:rFonts w:ascii="Verdana" w:hAnsi="Verdana" w:cs="Arial"/>
          <w:color w:val="auto"/>
        </w:rPr>
        <w:t>s</w:t>
      </w:r>
      <w:r w:rsidR="0009676A">
        <w:rPr>
          <w:rStyle w:val="TMNormlnModrChar"/>
          <w:rFonts w:ascii="Verdana" w:hAnsi="Verdana" w:cs="Arial"/>
          <w:color w:val="auto"/>
        </w:rPr>
        <w:t xml:space="preserve"> číslem VZ2025108 a </w:t>
      </w:r>
      <w:r w:rsidR="0009676A" w:rsidRPr="00A061D6">
        <w:rPr>
          <w:rStyle w:val="TMNormlnModrChar"/>
          <w:rFonts w:ascii="Verdana" w:hAnsi="Verdana" w:cs="Arial"/>
          <w:color w:val="auto"/>
        </w:rPr>
        <w:t>názve</w:t>
      </w:r>
      <w:r w:rsidR="0009676A" w:rsidRPr="00073820">
        <w:rPr>
          <w:rStyle w:val="TMNormlnModrChar"/>
          <w:rFonts w:ascii="Verdana" w:hAnsi="Verdana" w:cs="Arial"/>
          <w:color w:val="auto"/>
        </w:rPr>
        <w:t>m „</w:t>
      </w:r>
      <w:r w:rsidR="0009676A">
        <w:rPr>
          <w:rStyle w:val="TMNormlnModrChar"/>
          <w:rFonts w:ascii="Verdana" w:hAnsi="Verdana" w:cs="Arial"/>
          <w:b/>
          <w:bCs/>
          <w:i/>
          <w:color w:val="auto"/>
        </w:rPr>
        <w:t>Modernizace</w:t>
      </w:r>
      <w:r w:rsidR="0009676A" w:rsidRPr="00073820">
        <w:rPr>
          <w:rStyle w:val="TMNormlnModrChar"/>
          <w:rFonts w:ascii="Verdana" w:hAnsi="Verdana" w:cs="Arial"/>
          <w:b/>
          <w:bCs/>
          <w:i/>
          <w:color w:val="auto"/>
        </w:rPr>
        <w:t xml:space="preserve"> </w:t>
      </w:r>
      <w:r w:rsidR="0009676A">
        <w:rPr>
          <w:rStyle w:val="TMNormlnModrChar"/>
          <w:rFonts w:ascii="Verdana" w:hAnsi="Verdana" w:cs="Arial"/>
          <w:b/>
          <w:bCs/>
          <w:i/>
          <w:color w:val="auto"/>
        </w:rPr>
        <w:t>virtualizačních SAN systémů SVC</w:t>
      </w:r>
      <w:r w:rsidR="0009676A" w:rsidRPr="00073820">
        <w:rPr>
          <w:rStyle w:val="TMNormlnModrChar"/>
          <w:rFonts w:ascii="Verdana" w:hAnsi="Verdana" w:cs="Arial"/>
          <w:b/>
          <w:bCs/>
          <w:color w:val="auto"/>
        </w:rPr>
        <w:t>“</w:t>
      </w:r>
      <w:r w:rsidR="0009676A" w:rsidRPr="00073820">
        <w:rPr>
          <w:rStyle w:val="TMNormlnModrChar"/>
          <w:rFonts w:ascii="Verdana" w:hAnsi="Verdana" w:cs="Arial"/>
          <w:color w:val="auto"/>
        </w:rPr>
        <w:t xml:space="preserve"> </w:t>
      </w:r>
      <w:r w:rsidR="00626289" w:rsidRPr="008B2AA9">
        <w:rPr>
          <w:rStyle w:val="TMNormlnModrChar"/>
          <w:rFonts w:ascii="Verdana" w:hAnsi="Verdana" w:cs="Arial"/>
          <w:color w:val="auto"/>
        </w:rPr>
        <w:t xml:space="preserve">(dále </w:t>
      </w:r>
      <w:r w:rsidR="00626289" w:rsidRPr="00C133C7">
        <w:rPr>
          <w:rStyle w:val="TMNormlnModrChar"/>
          <w:rFonts w:ascii="Verdana" w:hAnsi="Verdana" w:cs="Arial"/>
          <w:color w:val="auto"/>
        </w:rPr>
        <w:t>jen „</w:t>
      </w:r>
      <w:r w:rsidR="00626289" w:rsidRPr="0096207C">
        <w:rPr>
          <w:rStyle w:val="TMNormlnModrChar"/>
          <w:rFonts w:ascii="Verdana" w:hAnsi="Verdana" w:cs="Arial"/>
          <w:b/>
          <w:color w:val="auto"/>
        </w:rPr>
        <w:t>Veřejná zakázka</w:t>
      </w:r>
      <w:r w:rsidR="00626289" w:rsidRPr="00C133C7">
        <w:rPr>
          <w:rStyle w:val="TMNormlnModrChar"/>
          <w:rFonts w:ascii="Verdana" w:hAnsi="Verdana" w:cs="Arial"/>
          <w:color w:val="auto"/>
        </w:rPr>
        <w:t xml:space="preserve">“), zadávanou Objednatelem jako zadavatelem </w:t>
      </w:r>
      <w:r w:rsidR="00C06852" w:rsidRPr="008B2AA9">
        <w:rPr>
          <w:rStyle w:val="TMNormlnModrChar"/>
          <w:rFonts w:ascii="Verdana" w:hAnsi="Verdana" w:cs="Arial"/>
          <w:color w:val="auto"/>
        </w:rPr>
        <w:t>ve smyslu zák. č. 134/2016 Sb., o zadávání veřejných zakázek</w:t>
      </w:r>
      <w:r w:rsidR="00C06852">
        <w:rPr>
          <w:rStyle w:val="TMNormlnModrChar"/>
          <w:rFonts w:ascii="Verdana" w:hAnsi="Verdana" w:cs="Arial"/>
          <w:color w:val="auto"/>
        </w:rPr>
        <w:t>, ve znění pozdějších předpisů</w:t>
      </w:r>
      <w:r w:rsidR="00C06852" w:rsidRPr="008B2AA9">
        <w:rPr>
          <w:rStyle w:val="TMNormlnModrChar"/>
          <w:rFonts w:ascii="Verdana" w:hAnsi="Verdana" w:cs="Arial"/>
          <w:color w:val="auto"/>
        </w:rPr>
        <w:t xml:space="preserve"> (dále jen „</w:t>
      </w:r>
      <w:r w:rsidR="00C06852" w:rsidRPr="006063E1">
        <w:rPr>
          <w:rStyle w:val="TMNormlnModrChar"/>
          <w:rFonts w:ascii="Verdana" w:hAnsi="Verdana" w:cs="Arial"/>
          <w:b/>
          <w:iCs/>
          <w:color w:val="auto"/>
        </w:rPr>
        <w:t>ZZVZ</w:t>
      </w:r>
      <w:r w:rsidR="00C06852" w:rsidRPr="008B2AA9">
        <w:rPr>
          <w:rStyle w:val="TMNormlnModrChar"/>
          <w:rFonts w:ascii="Verdana" w:hAnsi="Verdana" w:cs="Arial"/>
          <w:color w:val="auto"/>
        </w:rPr>
        <w:t>“) (to vše dále jen „</w:t>
      </w:r>
      <w:r w:rsidR="00C06852" w:rsidRPr="006063E1">
        <w:rPr>
          <w:rStyle w:val="TMNormlnModrChar"/>
          <w:rFonts w:ascii="Verdana" w:hAnsi="Verdana" w:cs="Arial"/>
          <w:b/>
          <w:iCs/>
          <w:color w:val="auto"/>
        </w:rPr>
        <w:t>Zadávací řízení</w:t>
      </w:r>
      <w:r w:rsidR="00C06852" w:rsidRPr="008B2AA9">
        <w:rPr>
          <w:rStyle w:val="TMNormlnModrChar"/>
          <w:rFonts w:ascii="Verdana" w:hAnsi="Verdana" w:cs="Arial"/>
          <w:color w:val="auto"/>
        </w:rPr>
        <w:t>“)</w:t>
      </w:r>
      <w:r w:rsidR="00C06852">
        <w:rPr>
          <w:rStyle w:val="TMNormlnModrChar"/>
          <w:rFonts w:ascii="Verdana" w:hAnsi="Verdana" w:cs="Arial"/>
          <w:color w:val="auto"/>
        </w:rPr>
        <w:t xml:space="preserve"> dle ust. § 56 ZZVZ</w:t>
      </w:r>
      <w:r w:rsidR="00C06852" w:rsidRPr="008B2AA9">
        <w:rPr>
          <w:rStyle w:val="TMNormlnModrChar"/>
          <w:rFonts w:ascii="Verdana" w:hAnsi="Verdana" w:cs="Arial"/>
          <w:color w:val="auto"/>
        </w:rPr>
        <w:t xml:space="preserve">, neboť nabídka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 xml:space="preserve">e podaná v rámci Zadávacího řízení byla </w:t>
      </w:r>
      <w:r w:rsidR="00C06852">
        <w:rPr>
          <w:rStyle w:val="TMNormlnModrChar"/>
          <w:rFonts w:ascii="Verdana" w:hAnsi="Verdana" w:cs="Arial"/>
          <w:color w:val="auto"/>
        </w:rPr>
        <w:t>Objednatelem</w:t>
      </w:r>
      <w:r w:rsidR="00C06852" w:rsidRPr="008B2AA9">
        <w:rPr>
          <w:rStyle w:val="TMNormlnModrChar"/>
          <w:rFonts w:ascii="Verdana" w:hAnsi="Verdana" w:cs="Arial"/>
          <w:color w:val="auto"/>
        </w:rPr>
        <w:t xml:space="preserve"> vyhodnocena </w:t>
      </w:r>
      <w:r w:rsidR="00C06852" w:rsidRPr="00892EA8">
        <w:rPr>
          <w:rStyle w:val="TMNormlnModrChar"/>
          <w:rFonts w:ascii="Verdana" w:hAnsi="Verdana" w:cs="Arial"/>
          <w:color w:val="auto"/>
        </w:rPr>
        <w:t>jako ekonomicky nejvýhodnější. Pokud</w:t>
      </w:r>
      <w:r w:rsidR="00C06852" w:rsidRPr="008B2AA9">
        <w:rPr>
          <w:rStyle w:val="TMNormlnModrChar"/>
          <w:rFonts w:ascii="Verdana" w:hAnsi="Verdana" w:cs="Arial"/>
          <w:color w:val="auto"/>
        </w:rPr>
        <w:t xml:space="preserve"> se v této Smlouvě odkazuje na zadávací podmínky, zadávací dokumentaci či nabídku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e, míní se tím dokumenty související se Zadávacím řízením (dále jen „</w:t>
      </w:r>
      <w:r w:rsidR="00C06852" w:rsidRPr="006063E1">
        <w:rPr>
          <w:rStyle w:val="TMNormlnModrChar"/>
          <w:rFonts w:ascii="Verdana" w:hAnsi="Verdana" w:cs="Arial"/>
          <w:b/>
          <w:iCs/>
          <w:color w:val="auto"/>
        </w:rPr>
        <w:t>Dokumenty Zadávacího řízení</w:t>
      </w:r>
      <w:r w:rsidR="00C06852" w:rsidRPr="008B2AA9">
        <w:rPr>
          <w:rStyle w:val="TMNormlnModrChar"/>
          <w:rFonts w:ascii="Verdana" w:hAnsi="Verdana" w:cs="Arial"/>
          <w:color w:val="auto"/>
        </w:rPr>
        <w:t>“)</w:t>
      </w:r>
      <w:r w:rsidR="00C06852">
        <w:rPr>
          <w:rStyle w:val="TMNormlnModrChar"/>
          <w:rFonts w:ascii="Verdana" w:hAnsi="Verdana" w:cs="Arial"/>
          <w:color w:val="auto"/>
        </w:rPr>
        <w:t>.</w:t>
      </w:r>
    </w:p>
    <w:p w14:paraId="01CC5A34" w14:textId="16524338" w:rsidR="0030688E" w:rsidRPr="00C133C7" w:rsidRDefault="0030688E" w:rsidP="0030688E">
      <w:pPr>
        <w:pStyle w:val="Nadpis1"/>
        <w:tabs>
          <w:tab w:val="clear" w:pos="284"/>
        </w:tabs>
        <w:spacing w:before="480" w:after="240"/>
        <w:ind w:left="0" w:firstLine="0"/>
      </w:pPr>
      <w:r w:rsidRPr="00C133C7">
        <w:t>úvodní ustanovení</w:t>
      </w:r>
    </w:p>
    <w:p w14:paraId="17AD3BB0" w14:textId="77777777" w:rsidR="0030688E" w:rsidRPr="00B70748" w:rsidRDefault="0030688E" w:rsidP="00390DC1">
      <w:pPr>
        <w:pStyle w:val="Nadpis2"/>
        <w:ind w:left="709" w:hanging="709"/>
      </w:pPr>
      <w:r w:rsidRPr="00B70748">
        <w:t>Objednatel prohlašuje, že:</w:t>
      </w:r>
    </w:p>
    <w:p w14:paraId="6BD77B4A" w14:textId="77777777" w:rsidR="0030688E" w:rsidRPr="00B70748" w:rsidRDefault="0030688E" w:rsidP="00390DC1">
      <w:pPr>
        <w:pStyle w:val="Nadpis3"/>
        <w:ind w:left="1560" w:hanging="851"/>
      </w:pPr>
      <w:r w:rsidRPr="00B70748">
        <w:t>je státním podnikem existujícím podle českého právního řádu; a</w:t>
      </w:r>
    </w:p>
    <w:p w14:paraId="44A1AC7A" w14:textId="77777777" w:rsidR="0030688E" w:rsidRPr="00B70748" w:rsidRDefault="0030688E" w:rsidP="00390DC1">
      <w:pPr>
        <w:pStyle w:val="Nadpis3"/>
        <w:ind w:left="1560" w:hanging="851"/>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390DC1">
      <w:pPr>
        <w:pStyle w:val="Nadpis2"/>
        <w:ind w:left="709" w:hanging="709"/>
      </w:pPr>
      <w:r w:rsidRPr="00B70748">
        <w:t>Poskytovatel prohlašuje, že:</w:t>
      </w:r>
    </w:p>
    <w:p w14:paraId="2A067DCA" w14:textId="77777777" w:rsidR="0030688E" w:rsidRPr="00B70748" w:rsidRDefault="0030688E" w:rsidP="00390DC1">
      <w:pPr>
        <w:pStyle w:val="Nadpis3"/>
        <w:ind w:left="1560" w:hanging="851"/>
      </w:pPr>
      <w:r w:rsidRPr="00B70748">
        <w:t>je podnikatelem dle ust. § 420 a násl. Občanského zákoníku;</w:t>
      </w:r>
    </w:p>
    <w:p w14:paraId="2B978D9C" w14:textId="4F0DA3C6" w:rsidR="00F3365E" w:rsidRDefault="00F3365E" w:rsidP="00390DC1">
      <w:pPr>
        <w:pStyle w:val="Nadpis3"/>
        <w:ind w:left="1560" w:hanging="851"/>
      </w:pPr>
      <w:r>
        <w:t>splňuje veškeré podmínky a požadavky ve Smlouvě stanovené a je oprávněn Smlouvu uzavřít a řádně plnit závazky v ní obsažené</w:t>
      </w:r>
      <w:r w:rsidR="00BE4C2D">
        <w:t xml:space="preserve">, </w:t>
      </w:r>
      <w:r w:rsidR="00BE4C2D" w:rsidRPr="00325853">
        <w:t xml:space="preserve">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BE4C2D" w:rsidRPr="00325853">
        <w:t>computingu</w:t>
      </w:r>
      <w:proofErr w:type="spellEnd"/>
      <w:r w:rsidR="00BE4C2D" w:rsidRPr="00325853">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BE4C2D" w:rsidRPr="00325853">
        <w:rPr>
          <w:b/>
        </w:rPr>
        <w:t>Nařízení Komise pro digitály</w:t>
      </w:r>
      <w:r w:rsidR="00BE4C2D" w:rsidRPr="00325853">
        <w:t xml:space="preserve">“), </w:t>
      </w:r>
      <w:r w:rsidR="00BE4C2D" w:rsidRPr="00325853">
        <w:rPr>
          <w:rFonts w:cs="Arial"/>
        </w:rPr>
        <w:t xml:space="preserve">a který je vázán </w:t>
      </w:r>
      <w:r w:rsidR="00BE4C2D" w:rsidRPr="00325853">
        <w:t>vyhláškou č. 409/2025 Sb., o bezpečnostních opatřeních poskytovatele regulované služby v režimu vyšších povinností (dále jen „</w:t>
      </w:r>
      <w:r w:rsidR="00BE4C2D" w:rsidRPr="00325853">
        <w:rPr>
          <w:b/>
        </w:rPr>
        <w:t>VVP</w:t>
      </w:r>
      <w:r w:rsidR="00BE4C2D" w:rsidRPr="00325853">
        <w:t xml:space="preserve">“) a vyhlášky 412/2025 Sb., o bezpečnostních pravidlech pro orgány veřejné správy využívající služby poskytovatelů cloud </w:t>
      </w:r>
      <w:proofErr w:type="spellStart"/>
      <w:r w:rsidR="00BE4C2D" w:rsidRPr="00325853">
        <w:t>computingu</w:t>
      </w:r>
      <w:proofErr w:type="spellEnd"/>
      <w:r w:rsidR="00BE4C2D" w:rsidRPr="00325853">
        <w:t xml:space="preserve"> (dále jen „</w:t>
      </w:r>
      <w:r w:rsidR="00BE4C2D" w:rsidRPr="00325853">
        <w:rPr>
          <w:b/>
        </w:rPr>
        <w:t>VBP OVM</w:t>
      </w:r>
      <w:r w:rsidR="00BE4C2D" w:rsidRPr="00325853">
        <w:t>“), a to v souladu specifikované dále v této Smlouvě;</w:t>
      </w:r>
    </w:p>
    <w:p w14:paraId="24A0C0EF" w14:textId="77777777" w:rsidR="00F3365E" w:rsidRDefault="00F3365E" w:rsidP="00390DC1">
      <w:pPr>
        <w:pStyle w:val="Nadpis3"/>
        <w:ind w:left="1560" w:hanging="709"/>
      </w:pPr>
      <w:r>
        <w:t>se náležitě seznámil se všemi podklady, které byly součástí zadávací dokumentace Veřejné zakázky včetně všech jejích příloh, a které stanovují požadavky na plnění dle této Smlouvy;</w:t>
      </w:r>
    </w:p>
    <w:p w14:paraId="4616487F" w14:textId="77777777" w:rsidR="00F3365E" w:rsidRDefault="00F3365E" w:rsidP="000D711D">
      <w:pPr>
        <w:pStyle w:val="Nadpis3"/>
        <w:ind w:left="1560" w:hanging="709"/>
      </w:pPr>
      <w:r>
        <w:t>je odborně způsobilý ke splnění všech svých závazků podle Smlouvy;</w:t>
      </w:r>
    </w:p>
    <w:p w14:paraId="5FE80867" w14:textId="77777777" w:rsidR="00F3365E" w:rsidRDefault="00F3365E" w:rsidP="000D711D">
      <w:pPr>
        <w:pStyle w:val="Nadpis3"/>
        <w:ind w:left="1560" w:hanging="709"/>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3973035" w14:textId="77777777" w:rsidR="00F3365E" w:rsidRDefault="00F3365E" w:rsidP="000D711D">
      <w:pPr>
        <w:pStyle w:val="Nadpis3"/>
        <w:ind w:left="1560" w:hanging="709"/>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t>;</w:t>
      </w:r>
    </w:p>
    <w:p w14:paraId="3A214476" w14:textId="77777777" w:rsidR="00F3365E" w:rsidRDefault="00F3365E" w:rsidP="000D711D">
      <w:pPr>
        <w:pStyle w:val="Nadpis3"/>
        <w:keepNext/>
        <w:ind w:left="1560" w:hanging="709"/>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94C293A" w14:textId="77777777" w:rsidR="00F3365E" w:rsidRDefault="00F3365E" w:rsidP="000D711D">
      <w:pPr>
        <w:pStyle w:val="Nadpis3"/>
        <w:ind w:left="1560" w:hanging="709"/>
      </w:pPr>
      <w:r>
        <w:t>jím poskytované plnění odpovídá všem požadavkům vyplývajícím z platných právních předpisů, které se na plnění dle této Smlouvy vztahují a</w:t>
      </w:r>
    </w:p>
    <w:p w14:paraId="69D65F0C" w14:textId="59758D1A" w:rsidR="00F3365E" w:rsidRDefault="00F3365E" w:rsidP="000D711D">
      <w:pPr>
        <w:pStyle w:val="Nadpis3"/>
        <w:ind w:left="1560" w:hanging="709"/>
      </w:pPr>
      <w:r>
        <w:lastRenderedPageBreak/>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1935D3">
        <w:t> </w:t>
      </w:r>
      <w:r w:rsidRPr="00B86B51">
        <w:t>bezpečnosti a ochrany zdraví při práci</w:t>
      </w:r>
      <w:r>
        <w:t xml:space="preserve"> a právních předpisů týkajících se ochrany životního prostředí;</w:t>
      </w:r>
    </w:p>
    <w:p w14:paraId="60094C6A" w14:textId="77777777" w:rsidR="00F3365E" w:rsidRPr="00AB2CDF" w:rsidRDefault="00F3365E" w:rsidP="000D711D">
      <w:pPr>
        <w:pStyle w:val="Nadpis3"/>
        <w:ind w:left="1560" w:hanging="709"/>
      </w:pPr>
      <w:r w:rsidRPr="00AB2CDF">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5FC55E6A" w14:textId="77777777" w:rsidR="00F3365E" w:rsidRPr="00C27890" w:rsidRDefault="00F3365E" w:rsidP="00D977DD">
      <w:pPr>
        <w:pStyle w:val="Nadpis3"/>
        <w:numPr>
          <w:ilvl w:val="3"/>
          <w:numId w:val="2"/>
        </w:numPr>
        <w:ind w:left="2835" w:hanging="1275"/>
      </w:pPr>
      <w:r w:rsidRPr="00C27890">
        <w:t xml:space="preserve">nemá sídlo v Ruské federaci; </w:t>
      </w:r>
    </w:p>
    <w:p w14:paraId="31C3F588" w14:textId="77777777" w:rsidR="00F3365E" w:rsidRPr="00C27890" w:rsidRDefault="00F3365E" w:rsidP="00D977DD">
      <w:pPr>
        <w:pStyle w:val="Nadpis3"/>
        <w:numPr>
          <w:ilvl w:val="3"/>
          <w:numId w:val="2"/>
        </w:numPr>
        <w:ind w:left="2835" w:hanging="1275"/>
      </w:pPr>
      <w:r w:rsidRPr="00C27890">
        <w:t>není závislý na dodávkách z území Ruské federace;</w:t>
      </w:r>
    </w:p>
    <w:p w14:paraId="45AF20E5" w14:textId="4F178711" w:rsidR="00F3365E" w:rsidRPr="00C27890" w:rsidRDefault="00F3365E" w:rsidP="00D977DD">
      <w:pPr>
        <w:pStyle w:val="Nadpis3"/>
        <w:numPr>
          <w:ilvl w:val="3"/>
          <w:numId w:val="2"/>
        </w:numPr>
        <w:ind w:left="2835" w:hanging="1275"/>
      </w:pPr>
      <w:r w:rsidRPr="00C27890">
        <w:t xml:space="preserve">plnění dle </w:t>
      </w:r>
      <w:r w:rsidR="00EE5419">
        <w:t>Smlouvy</w:t>
      </w:r>
      <w:r w:rsidRPr="00C27890">
        <w:t xml:space="preserve"> nebude dodáváno prostřednictvím pobočky Poskytovatele v Ruské federaci;</w:t>
      </w:r>
    </w:p>
    <w:p w14:paraId="6A8DDDC3" w14:textId="54A565ED" w:rsidR="00F3365E" w:rsidRPr="00C27890" w:rsidRDefault="00F3365E" w:rsidP="00D977DD">
      <w:pPr>
        <w:pStyle w:val="Nadpis3"/>
        <w:numPr>
          <w:ilvl w:val="3"/>
          <w:numId w:val="2"/>
        </w:numPr>
        <w:ind w:left="2835" w:hanging="1275"/>
      </w:pPr>
      <w:r w:rsidRPr="00C27890">
        <w:t xml:space="preserve">plnění dle </w:t>
      </w:r>
      <w:r w:rsidR="00EE5419">
        <w:t>Smlouvy</w:t>
      </w:r>
      <w:r w:rsidRPr="00C27890">
        <w:t xml:space="preserve"> nemá svůj vývoj či výrobu lokalizovanou v Ruské federaci;</w:t>
      </w:r>
    </w:p>
    <w:p w14:paraId="5F81633F" w14:textId="77777777" w:rsidR="00F3365E" w:rsidRPr="00C27890" w:rsidRDefault="00F3365E" w:rsidP="00D977DD">
      <w:pPr>
        <w:pStyle w:val="Nadpis3"/>
        <w:numPr>
          <w:ilvl w:val="3"/>
          <w:numId w:val="2"/>
        </w:numPr>
        <w:ind w:left="2835" w:hanging="1275"/>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C946D3" w14:textId="68440B43" w:rsidR="00F3365E" w:rsidRPr="00AB2CDF" w:rsidRDefault="00F3365E" w:rsidP="000D711D">
      <w:pPr>
        <w:pStyle w:val="Nadpis3"/>
        <w:ind w:left="1560" w:hanging="709"/>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rsidR="00723402">
        <w:t>Smlouvy</w:t>
      </w:r>
      <w:r>
        <w:t>.</w:t>
      </w:r>
      <w:r w:rsidRPr="00AB2CDF">
        <w:t xml:space="preserve"> </w:t>
      </w:r>
    </w:p>
    <w:p w14:paraId="21AEC573" w14:textId="15710533" w:rsidR="00F3365E" w:rsidRDefault="00F3365E" w:rsidP="000D711D">
      <w:pPr>
        <w:pStyle w:val="Nadpis3"/>
        <w:ind w:left="1560" w:hanging="709"/>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59135B">
        <w:t>Smlouvy</w:t>
      </w:r>
      <w:r w:rsidRPr="00AB2CDF">
        <w:t xml:space="preserve"> dojde k nedodržení podmínky dle věty první tohoto pododstavce, zavazuje se Poskytovatel bezodkladně o této skutečnosti písemně informovat Objednatele</w:t>
      </w:r>
      <w:r>
        <w:t>;</w:t>
      </w:r>
    </w:p>
    <w:p w14:paraId="48D99A7B" w14:textId="6F7B2FC8" w:rsidR="00F3365E" w:rsidRPr="001D790E" w:rsidRDefault="00F3365E" w:rsidP="000D711D">
      <w:pPr>
        <w:pStyle w:val="Nadpis3"/>
        <w:ind w:left="1560" w:hanging="709"/>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00FF496E" w:rsidRPr="001D790E">
        <w:t xml:space="preserve">aktivům zařazeným do stanoveného rozsahu Objednatele a </w:t>
      </w:r>
      <w:r w:rsidR="00FF496E" w:rsidRPr="001D790E">
        <w:rPr>
          <w:rFonts w:cs="Arial"/>
        </w:rPr>
        <w:t>jiného subjektu státní správy (zákazníka Objednatele)</w:t>
      </w:r>
      <w:r w:rsidR="00FF496E" w:rsidRPr="001D790E">
        <w:t>;</w:t>
      </w:r>
      <w:r w:rsidRPr="001D790E">
        <w:t>.</w:t>
      </w:r>
    </w:p>
    <w:p w14:paraId="140C662F" w14:textId="50BF772B" w:rsidR="009B765C" w:rsidRPr="001D790E" w:rsidRDefault="009B765C" w:rsidP="000D711D">
      <w:pPr>
        <w:pStyle w:val="Nadpis3"/>
        <w:ind w:left="1560" w:hanging="709"/>
      </w:pPr>
      <w:r w:rsidRPr="001D790E">
        <w:t>ve smyslu varování Národního úřadu pro kybernetickou a informační bezpečnost, vydaného podle § 12 odst. 1 zákona č. 181/2014 Sb., o kybernetické bezpečnosti a o</w:t>
      </w:r>
      <w:r w:rsidR="00867C8F">
        <w:t> </w:t>
      </w:r>
      <w:r w:rsidRPr="001D790E">
        <w:t xml:space="preserve">změně souvisejících zákonů, ve znění pozdějších předpisů, ze dne 10. 7. 2025, </w:t>
      </w:r>
      <w:proofErr w:type="spellStart"/>
      <w:r w:rsidRPr="001D790E">
        <w:t>sp</w:t>
      </w:r>
      <w:proofErr w:type="spellEnd"/>
      <w:r w:rsidRPr="001D790E">
        <w:t>. zn. 350-544/2025, č. j. 4417/2025-NÚKIB-E/350 (dále jen „</w:t>
      </w:r>
      <w:r w:rsidRPr="001D790E">
        <w:rPr>
          <w:b/>
          <w:i/>
          <w:iCs/>
        </w:rPr>
        <w:t>Varování III</w:t>
      </w:r>
      <w:r w:rsidRPr="001D790E">
        <w:t xml:space="preserve">“) nevyužívá produkty, aplikace, řešení, webové stránky a webové služby, včetně aplikačního programového rozhraní (tzv. API), poskytovaných společností </w:t>
      </w:r>
      <w:proofErr w:type="spellStart"/>
      <w:r w:rsidRPr="001D790E">
        <w:t>DeepSeek</w:t>
      </w:r>
      <w:proofErr w:type="spellEnd"/>
      <w:r w:rsidRPr="001D790E">
        <w:t xml:space="preserve"> na zařízeních přistupujících k aktivům zařazeným do stanoveného rozsahu Objednatele a jiného subjektu státní správy (zákazníka Objednatele);</w:t>
      </w:r>
    </w:p>
    <w:p w14:paraId="3DFEDDBC" w14:textId="276ED977" w:rsidR="008A7E8F" w:rsidRPr="001D790E" w:rsidRDefault="008A7E8F" w:rsidP="00D977DD">
      <w:pPr>
        <w:pStyle w:val="Nadpis3"/>
        <w:numPr>
          <w:ilvl w:val="2"/>
          <w:numId w:val="5"/>
        </w:numPr>
        <w:ind w:left="1559" w:hanging="708"/>
      </w:pPr>
      <w:r w:rsidRPr="001D790E">
        <w:lastRenderedPageBreak/>
        <w:t>ve smyslu varování Národního úřadu pro kybernetickou a informační bezpečnost, vydaného podle § 12 odst. 1 zákona č. 181/2014 Sb., o kybernetické bezpečnosti a o</w:t>
      </w:r>
      <w:r w:rsidR="00867C8F">
        <w:t> </w:t>
      </w:r>
      <w:r w:rsidRPr="001D790E">
        <w:t xml:space="preserve">změně souvisejících zákonů, ve znění pozdějších předpisů, ze dne 3. 9. 2025, </w:t>
      </w:r>
      <w:proofErr w:type="spellStart"/>
      <w:r w:rsidRPr="001D790E">
        <w:t>sp</w:t>
      </w:r>
      <w:proofErr w:type="spellEnd"/>
      <w:r w:rsidRPr="001D790E">
        <w:t>. zn. 350-647/2025-E, č. j. 6159/2025-NÚKIB-E/350 (dále jen „</w:t>
      </w:r>
      <w:r w:rsidRPr="001D790E">
        <w:rPr>
          <w:b/>
          <w:i/>
          <w:iCs/>
        </w:rPr>
        <w:t>Varování IV</w:t>
      </w:r>
      <w:r w:rsidRPr="001D790E">
        <w:t xml:space="preserve">“) nepoužívá k poskytování plnění podle této </w:t>
      </w:r>
      <w:r w:rsidR="00357DF3">
        <w:t xml:space="preserve">Smlouvy </w:t>
      </w:r>
      <w:r w:rsidRPr="001D790E">
        <w:t>aktiva, prostřednictvím kterých by mohlo dojít k předání systémových nebo uživatelských dat do Čínské lidové republiky, včetně jejích zvláštních administrativních oblastí (Hongkong, Macao), nebo aktiva, u</w:t>
      </w:r>
      <w:r w:rsidR="00867C8F">
        <w:t> </w:t>
      </w:r>
      <w:r w:rsidRPr="001D790E">
        <w:t>kterých by mohlo dojít k umožnění vzdálené správy technických aktiv z těchto území.</w:t>
      </w:r>
    </w:p>
    <w:p w14:paraId="2F18211F" w14:textId="1E8700DF" w:rsidR="00E054C0" w:rsidRDefault="000A11B1" w:rsidP="000D711D">
      <w:pPr>
        <w:pStyle w:val="Nadpis2"/>
        <w:tabs>
          <w:tab w:val="left" w:pos="567"/>
        </w:tabs>
        <w:ind w:left="567" w:hanging="567"/>
      </w:pPr>
      <w:r>
        <w:t xml:space="preserve">Smluvní strany souhlasí s tím, </w:t>
      </w:r>
      <w:r w:rsidR="00E054C0">
        <w:t xml:space="preserve">že označování dokumentů vzniklých na základě této </w:t>
      </w:r>
      <w:r w:rsidR="00D049FA">
        <w:t>Smlouvy</w:t>
      </w:r>
      <w:r w:rsidR="00E054C0">
        <w:t xml:space="preserve"> bude probíhat v souladu s metodikou </w:t>
      </w:r>
      <w:proofErr w:type="spellStart"/>
      <w:r w:rsidR="00E054C0">
        <w:t>Traffic</w:t>
      </w:r>
      <w:proofErr w:type="spellEnd"/>
      <w:r w:rsidR="00E054C0">
        <w:t xml:space="preserve"> </w:t>
      </w:r>
      <w:proofErr w:type="spellStart"/>
      <w:r w:rsidR="00E054C0">
        <w:t>Light</w:t>
      </w:r>
      <w:proofErr w:type="spellEnd"/>
      <w:r w:rsidR="00E054C0">
        <w:t xml:space="preserve"> </w:t>
      </w:r>
      <w:proofErr w:type="spellStart"/>
      <w:r w:rsidR="00E054C0">
        <w:t>Protocol</w:t>
      </w:r>
      <w:proofErr w:type="spellEnd"/>
      <w:r w:rsidR="00E054C0">
        <w:t xml:space="preserve"> (dostupná na webových stránkách </w:t>
      </w:r>
      <w:hyperlink r:id="rId11" w:history="1">
        <w:r w:rsidR="0041085F" w:rsidRPr="00313C5B">
          <w:rPr>
            <w:rStyle w:val="Hypertextovodkaz"/>
          </w:rPr>
          <w:t>https://www.first.org/tlp/</w:t>
        </w:r>
      </w:hyperlink>
      <w:r w:rsidR="0041085F">
        <w:t xml:space="preserve"> </w:t>
      </w:r>
      <w:r w:rsidR="00E054C0">
        <w:t xml:space="preserve">). </w:t>
      </w:r>
    </w:p>
    <w:p w14:paraId="0289F6C3" w14:textId="12DF4CA5" w:rsidR="0030688E" w:rsidRDefault="0030688E" w:rsidP="000D711D">
      <w:pPr>
        <w:pStyle w:val="Nadpis2"/>
        <w:ind w:left="567" w:hanging="567"/>
      </w:pPr>
      <w:r w:rsidRPr="00B70748">
        <w:t>Pojmy s velkými počátečními písmeny definované ve Smlouvě budou mít význam, jenž je jim ve Smlouvě, včetně jejích příloh a dodatků, přikládán.</w:t>
      </w:r>
    </w:p>
    <w:p w14:paraId="14221F45" w14:textId="3899412A" w:rsidR="00CA64BA" w:rsidRDefault="00390DC1" w:rsidP="000D711D">
      <w:pPr>
        <w:pStyle w:val="Nadpis1"/>
        <w:tabs>
          <w:tab w:val="clear" w:pos="284"/>
          <w:tab w:val="left" w:pos="993"/>
        </w:tabs>
        <w:ind w:left="0" w:firstLine="0"/>
      </w:pPr>
      <w:r>
        <w:t xml:space="preserve"> </w:t>
      </w:r>
      <w:r w:rsidR="00CA64BA" w:rsidRPr="003B0B1D">
        <w:t>Účel Smlouvy</w:t>
      </w:r>
    </w:p>
    <w:p w14:paraId="6AFDBD85" w14:textId="10A7F09D" w:rsidR="009C4CB0" w:rsidRPr="009C4CB0" w:rsidRDefault="009C4CB0" w:rsidP="000D711D">
      <w:pPr>
        <w:pStyle w:val="Odstavecseseznamem"/>
        <w:ind w:left="567" w:hanging="567"/>
        <w:jc w:val="both"/>
      </w:pPr>
      <w:r w:rsidRPr="004E4C7D">
        <w:t xml:space="preserve">Účelem této Smlouvy je úprava poskytnutí níže specifikovaného </w:t>
      </w:r>
      <w:r>
        <w:t>p</w:t>
      </w:r>
      <w:r w:rsidRPr="004E4C7D">
        <w:t xml:space="preserve">lnění ze strany </w:t>
      </w:r>
      <w:r>
        <w:t>Poskytovatele</w:t>
      </w:r>
      <w:r w:rsidRPr="004E4C7D">
        <w:t xml:space="preserve"> Objednateli</w:t>
      </w:r>
      <w:r>
        <w:t xml:space="preserve"> za účelem </w:t>
      </w:r>
      <w:r w:rsidRPr="001C68C8">
        <w:t>dodávk</w:t>
      </w:r>
      <w:r>
        <w:t>y</w:t>
      </w:r>
      <w:r w:rsidRPr="001C68C8">
        <w:t xml:space="preserve"> a provedení technologického upgradu a rozšíření funkcionality SAN </w:t>
      </w:r>
      <w:proofErr w:type="spellStart"/>
      <w:r w:rsidRPr="001C68C8">
        <w:t>Volume</w:t>
      </w:r>
      <w:proofErr w:type="spellEnd"/>
      <w:r w:rsidRPr="001C68C8">
        <w:t xml:space="preserve"> </w:t>
      </w:r>
      <w:proofErr w:type="spellStart"/>
      <w:r w:rsidRPr="001C68C8">
        <w:t>Controller</w:t>
      </w:r>
      <w:proofErr w:type="spellEnd"/>
      <w:r w:rsidRPr="001C68C8">
        <w:t xml:space="preserve"> (dále také jen „</w:t>
      </w:r>
      <w:r w:rsidRPr="00265CB1">
        <w:rPr>
          <w:b/>
          <w:bCs/>
        </w:rPr>
        <w:t>SVC</w:t>
      </w:r>
      <w:r w:rsidRPr="001C68C8">
        <w:t>“)</w:t>
      </w:r>
      <w:r w:rsidRPr="004E4C7D">
        <w:t xml:space="preserve">, </w:t>
      </w:r>
      <w:r>
        <w:t>jak je blíže vymezeno v následujících článcích Smlouvy</w:t>
      </w:r>
      <w:r w:rsidR="002B5A3D">
        <w:t xml:space="preserve">, </w:t>
      </w:r>
      <w:r w:rsidR="002B5A3D" w:rsidRPr="001D790E">
        <w:t xml:space="preserve">a to pro zajištění infrastrukturních služeb. Tyto infrastrukturní služby se vážou k aktivům zařazeným do stanoveného rozsahu Objednatele a jiného subjektu státní správy, který je zákazníkem Objednatele (dále jen </w:t>
      </w:r>
      <w:r w:rsidR="002B5A3D" w:rsidRPr="004F7F21">
        <w:t>„</w:t>
      </w:r>
      <w:r w:rsidR="002B5A3D" w:rsidRPr="004F7F21">
        <w:rPr>
          <w:b/>
          <w:bCs/>
        </w:rPr>
        <w:t>Zákazník</w:t>
      </w:r>
      <w:r w:rsidR="002B5A3D" w:rsidRPr="004F7F21">
        <w:t>“), kdy Objednatel je poskytovatelem regulované služby dle zákona č. 264/2025 Sb., o kybernetické bezpečnosti (dále jen „</w:t>
      </w:r>
      <w:r w:rsidR="002B5A3D" w:rsidRPr="004F7F21">
        <w:rPr>
          <w:b/>
          <w:bCs/>
        </w:rPr>
        <w:t>ZKB</w:t>
      </w:r>
      <w:r w:rsidR="002B5A3D" w:rsidRPr="004F7F21">
        <w:t>“)</w:t>
      </w:r>
      <w:r w:rsidR="002B5A3D" w:rsidRPr="001D790E">
        <w:t xml:space="preserve"> ve specifickém režimu dle §</w:t>
      </w:r>
      <w:r w:rsidR="00432E8E" w:rsidRPr="001D790E">
        <w:t> </w:t>
      </w:r>
      <w:r w:rsidR="002B5A3D" w:rsidRPr="001D790E">
        <w:t xml:space="preserve">18 ZKB a zároveň je </w:t>
      </w:r>
      <w:r w:rsidR="00921633" w:rsidRPr="001D790E">
        <w:t>Objednatel</w:t>
      </w:r>
      <w:r w:rsidR="002B5A3D" w:rsidRPr="001D790E">
        <w:t xml:space="preserve"> zavázán k dodržování bezpečnostních požadavků ve smlouvě se Zákazníkem, kdy Zákazník je zpravidla poskytovatelem regulované služby v režimu vyšších povinností a vedle toho poskytovatelem strategicky významné služby.</w:t>
      </w:r>
      <w:r w:rsidR="002B5A3D">
        <w:t xml:space="preserve"> </w:t>
      </w:r>
      <w:r w:rsidRPr="00177D70">
        <w:t xml:space="preserve">Veškeré ve Smlouvě a jejích přílohách uvedené požadavky musí být primárně vykládány tak, aby Objednatel realizací předmětu Smlouvy </w:t>
      </w:r>
      <w:r>
        <w:t>Poskytovatelem</w:t>
      </w:r>
      <w:r w:rsidRPr="00177D70">
        <w:t xml:space="preserve"> dosáhl zde uvedeného účelu.</w:t>
      </w:r>
    </w:p>
    <w:p w14:paraId="193A7041" w14:textId="31F8E722" w:rsidR="00B95567" w:rsidRPr="000538AA" w:rsidRDefault="006C503E" w:rsidP="000D711D">
      <w:pPr>
        <w:pStyle w:val="Nadpis1"/>
        <w:tabs>
          <w:tab w:val="clear" w:pos="284"/>
          <w:tab w:val="left" w:pos="0"/>
        </w:tabs>
        <w:ind w:hanging="2156"/>
      </w:pPr>
      <w:r>
        <w:t>PŘEDMĚT SMLOUVY</w:t>
      </w:r>
    </w:p>
    <w:p w14:paraId="75D2465E" w14:textId="175D1D91" w:rsidR="000B54DE" w:rsidRDefault="008B5F4B" w:rsidP="000D711D">
      <w:pPr>
        <w:pStyle w:val="Nadpis2"/>
        <w:ind w:left="567" w:hanging="567"/>
      </w:pPr>
      <w:r w:rsidRPr="003C3735">
        <w:t xml:space="preserve">Předmětem této Smlouvy je závazek </w:t>
      </w:r>
      <w:r>
        <w:t>Poskytovatele</w:t>
      </w:r>
      <w:r w:rsidRPr="003C3735">
        <w:t xml:space="preserve"> dodat Objednateli </w:t>
      </w:r>
      <w:r w:rsidRPr="00347434">
        <w:t xml:space="preserve">celkem </w:t>
      </w:r>
      <w:r>
        <w:t>10</w:t>
      </w:r>
      <w:r w:rsidRPr="00347434">
        <w:t xml:space="preserve"> ks SVC </w:t>
      </w:r>
      <w:proofErr w:type="spellStart"/>
      <w:r w:rsidRPr="00347434">
        <w:t>nódů</w:t>
      </w:r>
      <w:proofErr w:type="spellEnd"/>
      <w:r w:rsidRPr="00347434">
        <w:t xml:space="preserve"> SV3, které budou konfigurovány jako dva SVC clustery, tzn. každý cluster bude obsahovat </w:t>
      </w:r>
      <w:r>
        <w:t>5</w:t>
      </w:r>
      <w:r w:rsidRPr="00347434">
        <w:t xml:space="preserve"> ks </w:t>
      </w:r>
      <w:proofErr w:type="spellStart"/>
      <w:r w:rsidRPr="00347434">
        <w:t>nódů</w:t>
      </w:r>
      <w:proofErr w:type="spellEnd"/>
      <w:r w:rsidRPr="00347434">
        <w:t xml:space="preserve">, tj. </w:t>
      </w:r>
      <w:r>
        <w:t>4</w:t>
      </w:r>
      <w:r w:rsidRPr="00347434">
        <w:t xml:space="preserve"> produkční </w:t>
      </w:r>
      <w:proofErr w:type="spellStart"/>
      <w:r w:rsidRPr="00347434">
        <w:t>nódy</w:t>
      </w:r>
      <w:proofErr w:type="spellEnd"/>
      <w:r w:rsidRPr="00347434">
        <w:t xml:space="preserve"> a 1 </w:t>
      </w:r>
      <w:proofErr w:type="spellStart"/>
      <w:r w:rsidRPr="00347434">
        <w:t>spare</w:t>
      </w:r>
      <w:proofErr w:type="spellEnd"/>
      <w:r w:rsidRPr="00347434">
        <w:t xml:space="preserve"> </w:t>
      </w:r>
      <w:proofErr w:type="spellStart"/>
      <w:r w:rsidRPr="00347434">
        <w:t>nód</w:t>
      </w:r>
      <w:proofErr w:type="spellEnd"/>
      <w:r w:rsidRPr="00347434">
        <w:t xml:space="preserve"> ve stejné konfiguraci jako produkční </w:t>
      </w:r>
      <w:proofErr w:type="spellStart"/>
      <w:r w:rsidRPr="00347434">
        <w:t>nódy</w:t>
      </w:r>
      <w:proofErr w:type="spellEnd"/>
      <w:r w:rsidRPr="00347434">
        <w:t xml:space="preserve"> (</w:t>
      </w:r>
      <w:r w:rsidR="00502784">
        <w:t xml:space="preserve">to vše </w:t>
      </w:r>
      <w:r w:rsidRPr="00347434">
        <w:t xml:space="preserve">dále jen </w:t>
      </w:r>
      <w:r w:rsidR="00EE2383">
        <w:t>„</w:t>
      </w:r>
      <w:r w:rsidR="00EE2383" w:rsidRPr="00EE2383">
        <w:rPr>
          <w:b/>
          <w:bCs/>
        </w:rPr>
        <w:t>HW</w:t>
      </w:r>
      <w:r w:rsidR="00EE2383">
        <w:t xml:space="preserve">“ nebo také </w:t>
      </w:r>
      <w:r w:rsidRPr="00EE2383">
        <w:t>„</w:t>
      </w:r>
      <w:r w:rsidRPr="00EE2383">
        <w:rPr>
          <w:b/>
          <w:bCs/>
        </w:rPr>
        <w:t>Dodávka HW</w:t>
      </w:r>
      <w:r w:rsidRPr="00EE2383">
        <w:t>“), a poskytnout maintenance k dodanému HW (dále jen „</w:t>
      </w:r>
      <w:r w:rsidRPr="00EE2383">
        <w:rPr>
          <w:b/>
          <w:bCs/>
        </w:rPr>
        <w:t>Maintenance“</w:t>
      </w:r>
      <w:r w:rsidRPr="00EE2383">
        <w:t xml:space="preserve"> nebo také „</w:t>
      </w:r>
      <w:r w:rsidRPr="00EE2383">
        <w:rPr>
          <w:b/>
          <w:bCs/>
        </w:rPr>
        <w:t>HWMA</w:t>
      </w:r>
      <w:r w:rsidRPr="00EE2383">
        <w:t xml:space="preserve">“) a to vše od výrobce </w:t>
      </w:r>
      <w:r w:rsidRPr="00EE2383">
        <w:rPr>
          <w:szCs w:val="18"/>
        </w:rPr>
        <w:t xml:space="preserve">International Business </w:t>
      </w:r>
      <w:proofErr w:type="spellStart"/>
      <w:r w:rsidRPr="00EE2383">
        <w:rPr>
          <w:szCs w:val="18"/>
        </w:rPr>
        <w:t>Machines</w:t>
      </w:r>
      <w:proofErr w:type="spellEnd"/>
      <w:r w:rsidRPr="00EE2383">
        <w:rPr>
          <w:szCs w:val="18"/>
        </w:rPr>
        <w:t xml:space="preserve"> </w:t>
      </w:r>
      <w:proofErr w:type="spellStart"/>
      <w:r w:rsidRPr="00EE2383">
        <w:rPr>
          <w:szCs w:val="18"/>
        </w:rPr>
        <w:t>Corp</w:t>
      </w:r>
      <w:proofErr w:type="spellEnd"/>
      <w:r w:rsidRPr="00EE2383">
        <w:rPr>
          <w:szCs w:val="18"/>
        </w:rPr>
        <w:t xml:space="preserve">., se sídlem New </w:t>
      </w:r>
      <w:proofErr w:type="spellStart"/>
      <w:r w:rsidRPr="00EE2383">
        <w:rPr>
          <w:szCs w:val="18"/>
        </w:rPr>
        <w:t>Orchard</w:t>
      </w:r>
      <w:proofErr w:type="spellEnd"/>
      <w:r w:rsidRPr="00EE2383">
        <w:rPr>
          <w:szCs w:val="18"/>
        </w:rPr>
        <w:t xml:space="preserve"> </w:t>
      </w:r>
      <w:proofErr w:type="spellStart"/>
      <w:r w:rsidRPr="00EE2383">
        <w:rPr>
          <w:szCs w:val="18"/>
        </w:rPr>
        <w:t>Road</w:t>
      </w:r>
      <w:proofErr w:type="spellEnd"/>
      <w:r w:rsidRPr="00EE2383">
        <w:rPr>
          <w:szCs w:val="18"/>
        </w:rPr>
        <w:t xml:space="preserve">, </w:t>
      </w:r>
      <w:proofErr w:type="spellStart"/>
      <w:r w:rsidRPr="00EE2383">
        <w:rPr>
          <w:szCs w:val="18"/>
        </w:rPr>
        <w:t>Armonk</w:t>
      </w:r>
      <w:proofErr w:type="spellEnd"/>
      <w:r w:rsidRPr="00EE2383">
        <w:rPr>
          <w:szCs w:val="18"/>
        </w:rPr>
        <w:t>, New York 10504</w:t>
      </w:r>
      <w:r w:rsidRPr="00EE2383">
        <w:rPr>
          <w:rFonts w:cs="Arial"/>
          <w:szCs w:val="18"/>
        </w:rPr>
        <w:t>, USA (</w:t>
      </w:r>
      <w:r w:rsidRPr="00EE2383">
        <w:rPr>
          <w:szCs w:val="18"/>
        </w:rPr>
        <w:t>zastoupená v ČR IBM Česká republika, spol. s r.o., V</w:t>
      </w:r>
      <w:r w:rsidR="00F8255D">
        <w:rPr>
          <w:szCs w:val="18"/>
        </w:rPr>
        <w:t> </w:t>
      </w:r>
      <w:r w:rsidRPr="00EE2383">
        <w:rPr>
          <w:szCs w:val="18"/>
        </w:rPr>
        <w:t>Parku 2294/4</w:t>
      </w:r>
      <w:r w:rsidRPr="00EE2383">
        <w:t xml:space="preserve">, </w:t>
      </w:r>
      <w:r w:rsidRPr="00EE2383">
        <w:rPr>
          <w:szCs w:val="18"/>
        </w:rPr>
        <w:t>148 00 Praha 4) (dále jen „</w:t>
      </w:r>
      <w:r w:rsidRPr="00EE2383">
        <w:rPr>
          <w:b/>
          <w:bCs/>
          <w:szCs w:val="18"/>
        </w:rPr>
        <w:t>IBM</w:t>
      </w:r>
      <w:r w:rsidRPr="00126435">
        <w:rPr>
          <w:szCs w:val="18"/>
        </w:rPr>
        <w:t>“ nebo také</w:t>
      </w:r>
      <w:r w:rsidRPr="00126435">
        <w:t xml:space="preserve"> jen „</w:t>
      </w:r>
      <w:r w:rsidRPr="00126435">
        <w:rPr>
          <w:b/>
          <w:bCs/>
        </w:rPr>
        <w:t>Výrobce</w:t>
      </w:r>
      <w:r w:rsidRPr="00126435">
        <w:t>“), a to dle specifikace a rozsahu uvedeného v Příloze č. 1</w:t>
      </w:r>
      <w:r w:rsidR="00126435">
        <w:t xml:space="preserve"> </w:t>
      </w:r>
      <w:r w:rsidR="00126435" w:rsidRPr="00126435">
        <w:t>Smlouvy</w:t>
      </w:r>
      <w:r w:rsidR="00515B4A" w:rsidRPr="00126435">
        <w:t xml:space="preserve"> </w:t>
      </w:r>
      <w:r w:rsidR="00BB2AA3" w:rsidRPr="00126435">
        <w:t>(t</w:t>
      </w:r>
      <w:r w:rsidR="00BB2AA3">
        <w:t>o vše dále jen „</w:t>
      </w:r>
      <w:r w:rsidR="00BB2AA3" w:rsidRPr="00BB2AA3">
        <w:rPr>
          <w:b/>
          <w:bCs/>
        </w:rPr>
        <w:t>Plnění</w:t>
      </w:r>
      <w:r w:rsidR="00BB2AA3">
        <w:t>“)</w:t>
      </w:r>
      <w:r>
        <w:t>.</w:t>
      </w:r>
    </w:p>
    <w:p w14:paraId="5B47C7D2" w14:textId="0C165909" w:rsidR="008B5F4B" w:rsidRDefault="00851AD4" w:rsidP="000D711D">
      <w:pPr>
        <w:pStyle w:val="Nadpis2"/>
        <w:ind w:left="567" w:hanging="567"/>
      </w:pPr>
      <w:r>
        <w:t>Předmětem plnění je dále také:</w:t>
      </w:r>
    </w:p>
    <w:p w14:paraId="6B43B76D" w14:textId="5104EFB8" w:rsidR="00851AD4" w:rsidRPr="00523482" w:rsidRDefault="008F7B0E" w:rsidP="000D711D">
      <w:pPr>
        <w:pStyle w:val="Nadpis3"/>
        <w:ind w:left="1418" w:hanging="709"/>
      </w:pPr>
      <w:r>
        <w:t xml:space="preserve">kompletní instalace/reinstalace a konfigurace/rekonfigurace dodaného HW a stávajících SVC clusterů dle specifikace </w:t>
      </w:r>
      <w:r w:rsidRPr="00391D95">
        <w:t xml:space="preserve">uvedené v </w:t>
      </w:r>
      <w:r w:rsidRPr="00126435">
        <w:t>Příloze č. 2</w:t>
      </w:r>
      <w:r w:rsidRPr="00391D95">
        <w:t xml:space="preserve"> S</w:t>
      </w:r>
      <w:r>
        <w:t xml:space="preserve">mlouvy (dále jen </w:t>
      </w:r>
      <w:r w:rsidRPr="00523482">
        <w:t>„</w:t>
      </w:r>
      <w:r w:rsidRPr="00523482">
        <w:rPr>
          <w:b/>
          <w:bCs/>
        </w:rPr>
        <w:t>Instalace a konfigurace</w:t>
      </w:r>
      <w:r w:rsidRPr="00523482">
        <w:t>“);</w:t>
      </w:r>
    </w:p>
    <w:p w14:paraId="0C1CA3A5" w14:textId="6ED6E066" w:rsidR="008F7B0E" w:rsidRPr="00523482" w:rsidRDefault="006A6E88" w:rsidP="000D711D">
      <w:pPr>
        <w:pStyle w:val="Nadpis3"/>
        <w:ind w:left="1418" w:hanging="709"/>
      </w:pPr>
      <w:r w:rsidRPr="00523482">
        <w:t xml:space="preserve">provedení kompletní online migrace ze stávajících SVC </w:t>
      </w:r>
      <w:proofErr w:type="spellStart"/>
      <w:r w:rsidRPr="00523482">
        <w:t>nódů</w:t>
      </w:r>
      <w:proofErr w:type="spellEnd"/>
      <w:r w:rsidRPr="00523482">
        <w:t xml:space="preserve"> na SVC </w:t>
      </w:r>
      <w:proofErr w:type="spellStart"/>
      <w:r w:rsidRPr="00523482">
        <w:t>nódy</w:t>
      </w:r>
      <w:proofErr w:type="spellEnd"/>
      <w:r w:rsidRPr="00523482">
        <w:t>, které jsou předmětem plnění, a to vše bez přerušení provozu a poskytování IO operací připojeným systémům</w:t>
      </w:r>
      <w:r w:rsidR="00126435">
        <w:t>;</w:t>
      </w:r>
      <w:r w:rsidRPr="00523482">
        <w:t xml:space="preserve"> </w:t>
      </w:r>
      <w:r w:rsidR="00126435">
        <w:t>b</w:t>
      </w:r>
      <w:r w:rsidRPr="00523482">
        <w:t xml:space="preserve">ližší specifikace migrace SVC </w:t>
      </w:r>
      <w:proofErr w:type="spellStart"/>
      <w:r w:rsidRPr="00523482">
        <w:t>nódů</w:t>
      </w:r>
      <w:proofErr w:type="spellEnd"/>
      <w:r w:rsidRPr="00523482">
        <w:t xml:space="preserve"> je vymezena v </w:t>
      </w:r>
      <w:r w:rsidRPr="00A76B46">
        <w:t>Příloze č. 2</w:t>
      </w:r>
      <w:r w:rsidRPr="00523482">
        <w:rPr>
          <w:b/>
          <w:bCs/>
        </w:rPr>
        <w:t xml:space="preserve"> </w:t>
      </w:r>
      <w:r w:rsidRPr="00523482">
        <w:t>Smlouvy (dále jen „</w:t>
      </w:r>
      <w:r w:rsidRPr="00523482">
        <w:rPr>
          <w:b/>
          <w:bCs/>
        </w:rPr>
        <w:t>Migrace“</w:t>
      </w:r>
      <w:r w:rsidRPr="00523482">
        <w:t>).</w:t>
      </w:r>
    </w:p>
    <w:p w14:paraId="6A7D9E10" w14:textId="6F3C0B5D" w:rsidR="006A6E88" w:rsidRDefault="0059437C" w:rsidP="000D711D">
      <w:pPr>
        <w:pStyle w:val="Nadpis2"/>
        <w:ind w:left="567" w:hanging="567"/>
      </w:pPr>
      <w:r>
        <w:t>Poskytovatel se v rámci Dodávky HW zavazuje rovněž:</w:t>
      </w:r>
    </w:p>
    <w:p w14:paraId="52127928" w14:textId="38F2D308" w:rsidR="0059437C" w:rsidRDefault="00FF207B" w:rsidP="000D711D">
      <w:pPr>
        <w:pStyle w:val="Nadpis3"/>
        <w:ind w:left="1418" w:hanging="709"/>
      </w:pPr>
      <w:r>
        <w:t>nainstalovat dodaný HW do Objednatelem určené rackové skříně;</w:t>
      </w:r>
    </w:p>
    <w:p w14:paraId="1D2A1342" w14:textId="6CD516E5" w:rsidR="00FF207B" w:rsidRDefault="00320C5C" w:rsidP="000D711D">
      <w:pPr>
        <w:pStyle w:val="Nadpis3"/>
        <w:ind w:left="1418" w:hanging="709"/>
      </w:pPr>
      <w:r>
        <w:t>uvést dodaný HW do provozu včetně zapojení potřebné kabeláže;</w:t>
      </w:r>
    </w:p>
    <w:p w14:paraId="0C3B4F5C" w14:textId="667ED53D" w:rsidR="00320C5C" w:rsidRPr="00320C5C" w:rsidRDefault="00074ADF" w:rsidP="000D711D">
      <w:pPr>
        <w:pStyle w:val="Nadpis3"/>
        <w:ind w:left="1418" w:hanging="709"/>
      </w:pPr>
      <w:r>
        <w:t xml:space="preserve">provést aktualizaci </w:t>
      </w:r>
      <w:r w:rsidR="00AA3D28">
        <w:t xml:space="preserve">dokumentace vč. </w:t>
      </w:r>
      <w:r w:rsidR="008B1FF9">
        <w:t>d</w:t>
      </w:r>
      <w:r w:rsidR="00AA3D28">
        <w:t>etailního technického řešení</w:t>
      </w:r>
      <w:r w:rsidR="008D485A">
        <w:t>.</w:t>
      </w:r>
    </w:p>
    <w:p w14:paraId="77C4EE45" w14:textId="288833AB" w:rsidR="00676431" w:rsidRDefault="00676431" w:rsidP="000D711D">
      <w:pPr>
        <w:pStyle w:val="Nadpis2"/>
        <w:ind w:left="567" w:hanging="567"/>
      </w:pPr>
      <w:r>
        <w:lastRenderedPageBreak/>
        <w:t>Poskytovatel se zavazuje poskytovat Maintenance v rámci servisního programu Výrobce HW, ke kterému je Maintenance poskytováno</w:t>
      </w:r>
      <w:r w:rsidR="00771CDE">
        <w:t>.</w:t>
      </w:r>
    </w:p>
    <w:p w14:paraId="267DB642" w14:textId="5A0A2F6E" w:rsidR="00521522" w:rsidRDefault="00521522" w:rsidP="000D711D">
      <w:pPr>
        <w:pStyle w:val="Nadpis2"/>
        <w:ind w:left="567" w:hanging="567"/>
      </w:pPr>
      <w:r>
        <w:t xml:space="preserve">V rámci </w:t>
      </w:r>
      <w:r w:rsidRPr="00E64E77">
        <w:t xml:space="preserve">zajištění poskytování </w:t>
      </w:r>
      <w:r>
        <w:t>Maintenance</w:t>
      </w:r>
      <w:r w:rsidRPr="00E64E77">
        <w:t xml:space="preserve"> se </w:t>
      </w:r>
      <w:r w:rsidR="00425C48">
        <w:t>Poskytovatel</w:t>
      </w:r>
      <w:r w:rsidRPr="00E64E77">
        <w:t xml:space="preserve"> </w:t>
      </w:r>
      <w:r>
        <w:t xml:space="preserve">dále </w:t>
      </w:r>
      <w:r w:rsidRPr="00E64E77">
        <w:t>zavazuje zajistit zejména činnosti v následujícím minimálním rozsahu:</w:t>
      </w:r>
    </w:p>
    <w:p w14:paraId="45095A6E" w14:textId="610F4061" w:rsidR="00521522" w:rsidRDefault="00933172" w:rsidP="000D711D">
      <w:pPr>
        <w:pStyle w:val="Nadpis3"/>
        <w:ind w:left="1418" w:hanging="709"/>
      </w:pPr>
      <w:r>
        <w:t>online přístup k technické podpoře pro řešení závady, a to v režimu 24 hodin denně, 7 dní v týdnu (dále jen „</w:t>
      </w:r>
      <w:r w:rsidRPr="000A6C34">
        <w:rPr>
          <w:b/>
        </w:rPr>
        <w:t>Režim 24x7</w:t>
      </w:r>
      <w:r>
        <w:t>“);</w:t>
      </w:r>
    </w:p>
    <w:p w14:paraId="4FF75D39" w14:textId="69AA4579" w:rsidR="00933172" w:rsidRDefault="00F4049D" w:rsidP="000D711D">
      <w:pPr>
        <w:pStyle w:val="Nadpis3"/>
        <w:ind w:left="1418" w:hanging="709"/>
      </w:pPr>
      <w:r>
        <w:t xml:space="preserve">odezvu do 4 hodin od okamžiku nahlášení závady Objednatelem </w:t>
      </w:r>
      <w:r w:rsidR="00425C48">
        <w:t>Poskytovateli</w:t>
      </w:r>
      <w:r>
        <w:t xml:space="preserve">, a to stejným způsobem, jakým byla závada Objednatelem nahlášena v souladu s odst. </w:t>
      </w:r>
      <w:r w:rsidR="005013BC">
        <w:t>3</w:t>
      </w:r>
      <w:r>
        <w:t>.</w:t>
      </w:r>
      <w:r w:rsidR="00E12B90">
        <w:t>6</w:t>
      </w:r>
      <w:r>
        <w:t xml:space="preserve"> tohoto článku, tj. telefonicky nebo e-mailem;</w:t>
      </w:r>
    </w:p>
    <w:p w14:paraId="5FC2FBC0" w14:textId="486E1661" w:rsidR="00F4049D" w:rsidRDefault="000928FA" w:rsidP="000D711D">
      <w:pPr>
        <w:pStyle w:val="Nadpis3"/>
        <w:ind w:left="1418" w:hanging="709"/>
      </w:pPr>
      <w:r>
        <w:t xml:space="preserve">opravu závady do 24 hodin od okamžiku nahlášení závady Objednatelem </w:t>
      </w:r>
      <w:r w:rsidR="00425C48">
        <w:t>Poskytovateli</w:t>
      </w:r>
      <w:r>
        <w:t xml:space="preserve"> v místě instalace HW;</w:t>
      </w:r>
    </w:p>
    <w:p w14:paraId="4BCB95E2" w14:textId="5A2D1F14" w:rsidR="000928FA" w:rsidRDefault="00524D4B" w:rsidP="000D711D">
      <w:pPr>
        <w:pStyle w:val="Nadpis3"/>
        <w:ind w:left="1418" w:hanging="709"/>
      </w:pPr>
      <w:r>
        <w:t>HW podporu Výrobce;</w:t>
      </w:r>
    </w:p>
    <w:p w14:paraId="72061E54" w14:textId="47DA45EF" w:rsidR="00524D4B" w:rsidRPr="00524D4B" w:rsidRDefault="00847976" w:rsidP="000D711D">
      <w:pPr>
        <w:pStyle w:val="Nadpis3"/>
        <w:ind w:left="1418" w:hanging="709"/>
      </w:pPr>
      <w:r w:rsidRPr="00E64E77">
        <w:t>online přístup</w:t>
      </w:r>
      <w:r>
        <w:t xml:space="preserve"> k technické dokumentaci dodaného HW v Režimu 24x7 prostřednictvím webových stránek dostupných ze sítě Internet.</w:t>
      </w:r>
    </w:p>
    <w:p w14:paraId="69177BAE" w14:textId="656ADD47" w:rsidR="00A748AC" w:rsidRDefault="00A748AC" w:rsidP="000D711D">
      <w:pPr>
        <w:pStyle w:val="Nadpis2"/>
        <w:ind w:left="567" w:hanging="567"/>
      </w:pPr>
      <w:r>
        <w:t xml:space="preserve">Poskytovatel se zavazuje zajistit dostupnost telefonního čísla </w:t>
      </w:r>
      <w:r w:rsidRPr="005F6192">
        <w:rPr>
          <w:szCs w:val="18"/>
        </w:rPr>
        <w:t>[</w:t>
      </w:r>
      <w:r w:rsidRPr="00720B04">
        <w:rPr>
          <w:highlight w:val="yellow"/>
        </w:rPr>
        <w:t xml:space="preserve">DOPLNÍ </w:t>
      </w:r>
      <w:r>
        <w:rPr>
          <w:highlight w:val="yellow"/>
        </w:rPr>
        <w:t>DODAVATEL</w:t>
      </w:r>
      <w:r w:rsidRPr="005F6192">
        <w:rPr>
          <w:szCs w:val="18"/>
        </w:rPr>
        <w:t>]</w:t>
      </w:r>
      <w:r>
        <w:t xml:space="preserve"> a e-mailové adresy </w:t>
      </w:r>
      <w:r w:rsidRPr="005F6192">
        <w:rPr>
          <w:szCs w:val="18"/>
        </w:rPr>
        <w:t>[</w:t>
      </w:r>
      <w:r w:rsidRPr="00720B04">
        <w:rPr>
          <w:highlight w:val="yellow"/>
        </w:rPr>
        <w:t xml:space="preserve">DOPLNÍ </w:t>
      </w:r>
      <w:r>
        <w:rPr>
          <w:highlight w:val="yellow"/>
        </w:rPr>
        <w:t>DODAVATEL</w:t>
      </w:r>
      <w:r w:rsidRPr="005F6192">
        <w:rPr>
          <w:szCs w:val="18"/>
        </w:rPr>
        <w:t>]</w:t>
      </w:r>
      <w:r>
        <w:t xml:space="preserve"> na technickou podporu Poskytovatele pro nahlašování závad v Režimu 24x7.</w:t>
      </w:r>
    </w:p>
    <w:p w14:paraId="5728B442" w14:textId="1320C587" w:rsidR="007D36D1" w:rsidRDefault="007D36D1" w:rsidP="000D711D">
      <w:pPr>
        <w:pStyle w:val="Nadpis2"/>
        <w:ind w:left="567" w:hanging="567"/>
      </w:pPr>
      <w:r>
        <w:t xml:space="preserve">Předmětem této Smlouvy je zároveň závazek </w:t>
      </w:r>
      <w:r w:rsidR="00B64307">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4F982975" w14:textId="425386F5" w:rsidR="007D36D1" w:rsidRPr="00722867" w:rsidRDefault="00B64307" w:rsidP="000D711D">
      <w:pPr>
        <w:pStyle w:val="Nadpis2"/>
        <w:ind w:left="567" w:hanging="567"/>
      </w:pPr>
      <w:r>
        <w:t>Objednatel</w:t>
      </w:r>
      <w:r w:rsidR="007D36D1" w:rsidRPr="003B0B1D">
        <w:t xml:space="preserve"> se rovněž zavazuje poskytnout </w:t>
      </w:r>
      <w:r w:rsidR="007D36D1">
        <w:t>Poskytovateli</w:t>
      </w:r>
      <w:r w:rsidR="007D36D1" w:rsidRPr="003B0B1D">
        <w:t xml:space="preserve"> veškerou součinnost potřebnou pro řádné poskytování Plnění dle této Smlouvy</w:t>
      </w:r>
      <w:r w:rsidR="00072A3E">
        <w:t>.</w:t>
      </w:r>
    </w:p>
    <w:p w14:paraId="1B7B5369" w14:textId="77777777" w:rsidR="007D36D1" w:rsidRPr="00722867" w:rsidRDefault="007D36D1" w:rsidP="000D711D">
      <w:pPr>
        <w:pStyle w:val="Nadpis2"/>
        <w:ind w:left="567" w:hanging="567"/>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C825A6F" w14:textId="5F4E9DA3" w:rsidR="00C24661" w:rsidRDefault="00C24661" w:rsidP="000D711D">
      <w:pPr>
        <w:pStyle w:val="Nadpis2"/>
        <w:ind w:left="567" w:hanging="567"/>
      </w:pPr>
      <w:r>
        <w:t>Poskytovate</w:t>
      </w:r>
      <w:r w:rsidRPr="00A2536D">
        <w:t>l prohlašuje, že je vlastníkem platného certifikátu/osvědčení Výrobce dokládajícího, že je certifikovaným partnerem pro poskytování pro dodávky zařízení a poskytování podpory na dodávané zařízení (dále jen „</w:t>
      </w:r>
      <w:r w:rsidRPr="000A6C34">
        <w:rPr>
          <w:b/>
        </w:rPr>
        <w:t>Certifikát“</w:t>
      </w:r>
      <w:r w:rsidRPr="00A2536D">
        <w:t>). Pr</w:t>
      </w:r>
      <w:r w:rsidRPr="0072114A">
        <w:t>ostou kopii</w:t>
      </w:r>
      <w:r>
        <w:t xml:space="preserve"> Certifikátu</w:t>
      </w:r>
      <w:r w:rsidRPr="0072114A">
        <w:t xml:space="preserve"> se zavazuje předložit </w:t>
      </w:r>
      <w:r>
        <w:t>Objednateli</w:t>
      </w:r>
      <w:r w:rsidRPr="0072114A">
        <w:t xml:space="preserve"> před uzavřením Smlouvy. </w:t>
      </w:r>
      <w:r>
        <w:t>Poskyto</w:t>
      </w:r>
      <w:r w:rsidR="000070BC">
        <w:t>va</w:t>
      </w:r>
      <w:r>
        <w:t>tel</w:t>
      </w:r>
      <w:r w:rsidRPr="0072114A">
        <w:t xml:space="preserve"> je povinen splňovat podmínku vlastnictví platného </w:t>
      </w:r>
      <w:r>
        <w:t>C</w:t>
      </w:r>
      <w:r w:rsidRPr="0072114A">
        <w:t>ertifikátu</w:t>
      </w:r>
      <w:r>
        <w:t xml:space="preserve"> za uvedených podmínek </w:t>
      </w:r>
      <w:r w:rsidRPr="0072114A">
        <w:t>po celou dobu účinnosti Smlouvy.</w:t>
      </w:r>
    </w:p>
    <w:p w14:paraId="3A3C215D" w14:textId="24C674FA" w:rsidR="007D36D1" w:rsidRDefault="007D36D1" w:rsidP="000D711D">
      <w:pPr>
        <w:pStyle w:val="Nadpis2"/>
        <w:ind w:left="567" w:hanging="567"/>
      </w:pPr>
      <w:r>
        <w:t>Poskytovatel prohlašuje, že disponuje veškerými dalšími potřebnými oprávněními pro poskytnutí Plnění.</w:t>
      </w:r>
    </w:p>
    <w:p w14:paraId="38A394FD" w14:textId="1C1490BE" w:rsidR="005369D7" w:rsidRDefault="005369D7" w:rsidP="000D711D">
      <w:pPr>
        <w:pStyle w:val="Nadpis2"/>
        <w:ind w:left="567" w:hanging="567"/>
      </w:pPr>
      <w:r>
        <w:t>Poskytovatel</w:t>
      </w:r>
      <w:r w:rsidRPr="001F4F27">
        <w:t xml:space="preserve"> prohlašuje, že </w:t>
      </w:r>
      <w:r>
        <w:t>HW dodaný dle této Smlouvy</w:t>
      </w:r>
      <w:r w:rsidRPr="001F4F27">
        <w:t xml:space="preserve"> </w:t>
      </w:r>
      <w:r>
        <w:t xml:space="preserve">je </w:t>
      </w:r>
      <w:r w:rsidRPr="001F4F27">
        <w:t>nov</w:t>
      </w:r>
      <w:r>
        <w:t>ý (tj. nikoliv repasovaný, a to ani částečně)</w:t>
      </w:r>
      <w:r w:rsidRPr="001F4F27">
        <w:t xml:space="preserve"> včetně veškerých je</w:t>
      </w:r>
      <w:r>
        <w:t>ho</w:t>
      </w:r>
      <w:r w:rsidRPr="001F4F27">
        <w:t xml:space="preserve"> součástí a příslušenství, originálně zabalen</w:t>
      </w:r>
      <w:r>
        <w:t>ý</w:t>
      </w:r>
      <w:r w:rsidRPr="001F4F27">
        <w:t>, a že vyhovuj</w:t>
      </w:r>
      <w:r>
        <w:t>e</w:t>
      </w:r>
      <w:r w:rsidRPr="001F4F27">
        <w:t xml:space="preserve"> všem technickým,</w:t>
      </w:r>
      <w:r>
        <w:t xml:space="preserve"> bezpečnostním,</w:t>
      </w:r>
      <w:r w:rsidRPr="001F4F27">
        <w:t xml:space="preserve"> licenčním (autorským) a zdravotním normám</w:t>
      </w:r>
      <w:r>
        <w:t xml:space="preserve"> platným a účinným v České republice</w:t>
      </w:r>
      <w:r w:rsidRPr="001F4F27">
        <w:t xml:space="preserve">. </w:t>
      </w:r>
      <w:r w:rsidR="00DD6AB7">
        <w:t>Poskytovatel</w:t>
      </w:r>
      <w:r w:rsidRPr="001F4F27">
        <w:t xml:space="preserve"> </w:t>
      </w:r>
      <w:r>
        <w:t xml:space="preserve">se zavazuje dodat spolu s HW rovněž písemný </w:t>
      </w:r>
      <w:r w:rsidRPr="001F4F27">
        <w:t>návod v</w:t>
      </w:r>
      <w:r>
        <w:t> </w:t>
      </w:r>
      <w:r w:rsidRPr="001F4F27">
        <w:t>českém</w:t>
      </w:r>
      <w:r>
        <w:t xml:space="preserve"> nebo anglickém</w:t>
      </w:r>
      <w:r w:rsidRPr="001F4F27">
        <w:t xml:space="preserve"> jazyce</w:t>
      </w:r>
      <w:r>
        <w:t>, a to v listinné nebo elektronické podobě (tj. buď na vhodném přenosném médiu nebo příp. prostřednictvím odkazu na webové stránky v síti Internet vč. přístupových údajů nutných pro jejich stažení či online prohlížení),</w:t>
      </w:r>
      <w:r w:rsidRPr="001F4F27">
        <w:t xml:space="preserve"> </w:t>
      </w:r>
      <w:r>
        <w:t>informující Objednatele</w:t>
      </w:r>
      <w:r w:rsidRPr="001F4F27">
        <w:t xml:space="preserve"> o vlastnostech</w:t>
      </w:r>
      <w:r>
        <w:t xml:space="preserve"> HW, návodu k obsluze</w:t>
      </w:r>
      <w:r w:rsidRPr="001F4F27">
        <w:t>, o způsobu skladování, použití a údržb</w:t>
      </w:r>
      <w:r>
        <w:t>ě</w:t>
      </w:r>
      <w:r w:rsidRPr="001F4F27">
        <w:t xml:space="preserve"> </w:t>
      </w:r>
      <w:r>
        <w:t>HW</w:t>
      </w:r>
      <w:r w:rsidRPr="001F4F27">
        <w:t xml:space="preserve"> a o nebezpečí, které vyplývá z je</w:t>
      </w:r>
      <w:r>
        <w:t>ho</w:t>
      </w:r>
      <w:r w:rsidRPr="001F4F27">
        <w:t xml:space="preserve"> nesprávného použití nebo údržby. Jestliže je s ohledem na povahu </w:t>
      </w:r>
      <w:r>
        <w:t>HW</w:t>
      </w:r>
      <w:r w:rsidRPr="001F4F27">
        <w:t xml:space="preserve"> nezbytný určitý způsob a/nebo doba jejich užívání, je </w:t>
      </w:r>
      <w:r w:rsidR="00DD6AB7">
        <w:t>Poskytovatel</w:t>
      </w:r>
      <w:r w:rsidRPr="001F4F27">
        <w:t xml:space="preserve"> povinen zajistit, aby tyto informace byly obsaženy</w:t>
      </w:r>
      <w:r>
        <w:t xml:space="preserve"> rovněž</w:t>
      </w:r>
      <w:r w:rsidRPr="001F4F27">
        <w:t xml:space="preserve"> v</w:t>
      </w:r>
      <w:r>
        <w:t> </w:t>
      </w:r>
      <w:r w:rsidRPr="001F4F27">
        <w:t>přiloženém písemném českém</w:t>
      </w:r>
      <w:r>
        <w:t xml:space="preserve"> nebo anglickém</w:t>
      </w:r>
      <w:r w:rsidRPr="001F4F27">
        <w:t xml:space="preserve"> návodu a aby byly srozumitelné.</w:t>
      </w:r>
    </w:p>
    <w:p w14:paraId="7B265BA6" w14:textId="0A030960" w:rsidR="0065542F" w:rsidRDefault="00652AFE" w:rsidP="000D711D">
      <w:pPr>
        <w:pStyle w:val="Nadpis2"/>
        <w:ind w:left="567" w:hanging="567"/>
      </w:pPr>
      <w:r w:rsidRPr="005D3214">
        <w:t xml:space="preserve">Součástí </w:t>
      </w:r>
      <w:r>
        <w:t xml:space="preserve">HW </w:t>
      </w:r>
      <w:r w:rsidRPr="005D3214">
        <w:t>budou veškeré potřebné licence nutné pro bezpečný a</w:t>
      </w:r>
      <w:r>
        <w:t> </w:t>
      </w:r>
      <w:r w:rsidRPr="005D3214">
        <w:t xml:space="preserve">bezvadný provoz </w:t>
      </w:r>
      <w:r>
        <w:t>HW</w:t>
      </w:r>
      <w:r w:rsidRPr="005D3214">
        <w:t>, a to i v</w:t>
      </w:r>
      <w:r w:rsidR="00DE1614">
        <w:t> </w:t>
      </w:r>
      <w:r w:rsidRPr="005D3214">
        <w:t>případě, že nejsou výslovně uvedeny v</w:t>
      </w:r>
      <w:r w:rsidR="00874CF8">
        <w:t xml:space="preserve"> této Smlouvě nebo jejích přílohách; </w:t>
      </w:r>
      <w:r w:rsidRPr="005D3214">
        <w:t xml:space="preserve">Maintenance všech potřebných licencí a dílů bude součástí </w:t>
      </w:r>
      <w:r w:rsidR="0085227B">
        <w:t>Ceny dle čl. V Smlouvy.</w:t>
      </w:r>
    </w:p>
    <w:p w14:paraId="2FD8D0F7" w14:textId="51C4DC1C" w:rsidR="007D36D1" w:rsidRDefault="007D36D1" w:rsidP="000D711D">
      <w:pPr>
        <w:pStyle w:val="Nadpis2"/>
        <w:ind w:left="567" w:hanging="567"/>
      </w:pPr>
      <w:r>
        <w:t xml:space="preserve">Poskytovatel se zavazuje Plnění poskytovat sám nebo s využitím poddodavatelů uvedených v Příloze č. </w:t>
      </w:r>
      <w:r w:rsidR="007307FF">
        <w:t>4</w:t>
      </w:r>
      <w:r>
        <w:t xml:space="preserve"> této Smlouvy</w:t>
      </w:r>
      <w:r w:rsidR="00D85E1C">
        <w:t>,</w:t>
      </w:r>
      <w:r w:rsidR="008A6EF2">
        <w:t xml:space="preserve"> </w:t>
      </w:r>
      <w:r w:rsidR="008A6EF2" w:rsidRPr="001D790E">
        <w:t xml:space="preserve">nebo o kterých Poskytovatel Objednatele informoval v souladu s odst. </w:t>
      </w:r>
      <w:r w:rsidR="00FB1F17">
        <w:t>6</w:t>
      </w:r>
      <w:r w:rsidR="008A6EF2" w:rsidRPr="001D790E">
        <w:t xml:space="preserve">.6, případně za současného dodržení odst. </w:t>
      </w:r>
      <w:r w:rsidR="00FB1F17">
        <w:t>6</w:t>
      </w:r>
      <w:r w:rsidR="008A6EF2" w:rsidRPr="001D790E">
        <w:t>.7</w:t>
      </w:r>
      <w:r w:rsidRPr="001D790E">
        <w:t>.</w:t>
      </w:r>
      <w:r>
        <w:t xml:space="preserve"> </w:t>
      </w:r>
    </w:p>
    <w:p w14:paraId="7BC416A9" w14:textId="3616F075" w:rsidR="00EC2296" w:rsidRDefault="007D36D1" w:rsidP="000D711D">
      <w:pPr>
        <w:pStyle w:val="Nadpis2"/>
        <w:ind w:left="567" w:hanging="567"/>
      </w:pPr>
      <w:r>
        <w:lastRenderedPageBreak/>
        <w:t xml:space="preserve">Zadání provedení části plnění dle Smlouvy poddodavateli Poskytovatelem nezbavuje Poskytovatele jeho výlučné odpovědnosti za řádné poskytování Plnění vůči </w:t>
      </w:r>
      <w:r w:rsidR="00B64307">
        <w:t>Objednateli</w:t>
      </w:r>
      <w:r>
        <w:t xml:space="preserve">. Poskytovatel odpovídá </w:t>
      </w:r>
      <w:r w:rsidR="00B64307">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r w:rsidR="00D844AF">
        <w:t>.</w:t>
      </w:r>
    </w:p>
    <w:p w14:paraId="509ABB14" w14:textId="77777777" w:rsidR="00A179CA" w:rsidRPr="003B0B1D" w:rsidRDefault="00A179CA" w:rsidP="000D711D">
      <w:pPr>
        <w:pStyle w:val="Nadpis1"/>
        <w:ind w:hanging="2156"/>
      </w:pPr>
      <w:r w:rsidRPr="003B0B1D">
        <w:t>Doba a místo plnění</w:t>
      </w:r>
    </w:p>
    <w:p w14:paraId="2EE7C4FA" w14:textId="0C7C7C92" w:rsidR="001C6AAE" w:rsidRDefault="001C6AAE" w:rsidP="000D711D">
      <w:pPr>
        <w:pStyle w:val="Nadpis2"/>
        <w:ind w:left="567" w:hanging="567"/>
      </w:pPr>
      <w:r w:rsidRPr="00304058">
        <w:t xml:space="preserve">Místem plnění dle této </w:t>
      </w:r>
      <w:r>
        <w:t>S</w:t>
      </w:r>
      <w:r w:rsidRPr="00304058">
        <w:t>mlouvy je sídlo Objednatele: Na Vápence 915/14, 130 00 Praha 3</w:t>
      </w:r>
      <w:r>
        <w:t xml:space="preserve"> (dále jen „</w:t>
      </w:r>
      <w:r w:rsidRPr="001C6AAE">
        <w:rPr>
          <w:b/>
          <w:bCs/>
        </w:rPr>
        <w:t>DC Vápenka</w:t>
      </w:r>
      <w:r w:rsidRPr="001C6AAE">
        <w:t>“) a provozovna Objednatele na adrese Čsl. armády 1060, Zeleneč, PSČ 250 91 (dále jen „</w:t>
      </w:r>
      <w:r w:rsidRPr="001C6AAE">
        <w:rPr>
          <w:b/>
          <w:bCs/>
        </w:rPr>
        <w:t>DC Zeleneč“</w:t>
      </w:r>
      <w:r w:rsidRPr="001C6AAE">
        <w:t>) (společně dále jen „</w:t>
      </w:r>
      <w:r w:rsidRPr="001C6AAE">
        <w:rPr>
          <w:b/>
        </w:rPr>
        <w:t>Místo plnění</w:t>
      </w:r>
      <w:r w:rsidRPr="00304058">
        <w:rPr>
          <w:i/>
          <w:iCs/>
        </w:rPr>
        <w:t>“</w:t>
      </w:r>
      <w:r>
        <w:t>)</w:t>
      </w:r>
      <w:r w:rsidRPr="00B96730">
        <w:t>.</w:t>
      </w:r>
    </w:p>
    <w:p w14:paraId="15D3A1B9" w14:textId="318B6910" w:rsidR="00074842" w:rsidRDefault="00FB0073" w:rsidP="000D711D">
      <w:pPr>
        <w:pStyle w:val="Nadpis2"/>
        <w:ind w:left="567" w:hanging="567"/>
        <w:rPr>
          <w:rFonts w:eastAsiaTheme="minorEastAsia"/>
        </w:rPr>
      </w:pPr>
      <w:r w:rsidRPr="00E625FC">
        <w:t>Poskytovatel</w:t>
      </w:r>
      <w:r w:rsidRPr="00C65369">
        <w:t xml:space="preserve"> se </w:t>
      </w:r>
      <w:r w:rsidRPr="003F39DE">
        <w:t>zavazuje</w:t>
      </w:r>
      <w:r w:rsidRPr="00C65369">
        <w:t xml:space="preserve"> </w:t>
      </w:r>
      <w:r w:rsidR="00BF090B">
        <w:t>provést Dodávku HW</w:t>
      </w:r>
      <w:r w:rsidR="00D34CAC">
        <w:t xml:space="preserve"> </w:t>
      </w:r>
      <w:r w:rsidR="00EA3195">
        <w:t xml:space="preserve">do </w:t>
      </w:r>
      <w:r w:rsidR="00A523A6">
        <w:t xml:space="preserve">příslušného </w:t>
      </w:r>
      <w:r w:rsidR="00EA3195">
        <w:t xml:space="preserve">Místa plnění </w:t>
      </w:r>
      <w:r w:rsidR="00EF3590">
        <w:t xml:space="preserve">dle Přílohy č. 2 </w:t>
      </w:r>
      <w:r w:rsidR="00B93C5E">
        <w:t xml:space="preserve">ve </w:t>
      </w:r>
      <w:r w:rsidR="00B93C5E" w:rsidRPr="72110704">
        <w:rPr>
          <w:rFonts w:eastAsiaTheme="minorEastAsia"/>
        </w:rPr>
        <w:t xml:space="preserve">lhůtě </w:t>
      </w:r>
      <w:r w:rsidR="000965B8">
        <w:rPr>
          <w:rFonts w:eastAsiaTheme="minorEastAsia"/>
        </w:rPr>
        <w:t>12</w:t>
      </w:r>
      <w:r w:rsidR="00763D4A">
        <w:rPr>
          <w:rFonts w:eastAsiaTheme="minorEastAsia"/>
        </w:rPr>
        <w:t xml:space="preserve"> týdnů</w:t>
      </w:r>
      <w:r w:rsidR="00B93C5E" w:rsidRPr="72110704">
        <w:rPr>
          <w:rFonts w:eastAsiaTheme="minorEastAsia"/>
        </w:rPr>
        <w:t xml:space="preserve"> od</w:t>
      </w:r>
      <w:r w:rsidR="00367185">
        <w:rPr>
          <w:rFonts w:eastAsiaTheme="minorEastAsia"/>
        </w:rPr>
        <w:t xml:space="preserve"> účinnosti této Smlouvy. </w:t>
      </w:r>
      <w:r w:rsidR="00EF78C1">
        <w:t>Poskytovatel</w:t>
      </w:r>
      <w:r w:rsidR="00EF78C1" w:rsidRPr="0059570D">
        <w:t xml:space="preserve"> se zavazuje informovat Oprávněnou osobu Objednatele o přesném termínu provedení </w:t>
      </w:r>
      <w:r w:rsidR="00EF78C1">
        <w:t>Dodávky HW</w:t>
      </w:r>
      <w:r w:rsidR="00EF78C1" w:rsidRPr="0059570D">
        <w:t xml:space="preserve"> (s uvedením konkrétního dne a hodiny) prostřednictvím e-mailové zprávy, a to </w:t>
      </w:r>
      <w:r w:rsidR="00EF78C1" w:rsidRPr="00DE1614">
        <w:t>alespoň 2 pracovní dny</w:t>
      </w:r>
      <w:r w:rsidR="00EF78C1" w:rsidRPr="0059570D">
        <w:t xml:space="preserve"> předem. Termín </w:t>
      </w:r>
      <w:r w:rsidR="00EF78C1">
        <w:t>provedení Dodávky HW</w:t>
      </w:r>
      <w:r w:rsidR="00EF78C1" w:rsidRPr="0059570D">
        <w:t xml:space="preserve"> nesmí být stanoven na jiný den než pracovní, a to pouze v pracovní době, přičemž za pracovní dobu se považuje doba</w:t>
      </w:r>
      <w:r w:rsidR="00EF78C1" w:rsidRPr="005952AE">
        <w:t xml:space="preserve"> od pondělí do pátku od 8 do 16 hodin (dále jen „</w:t>
      </w:r>
      <w:r w:rsidR="00EF78C1" w:rsidRPr="00F5239F">
        <w:rPr>
          <w:b/>
        </w:rPr>
        <w:t>Pracovní doba</w:t>
      </w:r>
      <w:r w:rsidR="00EF78C1" w:rsidRPr="005952AE">
        <w:t>“).</w:t>
      </w:r>
    </w:p>
    <w:p w14:paraId="6CCC9FAF" w14:textId="48465AEE" w:rsidR="00390409" w:rsidRPr="00DE1614" w:rsidRDefault="00367185" w:rsidP="00DE1614">
      <w:pPr>
        <w:pStyle w:val="Nadpis2"/>
        <w:ind w:left="567" w:hanging="567"/>
        <w:rPr>
          <w:rFonts w:eastAsiaTheme="minorEastAsia"/>
        </w:rPr>
      </w:pPr>
      <w:r>
        <w:rPr>
          <w:rFonts w:eastAsiaTheme="minorEastAsia"/>
        </w:rPr>
        <w:t>Instalaci a konfi</w:t>
      </w:r>
      <w:r w:rsidR="00074842">
        <w:rPr>
          <w:rFonts w:eastAsiaTheme="minorEastAsia"/>
        </w:rPr>
        <w:t>g</w:t>
      </w:r>
      <w:r>
        <w:rPr>
          <w:rFonts w:eastAsiaTheme="minorEastAsia"/>
        </w:rPr>
        <w:t xml:space="preserve">uraci a Migraci </w:t>
      </w:r>
      <w:r w:rsidR="00074842">
        <w:rPr>
          <w:rFonts w:eastAsiaTheme="minorEastAsia"/>
        </w:rPr>
        <w:t>se Poskytovatel zavazuje provést v</w:t>
      </w:r>
      <w:r w:rsidR="00BA2169">
        <w:rPr>
          <w:rFonts w:eastAsiaTheme="minorEastAsia"/>
        </w:rPr>
        <w:t xml:space="preserve"> Místě plnění </w:t>
      </w:r>
      <w:r w:rsidR="00112211">
        <w:rPr>
          <w:rFonts w:eastAsiaTheme="minorEastAsia"/>
        </w:rPr>
        <w:t xml:space="preserve">dle Přílohy č. 2 </w:t>
      </w:r>
      <w:r w:rsidR="00BA2169">
        <w:rPr>
          <w:rFonts w:eastAsiaTheme="minorEastAsia"/>
        </w:rPr>
        <w:t>v</w:t>
      </w:r>
      <w:r w:rsidR="00DE1614">
        <w:rPr>
          <w:rFonts w:eastAsiaTheme="minorEastAsia"/>
        </w:rPr>
        <w:t> </w:t>
      </w:r>
      <w:r w:rsidR="00074842">
        <w:rPr>
          <w:rFonts w:eastAsiaTheme="minorEastAsia"/>
        </w:rPr>
        <w:t>termínu, který bude Objednatelem stanoven ve výzvě učiněné Objednatelem</w:t>
      </w:r>
      <w:r w:rsidR="00A95757">
        <w:rPr>
          <w:rFonts w:eastAsiaTheme="minorEastAsia"/>
        </w:rPr>
        <w:t xml:space="preserve"> (dále jen „</w:t>
      </w:r>
      <w:r w:rsidR="00A95757" w:rsidRPr="00A95757">
        <w:rPr>
          <w:rFonts w:eastAsiaTheme="minorEastAsia"/>
          <w:b/>
          <w:bCs/>
        </w:rPr>
        <w:t>Výzva</w:t>
      </w:r>
      <w:r w:rsidR="00A95757">
        <w:rPr>
          <w:rFonts w:eastAsiaTheme="minorEastAsia"/>
        </w:rPr>
        <w:t>“). Výzv</w:t>
      </w:r>
      <w:r w:rsidR="00C94B60">
        <w:rPr>
          <w:rFonts w:eastAsiaTheme="minorEastAsia"/>
        </w:rPr>
        <w:t>a bude učiněna</w:t>
      </w:r>
      <w:r w:rsidR="00A95757">
        <w:rPr>
          <w:rFonts w:eastAsiaTheme="minorEastAsia"/>
        </w:rPr>
        <w:t xml:space="preserve"> </w:t>
      </w:r>
      <w:r w:rsidR="00B93C5E" w:rsidRPr="72110704">
        <w:rPr>
          <w:rFonts w:eastAsiaTheme="minorEastAsia"/>
        </w:rPr>
        <w:t>Oprávněnou osobou Objednatele prostřednictvím e-mailové zprávy zaslané Oprávněné osobě Poskytovatele</w:t>
      </w:r>
      <w:r w:rsidR="00C94B60">
        <w:rPr>
          <w:rFonts w:eastAsiaTheme="minorEastAsia"/>
        </w:rPr>
        <w:t>, a to do 3 měsíců od účinnosti této Smlouvy</w:t>
      </w:r>
      <w:r w:rsidR="005A6B96">
        <w:rPr>
          <w:rFonts w:eastAsiaTheme="minorEastAsia"/>
        </w:rPr>
        <w:t>, nedohodnou-li se Smluvní strany písemně jinak</w:t>
      </w:r>
      <w:r w:rsidR="00D15092">
        <w:rPr>
          <w:rFonts w:eastAsiaTheme="minorEastAsia"/>
        </w:rPr>
        <w:t xml:space="preserve">. </w:t>
      </w:r>
      <w:r w:rsidR="00C94B60">
        <w:rPr>
          <w:rFonts w:eastAsiaTheme="minorEastAsia"/>
        </w:rPr>
        <w:t xml:space="preserve">Termín k plnění Instalace a konfigurace a </w:t>
      </w:r>
      <w:r w:rsidR="00336C67">
        <w:rPr>
          <w:rFonts w:eastAsiaTheme="minorEastAsia"/>
        </w:rPr>
        <w:t xml:space="preserve">Migrace </w:t>
      </w:r>
      <w:r w:rsidR="00C94B60">
        <w:rPr>
          <w:rFonts w:eastAsiaTheme="minorEastAsia"/>
        </w:rPr>
        <w:t xml:space="preserve">uvedený ve Výzvě bude </w:t>
      </w:r>
      <w:r w:rsidR="00336C67">
        <w:rPr>
          <w:rFonts w:eastAsiaTheme="minorEastAsia"/>
        </w:rPr>
        <w:t>Objednatelem stanoven dle provozního kalendáře Zákazníka</w:t>
      </w:r>
      <w:r w:rsidR="00DE2B52">
        <w:rPr>
          <w:rFonts w:eastAsiaTheme="minorEastAsia"/>
        </w:rPr>
        <w:t xml:space="preserve"> (dále jen „</w:t>
      </w:r>
      <w:r w:rsidR="00DE2B52" w:rsidRPr="00501BF0">
        <w:rPr>
          <w:rFonts w:eastAsiaTheme="minorEastAsia"/>
          <w:b/>
          <w:bCs/>
        </w:rPr>
        <w:t>Termín Instalace a konfigurace a Migrace</w:t>
      </w:r>
      <w:r w:rsidR="00DE2B52">
        <w:rPr>
          <w:rFonts w:eastAsiaTheme="minorEastAsia"/>
        </w:rPr>
        <w:t>“)</w:t>
      </w:r>
      <w:r w:rsidR="00336C67">
        <w:rPr>
          <w:rFonts w:eastAsiaTheme="minorEastAsia"/>
        </w:rPr>
        <w:t xml:space="preserve">, přičemž </w:t>
      </w:r>
      <w:r w:rsidR="00DE2B52">
        <w:rPr>
          <w:rFonts w:eastAsiaTheme="minorEastAsia"/>
        </w:rPr>
        <w:t xml:space="preserve">mezní datum, na který může </w:t>
      </w:r>
      <w:r w:rsidR="00FC4D1C">
        <w:rPr>
          <w:rFonts w:eastAsiaTheme="minorEastAsia"/>
        </w:rPr>
        <w:t xml:space="preserve">být </w:t>
      </w:r>
      <w:r w:rsidR="00DE2B52">
        <w:rPr>
          <w:rFonts w:eastAsiaTheme="minorEastAsia"/>
        </w:rPr>
        <w:t>Termín Instalace a konfigurace a Migrace stanoven, je</w:t>
      </w:r>
      <w:r w:rsidR="00336C67">
        <w:rPr>
          <w:rFonts w:eastAsiaTheme="minorEastAsia"/>
        </w:rPr>
        <w:t xml:space="preserve"> 31. 12. 2026, nedohodnou-li se Smluvní strany </w:t>
      </w:r>
      <w:r w:rsidR="005A6B96">
        <w:rPr>
          <w:rFonts w:eastAsiaTheme="minorEastAsia"/>
        </w:rPr>
        <w:t xml:space="preserve">písemně </w:t>
      </w:r>
      <w:r w:rsidR="00336C67">
        <w:rPr>
          <w:rFonts w:eastAsiaTheme="minorEastAsia"/>
        </w:rPr>
        <w:t xml:space="preserve">jinak. </w:t>
      </w:r>
      <w:r w:rsidR="005A6B96">
        <w:rPr>
          <w:rFonts w:eastAsiaTheme="minorEastAsia"/>
        </w:rPr>
        <w:t xml:space="preserve">Termín Instalace a konfigurace </w:t>
      </w:r>
      <w:r w:rsidR="002C3E9F">
        <w:rPr>
          <w:rFonts w:eastAsiaTheme="minorEastAsia"/>
        </w:rPr>
        <w:t xml:space="preserve">a Migrace bude </w:t>
      </w:r>
      <w:r w:rsidR="00942D0A">
        <w:rPr>
          <w:rFonts w:eastAsiaTheme="minorEastAsia"/>
        </w:rPr>
        <w:t xml:space="preserve">Výzvou </w:t>
      </w:r>
      <w:r w:rsidR="002C3E9F">
        <w:rPr>
          <w:rFonts w:eastAsiaTheme="minorEastAsia"/>
        </w:rPr>
        <w:t xml:space="preserve">stanoven minimálně </w:t>
      </w:r>
      <w:r w:rsidR="002C3E9F" w:rsidRPr="00DE1614">
        <w:rPr>
          <w:rFonts w:eastAsiaTheme="minorEastAsia"/>
        </w:rPr>
        <w:t>10</w:t>
      </w:r>
      <w:r w:rsidR="002C3E9F">
        <w:rPr>
          <w:rFonts w:eastAsiaTheme="minorEastAsia"/>
        </w:rPr>
        <w:t xml:space="preserve"> pracovních dní dopředu</w:t>
      </w:r>
      <w:r w:rsidR="005628BD">
        <w:rPr>
          <w:rFonts w:eastAsiaTheme="minorEastAsia"/>
        </w:rPr>
        <w:t>;</w:t>
      </w:r>
      <w:r w:rsidR="002C3E9F">
        <w:rPr>
          <w:rFonts w:eastAsiaTheme="minorEastAsia"/>
        </w:rPr>
        <w:t xml:space="preserve"> </w:t>
      </w:r>
      <w:r w:rsidR="00F83BED">
        <w:rPr>
          <w:rFonts w:eastAsiaTheme="minorEastAsia"/>
        </w:rPr>
        <w:t>před jeho konáním</w:t>
      </w:r>
      <w:r w:rsidR="002C3E9F">
        <w:rPr>
          <w:rFonts w:eastAsiaTheme="minorEastAsia"/>
        </w:rPr>
        <w:t xml:space="preserve"> může být </w:t>
      </w:r>
      <w:r w:rsidR="005F2BC3">
        <w:rPr>
          <w:rFonts w:eastAsiaTheme="minorEastAsia"/>
        </w:rPr>
        <w:t xml:space="preserve">v odůvodněných případech </w:t>
      </w:r>
      <w:r w:rsidR="005628BD">
        <w:rPr>
          <w:rFonts w:eastAsiaTheme="minorEastAsia"/>
        </w:rPr>
        <w:t xml:space="preserve">s dostatečným předstihem </w:t>
      </w:r>
      <w:r w:rsidR="005F2BC3">
        <w:rPr>
          <w:rFonts w:eastAsiaTheme="minorEastAsia"/>
        </w:rPr>
        <w:t xml:space="preserve">Objednatelem </w:t>
      </w:r>
      <w:r w:rsidR="00F83BED">
        <w:rPr>
          <w:rFonts w:eastAsiaTheme="minorEastAsia"/>
        </w:rPr>
        <w:t>změně</w:t>
      </w:r>
      <w:r w:rsidR="005628BD">
        <w:rPr>
          <w:rFonts w:eastAsiaTheme="minorEastAsia"/>
        </w:rPr>
        <w:t>n</w:t>
      </w:r>
      <w:r w:rsidR="005F2BC3">
        <w:rPr>
          <w:rFonts w:eastAsiaTheme="minorEastAsia"/>
        </w:rPr>
        <w:t>, a to</w:t>
      </w:r>
      <w:r w:rsidR="005628BD">
        <w:rPr>
          <w:rFonts w:eastAsiaTheme="minorEastAsia"/>
        </w:rPr>
        <w:t xml:space="preserve"> z vážných provozních důvodů na straně Zákazníka</w:t>
      </w:r>
      <w:r w:rsidR="005F2BC3">
        <w:rPr>
          <w:rFonts w:eastAsiaTheme="minorEastAsia"/>
        </w:rPr>
        <w:t xml:space="preserve"> a v souladu s tímto odstavcem</w:t>
      </w:r>
      <w:r w:rsidR="00F83BED">
        <w:rPr>
          <w:rFonts w:eastAsiaTheme="minorEastAsia"/>
        </w:rPr>
        <w:t>.</w:t>
      </w:r>
      <w:r w:rsidR="00294C08">
        <w:rPr>
          <w:rFonts w:eastAsiaTheme="minorEastAsia"/>
        </w:rPr>
        <w:t xml:space="preserve"> Poskytovatel bere na vědomí</w:t>
      </w:r>
      <w:r w:rsidR="00F26D02">
        <w:rPr>
          <w:rFonts w:eastAsiaTheme="minorEastAsia"/>
        </w:rPr>
        <w:t xml:space="preserve"> a souhlasí s tím</w:t>
      </w:r>
      <w:r w:rsidR="00294C08">
        <w:rPr>
          <w:rFonts w:eastAsiaTheme="minorEastAsia"/>
        </w:rPr>
        <w:t>, že Termín Instalace</w:t>
      </w:r>
      <w:r w:rsidR="00F26D02">
        <w:rPr>
          <w:rFonts w:eastAsiaTheme="minorEastAsia"/>
        </w:rPr>
        <w:t xml:space="preserve"> a konfigurace a Migrace může být stanoven i mimo Pracovní dobu. </w:t>
      </w:r>
    </w:p>
    <w:p w14:paraId="2AAFF0AB" w14:textId="4165E5DC" w:rsidR="00355707" w:rsidRDefault="00413F34" w:rsidP="000D711D">
      <w:pPr>
        <w:pStyle w:val="Nadpis2"/>
        <w:ind w:left="567" w:hanging="567"/>
      </w:pPr>
      <w:r>
        <w:t xml:space="preserve">O provedení Dodávky HW dle </w:t>
      </w:r>
      <w:r w:rsidRPr="000D711D">
        <w:t>Přílohy č. 1</w:t>
      </w:r>
      <w:r w:rsidRPr="00F5239F">
        <w:rPr>
          <w:b/>
          <w:bCs/>
        </w:rPr>
        <w:t xml:space="preserve"> </w:t>
      </w:r>
      <w:r w:rsidRPr="00F5239F">
        <w:t xml:space="preserve">Smlouvy a Instalace a konfigurace zařízení včetně Migrace dle </w:t>
      </w:r>
      <w:r w:rsidRPr="000D711D">
        <w:t xml:space="preserve">Přílohy č. </w:t>
      </w:r>
      <w:r w:rsidR="009B3004" w:rsidRPr="000D711D">
        <w:t>2</w:t>
      </w:r>
      <w:r w:rsidRPr="00F5239F">
        <w:t xml:space="preserve"> Smlouvy bude sepsán akceptační protokol, podepsaný Objednatelem a Poskytovatelem (dále jen „</w:t>
      </w:r>
      <w:r w:rsidRPr="00F5239F">
        <w:rPr>
          <w:b/>
        </w:rPr>
        <w:t>Akceptační protokol</w:t>
      </w:r>
      <w:r w:rsidRPr="00F5239F">
        <w:t xml:space="preserve">“), jehož vzor je součástí </w:t>
      </w:r>
      <w:r w:rsidRPr="000D711D">
        <w:t xml:space="preserve">Přílohy č. </w:t>
      </w:r>
      <w:r w:rsidR="009B3004" w:rsidRPr="000D711D">
        <w:t>3</w:t>
      </w:r>
      <w:r w:rsidRPr="00F5239F">
        <w:t xml:space="preserve"> Smlouvy</w:t>
      </w:r>
      <w:r>
        <w:t>. Akceptační protokol bude vyhotoven ve dvou stejnopisech, přičemž jedno vyhotovení obdrží Objednatel a jedno vyhotovení obdrží Poskytovatel. V případě, že bude mít Objednatel k Dodávce HW, I</w:t>
      </w:r>
      <w:r w:rsidRPr="00C73D3B">
        <w:t xml:space="preserve">nstalaci a konfiguraci zařízení včetně </w:t>
      </w:r>
      <w:r>
        <w:t>M</w:t>
      </w:r>
      <w:r w:rsidRPr="00C73D3B">
        <w:t xml:space="preserve">igrace </w:t>
      </w:r>
      <w:r>
        <w:t xml:space="preserve">výhrady, zavazuje se je uvést do Akceptačního protokolu. Nesouhlasí-li </w:t>
      </w:r>
      <w:r w:rsidR="00516866">
        <w:t xml:space="preserve">Poskytovatel </w:t>
      </w:r>
      <w:r>
        <w:t xml:space="preserve">s uvedenými výhradami je povinen je písemně v Akceptačním protokolu rozporovat. Nerozporuje-li </w:t>
      </w:r>
      <w:r w:rsidR="00516866">
        <w:t xml:space="preserve">Poskytovatel </w:t>
      </w:r>
      <w:r>
        <w:t xml:space="preserve">výhrady uvedené Objednatelem v Akceptačním protokolu, má se za to, že s výhradami souhlasí. Objednatel i </w:t>
      </w:r>
      <w:r w:rsidR="00516866">
        <w:t xml:space="preserve">Poskytovatel </w:t>
      </w:r>
      <w:r>
        <w:t xml:space="preserve">jsou povinni stvrdit obsah Akceptačního protokolu svým jménem a podpisem. V případě, že Akceptační protokol obsahuje výhrady Objednatele, zavazuje se </w:t>
      </w:r>
      <w:r w:rsidR="00516866">
        <w:t xml:space="preserve">Poskytovatel </w:t>
      </w:r>
      <w:r>
        <w:t xml:space="preserve">odstranit výhrady ve lhůtě a způsobem uvedeným Objednatelem v Akceptačním protokolu. Po odstranění výhrad </w:t>
      </w:r>
      <w:proofErr w:type="gramStart"/>
      <w:r>
        <w:t>sepíší</w:t>
      </w:r>
      <w:proofErr w:type="gramEnd"/>
      <w:r>
        <w:t xml:space="preserve"> Objednatel a </w:t>
      </w:r>
      <w:r w:rsidR="00516866">
        <w:t xml:space="preserve">Poskytovatel </w:t>
      </w:r>
      <w:r>
        <w:t>nový Akceptační protokol bez výhrad</w:t>
      </w:r>
      <w:r w:rsidR="00516866">
        <w:t>.</w:t>
      </w:r>
    </w:p>
    <w:p w14:paraId="4FF7B19F" w14:textId="2F54065B" w:rsidR="00DB12B1" w:rsidRDefault="00DB12B1" w:rsidP="000D711D">
      <w:pPr>
        <w:pStyle w:val="Nadpis2"/>
        <w:ind w:left="567" w:hanging="567"/>
      </w:pPr>
      <w:r>
        <w:t>Poskytovatel se zavazuje poskytovat Maintenance ode dne podpisu Akceptačního protokolu bez výhrad oběma Smluvními stranami</w:t>
      </w:r>
      <w:r w:rsidR="00EF78C1">
        <w:t xml:space="preserve"> </w:t>
      </w:r>
      <w:r>
        <w:t>po dobu 60 měsíců.</w:t>
      </w:r>
    </w:p>
    <w:p w14:paraId="0DA360BB" w14:textId="1A913700" w:rsidR="00516866" w:rsidRDefault="007F3072" w:rsidP="000D711D">
      <w:pPr>
        <w:pStyle w:val="Nadpis2"/>
        <w:ind w:left="567" w:hanging="567"/>
      </w:pPr>
      <w:r>
        <w:t>Poskytovatel se zavazuje provést před provedením Dodávky HW, zabalení HW obalem, který zajistí jeho ochranu před poškozením.</w:t>
      </w:r>
    </w:p>
    <w:p w14:paraId="7793074D" w14:textId="1FEDB3DF" w:rsidR="007F3072" w:rsidRPr="007F3072" w:rsidRDefault="003F67C4" w:rsidP="00595C35">
      <w:pPr>
        <w:pStyle w:val="Nadpis2"/>
        <w:ind w:left="567" w:hanging="567"/>
      </w:pPr>
      <w:r>
        <w:t>Objednatel nabývá vlastnické právo k hmotným částem plnění jejich převzetím v Místě plnění na základě Akceptačního protokolu podepsaného Poskytovatelem a Objednatelem (bez ohledu na eventuální výhrady), přičemž tímto okamžikem dochází rovněž k přechodu nebezpečí škody na předmětných hmotných částech Plnění na Objednatele.</w:t>
      </w:r>
    </w:p>
    <w:p w14:paraId="53324B11" w14:textId="68E43BDC" w:rsidR="008F0B35" w:rsidRPr="008F0B35" w:rsidRDefault="00D02123" w:rsidP="000D711D">
      <w:pPr>
        <w:pStyle w:val="Nadpis1"/>
        <w:ind w:hanging="2156"/>
      </w:pPr>
      <w:r>
        <w:lastRenderedPageBreak/>
        <w:t>cena a platební podmínky</w:t>
      </w:r>
    </w:p>
    <w:p w14:paraId="177C2ADC" w14:textId="7C4BFDAE" w:rsidR="00FA226C" w:rsidRPr="000D236B" w:rsidRDefault="009E1F79" w:rsidP="0065423D">
      <w:pPr>
        <w:pStyle w:val="Nadpis2"/>
        <w:ind w:left="567" w:hanging="567"/>
      </w:pPr>
      <w:bookmarkStart w:id="2" w:name="_Ref279566315"/>
      <w:r>
        <w:t>Smluvní strany se dohodly, že</w:t>
      </w:r>
      <w:r w:rsidR="0053348C">
        <w:t xml:space="preserve"> </w:t>
      </w:r>
      <w:r>
        <w:t>ce</w:t>
      </w:r>
      <w:r w:rsidR="00084EA3">
        <w:t>lková cena</w:t>
      </w:r>
      <w:r>
        <w:t xml:space="preserve"> za řádné a včasné poskytnutí </w:t>
      </w:r>
      <w:r w:rsidR="003706CB" w:rsidRPr="00ED0B1F">
        <w:t>Dodávk</w:t>
      </w:r>
      <w:r>
        <w:t>y</w:t>
      </w:r>
      <w:r w:rsidR="003706CB" w:rsidRPr="00ED0B1F">
        <w:t xml:space="preserve"> HW, Instalac</w:t>
      </w:r>
      <w:r w:rsidR="00084EA3">
        <w:t>e</w:t>
      </w:r>
      <w:r w:rsidR="003706CB" w:rsidRPr="00ED0B1F">
        <w:t xml:space="preserve"> a konfigurac</w:t>
      </w:r>
      <w:r w:rsidR="00084EA3">
        <w:t>e</w:t>
      </w:r>
      <w:r w:rsidR="003706CB" w:rsidRPr="00ED0B1F">
        <w:t xml:space="preserve"> a Migrac</w:t>
      </w:r>
      <w:r w:rsidR="00084EA3">
        <w:t>e</w:t>
      </w:r>
      <w:r w:rsidR="003706CB" w:rsidRPr="00ED0B1F">
        <w:t xml:space="preserve"> </w:t>
      </w:r>
      <w:r w:rsidR="00084EA3">
        <w:t>činí</w:t>
      </w:r>
      <w:r w:rsidR="000446E8">
        <w:t xml:space="preserve"> </w:t>
      </w:r>
      <w:r w:rsidR="00D43D4C" w:rsidRPr="155A5D50">
        <w:rPr>
          <w:highlight w:val="green"/>
        </w:rPr>
        <w:t xml:space="preserve">[DOPLNÍ ZADAVATEL dle dodavatelem vyplněné přílohy č. </w:t>
      </w:r>
      <w:r w:rsidR="00F23F57">
        <w:rPr>
          <w:highlight w:val="green"/>
        </w:rPr>
        <w:t>2</w:t>
      </w:r>
      <w:r w:rsidR="00D43D4C" w:rsidRPr="683251BE">
        <w:rPr>
          <w:highlight w:val="green"/>
        </w:rPr>
        <w:t xml:space="preserve"> </w:t>
      </w:r>
      <w:r w:rsidR="00D43D4C" w:rsidRPr="155A5D50">
        <w:rPr>
          <w:highlight w:val="green"/>
        </w:rPr>
        <w:t>zadávací dokumentace]</w:t>
      </w:r>
      <w:r w:rsidR="003A6739">
        <w:t xml:space="preserve"> Kč bez DPH</w:t>
      </w:r>
      <w:r w:rsidR="00163CC4">
        <w:t xml:space="preserve"> (dále jen „</w:t>
      </w:r>
      <w:r w:rsidR="00163CC4" w:rsidRPr="004A6ACB">
        <w:rPr>
          <w:b/>
          <w:bCs/>
        </w:rPr>
        <w:t>Cena za Dodávku HW</w:t>
      </w:r>
      <w:r w:rsidR="004A6ACB" w:rsidRPr="004A6ACB">
        <w:rPr>
          <w:b/>
          <w:bCs/>
        </w:rPr>
        <w:t>, Instalaci</w:t>
      </w:r>
      <w:r w:rsidR="004A6ACB">
        <w:rPr>
          <w:b/>
          <w:bCs/>
        </w:rPr>
        <w:t xml:space="preserve"> a</w:t>
      </w:r>
      <w:r w:rsidR="004A6ACB" w:rsidRPr="004A6ACB">
        <w:rPr>
          <w:b/>
          <w:bCs/>
        </w:rPr>
        <w:t xml:space="preserve"> konfiguraci a Migraci</w:t>
      </w:r>
      <w:r w:rsidR="004A6ACB">
        <w:t>“)</w:t>
      </w:r>
      <w:r w:rsidR="003A6739">
        <w:t>, přičemž jednotkové ceny za jednotlivé dílčí části</w:t>
      </w:r>
      <w:r w:rsidR="00084EA3">
        <w:t xml:space="preserve"> P</w:t>
      </w:r>
      <w:r w:rsidR="003A6739">
        <w:t xml:space="preserve">lnění jsou uvedeny </w:t>
      </w:r>
      <w:r w:rsidR="003706CB" w:rsidRPr="00D43D4C">
        <w:t xml:space="preserve">v Příloze č. </w:t>
      </w:r>
      <w:r w:rsidR="001619CC">
        <w:t>5</w:t>
      </w:r>
      <w:r w:rsidR="003706CB" w:rsidRPr="00D43D4C">
        <w:t xml:space="preserve"> této</w:t>
      </w:r>
      <w:r w:rsidR="003706CB" w:rsidRPr="00ED0B1F">
        <w:t xml:space="preserve"> Smlouvy</w:t>
      </w:r>
      <w:r w:rsidR="003706CB">
        <w:t>.</w:t>
      </w:r>
      <w:r w:rsidR="003706CB" w:rsidRPr="00ED0B1F">
        <w:t xml:space="preserve"> </w:t>
      </w:r>
      <w:r w:rsidR="003706CB">
        <w:t xml:space="preserve">Cena bude hrazena jednorázově </w:t>
      </w:r>
      <w:r w:rsidR="00A05BF9">
        <w:t>postupem dle odst. 5.6</w:t>
      </w:r>
      <w:r w:rsidR="003706CB">
        <w:t>.</w:t>
      </w:r>
    </w:p>
    <w:p w14:paraId="57426F9C" w14:textId="38F2477F" w:rsidR="005D3861" w:rsidRDefault="007F1F88" w:rsidP="0065423D">
      <w:pPr>
        <w:pStyle w:val="Nadpis2"/>
        <w:ind w:left="567" w:hanging="567"/>
      </w:pPr>
      <w:r>
        <w:t xml:space="preserve">Celková cena za </w:t>
      </w:r>
      <w:r w:rsidR="00A53352">
        <w:t xml:space="preserve">Maintenance za </w:t>
      </w:r>
      <w:r>
        <w:t xml:space="preserve">celou dobu jejího </w:t>
      </w:r>
      <w:r w:rsidR="00A7725B">
        <w:t xml:space="preserve">poskytování dle Smlouvy činí </w:t>
      </w:r>
      <w:r w:rsidR="00420339" w:rsidRPr="155A5D50">
        <w:rPr>
          <w:highlight w:val="green"/>
        </w:rPr>
        <w:t xml:space="preserve">[DOPLNÍ ZADAVATEL dle dodavatelem vyplněné přílohy č. </w:t>
      </w:r>
      <w:r w:rsidR="00F23F57">
        <w:rPr>
          <w:highlight w:val="green"/>
        </w:rPr>
        <w:t>2</w:t>
      </w:r>
      <w:r w:rsidR="00420339" w:rsidRPr="683251BE">
        <w:rPr>
          <w:highlight w:val="green"/>
        </w:rPr>
        <w:t xml:space="preserve"> </w:t>
      </w:r>
      <w:r w:rsidR="00420339" w:rsidRPr="155A5D50">
        <w:rPr>
          <w:highlight w:val="green"/>
        </w:rPr>
        <w:t>zadávací dokumentace]</w:t>
      </w:r>
      <w:r w:rsidR="00420339">
        <w:t xml:space="preserve"> Kč bez DPH</w:t>
      </w:r>
      <w:r w:rsidR="00434E9D">
        <w:t xml:space="preserve"> (dále jen „</w:t>
      </w:r>
      <w:r w:rsidR="00434E9D" w:rsidRPr="00434E9D">
        <w:rPr>
          <w:b/>
          <w:bCs/>
        </w:rPr>
        <w:t>Cena za Maintenance</w:t>
      </w:r>
      <w:r w:rsidR="00434E9D">
        <w:t>“)</w:t>
      </w:r>
      <w:r w:rsidR="00420339">
        <w:t xml:space="preserve">, </w:t>
      </w:r>
      <w:r w:rsidR="00E92CA8">
        <w:t xml:space="preserve">přičemž </w:t>
      </w:r>
      <w:r w:rsidR="00163CC4">
        <w:t xml:space="preserve">její </w:t>
      </w:r>
      <w:r w:rsidR="00E92CA8">
        <w:t xml:space="preserve">jednotkové ceny jsou uvedeny </w:t>
      </w:r>
      <w:r w:rsidR="00E92CA8" w:rsidRPr="00D43D4C">
        <w:t xml:space="preserve">v Příloze č. </w:t>
      </w:r>
      <w:r w:rsidR="009B6321">
        <w:t>5</w:t>
      </w:r>
      <w:r w:rsidR="00E92CA8" w:rsidRPr="00D43D4C">
        <w:t xml:space="preserve"> této</w:t>
      </w:r>
      <w:r w:rsidR="00E92CA8" w:rsidRPr="00ED0B1F">
        <w:t xml:space="preserve"> Smlouvy</w:t>
      </w:r>
      <w:r w:rsidR="00E92CA8">
        <w:t>.</w:t>
      </w:r>
      <w:r w:rsidR="00105353">
        <w:t xml:space="preserve"> Z</w:t>
      </w:r>
      <w:r w:rsidR="00E92CA8">
        <w:t xml:space="preserve">působ hrazení </w:t>
      </w:r>
      <w:r w:rsidR="00105353">
        <w:t xml:space="preserve">Ceny za Maintenance </w:t>
      </w:r>
      <w:r w:rsidR="00E92CA8">
        <w:t>je stanoven v odst. 5.7</w:t>
      </w:r>
      <w:r w:rsidR="00420339">
        <w:t>.</w:t>
      </w:r>
      <w:r w:rsidR="00043740" w:rsidRPr="00017495">
        <w:t xml:space="preserve"> </w:t>
      </w:r>
    </w:p>
    <w:p w14:paraId="333837DE" w14:textId="32CF56D1" w:rsidR="00FA226C" w:rsidRDefault="00FA226C" w:rsidP="0065423D">
      <w:pPr>
        <w:pStyle w:val="Nadpis2"/>
        <w:ind w:left="567" w:hanging="567"/>
      </w:pPr>
      <w:r w:rsidRPr="00E625FC">
        <w:t>Poskytovatel</w:t>
      </w:r>
      <w:r>
        <w:t xml:space="preserve"> prohlašuje, že je plátcem DPH.</w:t>
      </w:r>
    </w:p>
    <w:p w14:paraId="5E2B06E0" w14:textId="3A0E97B4" w:rsidR="00327E66" w:rsidRDefault="004A33A5" w:rsidP="0065423D">
      <w:pPr>
        <w:pStyle w:val="Nadpis2"/>
        <w:ind w:left="567" w:hanging="567"/>
      </w:pPr>
      <w:r w:rsidRPr="00776F7B">
        <w:t>DPH bude účtováno dle právních předpisů platných v době uskutečnění zdanitelného plnění.</w:t>
      </w:r>
    </w:p>
    <w:p w14:paraId="0EC40376" w14:textId="36101CCF" w:rsidR="00FA226C" w:rsidRDefault="00FA226C" w:rsidP="0065423D">
      <w:pPr>
        <w:pStyle w:val="Nadpis2"/>
        <w:ind w:left="567" w:hanging="567"/>
      </w:pPr>
      <w:r>
        <w:t>Výše uveden</w:t>
      </w:r>
      <w:r w:rsidR="0085227B">
        <w:t>é ceny</w:t>
      </w:r>
      <w:r>
        <w:t xml:space="preserve"> j</w:t>
      </w:r>
      <w:r w:rsidR="0085227B">
        <w:t>sou</w:t>
      </w:r>
      <w:r>
        <w:t xml:space="preserve"> sjednán</w:t>
      </w:r>
      <w:r w:rsidR="0085227B">
        <w:t>y</w:t>
      </w:r>
      <w:r>
        <w:t xml:space="preserve"> dohodou Smluvních stran podle zákona č. 526/1990 Sb., o</w:t>
      </w:r>
      <w:r w:rsidR="00595C35">
        <w:t> </w:t>
      </w:r>
      <w:r>
        <w:t>cenách, ve znění pozdějších předpisů, a j</w:t>
      </w:r>
      <w:r w:rsidR="0085227B">
        <w:t>sou</w:t>
      </w:r>
      <w:r>
        <w:t xml:space="preserve"> cen</w:t>
      </w:r>
      <w:r w:rsidR="0085227B">
        <w:t>ami</w:t>
      </w:r>
      <w:r>
        <w:t xml:space="preserve"> maximální</w:t>
      </w:r>
      <w:r w:rsidR="0085227B">
        <w:t>mi</w:t>
      </w:r>
      <w:r>
        <w:t xml:space="preserve"> a nepřekročiteln</w:t>
      </w:r>
      <w:r w:rsidR="0085227B">
        <w:t>ými</w:t>
      </w:r>
      <w:r>
        <w:t>, kter</w:t>
      </w:r>
      <w:r w:rsidR="0085227B">
        <w:t>é</w:t>
      </w:r>
      <w:r>
        <w:t xml:space="preserve"> zahrnuj</w:t>
      </w:r>
      <w:r w:rsidR="0085227B">
        <w:t>í</w:t>
      </w:r>
      <w:r>
        <w:t xml:space="preserve"> veškeré náklady spojené s realizací Plnění.</w:t>
      </w:r>
    </w:p>
    <w:p w14:paraId="06F674FA" w14:textId="3A9F552B" w:rsidR="00083611" w:rsidRDefault="004A6ACB" w:rsidP="0065423D">
      <w:pPr>
        <w:pStyle w:val="Nadpis2"/>
        <w:ind w:left="567" w:hanging="567"/>
      </w:pPr>
      <w:r w:rsidRPr="004A6ACB">
        <w:t>Cena za Dodávku HW, Instalaci a konfiguraci a Migraci</w:t>
      </w:r>
      <w:r>
        <w:t xml:space="preserve"> </w:t>
      </w:r>
      <w:r w:rsidR="00083611">
        <w:t>dle bodu 5.1 Smlouvy</w:t>
      </w:r>
      <w:r w:rsidR="00083611" w:rsidRPr="000A0244">
        <w:t xml:space="preserve"> bude uhrazena na základě faktury vystavené </w:t>
      </w:r>
      <w:r w:rsidR="00007B1C">
        <w:t>Poskytovatelem</w:t>
      </w:r>
      <w:r w:rsidR="00083611" w:rsidRPr="000A0244">
        <w:t>,</w:t>
      </w:r>
      <w:r w:rsidR="00083611" w:rsidRPr="00D75862">
        <w:t xml:space="preserve"> přičemž </w:t>
      </w:r>
      <w:r w:rsidR="00083611">
        <w:t>Poskytovatel</w:t>
      </w:r>
      <w:r w:rsidR="00083611" w:rsidRPr="00D75862">
        <w:t xml:space="preserve"> je oprávněn vystavit fakturu nejdříve první den následující po dni podpisu </w:t>
      </w:r>
      <w:r w:rsidR="00083611">
        <w:t>Akceptačního</w:t>
      </w:r>
      <w:r w:rsidR="00083611" w:rsidRPr="00D75862">
        <w:t xml:space="preserve"> protokolu bez výhrad Objednatelem a </w:t>
      </w:r>
      <w:r w:rsidR="00083611">
        <w:t>Poskytovatelem</w:t>
      </w:r>
      <w:r w:rsidR="00083611" w:rsidRPr="00D75862">
        <w:t>. Přílohou faktury bude kopie (</w:t>
      </w:r>
      <w:proofErr w:type="spellStart"/>
      <w:r w:rsidR="00083611" w:rsidRPr="00D75862">
        <w:t>scan</w:t>
      </w:r>
      <w:proofErr w:type="spellEnd"/>
      <w:r w:rsidR="00083611" w:rsidRPr="00D75862">
        <w:t>)</w:t>
      </w:r>
      <w:r w:rsidR="00083611">
        <w:t xml:space="preserve"> Akceptačního</w:t>
      </w:r>
      <w:r w:rsidR="00083611" w:rsidRPr="00D75862">
        <w:t xml:space="preserve"> protokolu bez výhrad.</w:t>
      </w:r>
    </w:p>
    <w:p w14:paraId="29B40723" w14:textId="63340CB1" w:rsidR="002A2F19" w:rsidRDefault="002A2F19" w:rsidP="0065423D">
      <w:pPr>
        <w:pStyle w:val="Nadpis2"/>
        <w:ind w:left="567" w:hanging="567"/>
      </w:pPr>
      <w:r w:rsidRPr="000A0244">
        <w:t>Cen</w:t>
      </w:r>
      <w:r>
        <w:t>a</w:t>
      </w:r>
      <w:r w:rsidRPr="000A0244">
        <w:t xml:space="preserve"> za</w:t>
      </w:r>
      <w:r w:rsidR="004720C9">
        <w:t xml:space="preserve"> </w:t>
      </w:r>
      <w:r w:rsidR="00083611">
        <w:t>Maintenance</w:t>
      </w:r>
      <w:r w:rsidR="0067628D">
        <w:t xml:space="preserve"> </w:t>
      </w:r>
      <w:r w:rsidR="003631D3">
        <w:t xml:space="preserve">bude hrazena </w:t>
      </w:r>
      <w:r>
        <w:t xml:space="preserve">na jeden rok poskytování </w:t>
      </w:r>
      <w:r w:rsidR="00B0432C">
        <w:t>Maintenance d</w:t>
      </w:r>
      <w:r>
        <w:t xml:space="preserve">opředu, a to poměrnou částí z celkové </w:t>
      </w:r>
      <w:r w:rsidR="0069651A">
        <w:t>C</w:t>
      </w:r>
      <w:r>
        <w:t xml:space="preserve">eny </w:t>
      </w:r>
      <w:r w:rsidR="0069651A">
        <w:t xml:space="preserve">za Maintenance </w:t>
      </w:r>
      <w:r>
        <w:t xml:space="preserve">uvedené v Příloze č. </w:t>
      </w:r>
      <w:r w:rsidR="00212710">
        <w:t>5</w:t>
      </w:r>
      <w:r>
        <w:t xml:space="preserve"> Smlouvy.</w:t>
      </w:r>
      <w:r w:rsidRPr="000A0244">
        <w:t xml:space="preserve"> </w:t>
      </w:r>
      <w:r>
        <w:t xml:space="preserve">Cena za první rok poskytování </w:t>
      </w:r>
      <w:r w:rsidR="00B0432C">
        <w:t>Maintenance</w:t>
      </w:r>
      <w:r w:rsidRPr="0039181F">
        <w:t xml:space="preserve"> bude hrazena </w:t>
      </w:r>
      <w:r w:rsidRPr="000A0244">
        <w:t>na základě faktur</w:t>
      </w:r>
      <w:r>
        <w:t>y</w:t>
      </w:r>
      <w:r w:rsidRPr="000A0244">
        <w:t xml:space="preserve"> </w:t>
      </w:r>
      <w:r w:rsidRPr="003F39DE">
        <w:t>vystavené</w:t>
      </w:r>
      <w:r w:rsidRPr="000A0244">
        <w:t xml:space="preserve"> </w:t>
      </w:r>
      <w:r>
        <w:t>P</w:t>
      </w:r>
      <w:r w:rsidR="004720C9">
        <w:t>oskytovatelem</w:t>
      </w:r>
      <w:r w:rsidRPr="000A0244">
        <w:t>,</w:t>
      </w:r>
      <w:r w:rsidRPr="00D75862">
        <w:t xml:space="preserve"> přičemž </w:t>
      </w:r>
      <w:r>
        <w:t>P</w:t>
      </w:r>
      <w:r w:rsidR="004720C9">
        <w:t>oskytovatel</w:t>
      </w:r>
      <w:r w:rsidRPr="00D75862">
        <w:t xml:space="preserve"> je oprávněn vystavit fakturu nejdříve první den následující po dni podpisu </w:t>
      </w:r>
      <w:r w:rsidR="00B0432C">
        <w:t xml:space="preserve">Akceptačního </w:t>
      </w:r>
      <w:r w:rsidRPr="00D75862">
        <w:t>protokolu bez</w:t>
      </w:r>
      <w:r>
        <w:t> </w:t>
      </w:r>
      <w:r w:rsidRPr="00D75862">
        <w:t xml:space="preserve">výhrad </w:t>
      </w:r>
      <w:r w:rsidR="004720C9">
        <w:t xml:space="preserve">Objednatelem </w:t>
      </w:r>
      <w:r w:rsidRPr="00D75862">
        <w:t xml:space="preserve">a </w:t>
      </w:r>
      <w:r>
        <w:t>P</w:t>
      </w:r>
      <w:r w:rsidR="004720C9">
        <w:t>oskytovatelem</w:t>
      </w:r>
      <w:r w:rsidRPr="00D75862">
        <w:t>. Přílohou faktury bude kopie (</w:t>
      </w:r>
      <w:proofErr w:type="spellStart"/>
      <w:r w:rsidRPr="00D75862">
        <w:t>scan</w:t>
      </w:r>
      <w:proofErr w:type="spellEnd"/>
      <w:r w:rsidRPr="00D75862">
        <w:t>)</w:t>
      </w:r>
      <w:r>
        <w:t xml:space="preserve"> </w:t>
      </w:r>
      <w:r w:rsidR="00B0432C">
        <w:t xml:space="preserve">Akceptačního </w:t>
      </w:r>
      <w:r w:rsidRPr="00D75862">
        <w:t>protokolu bez</w:t>
      </w:r>
      <w:r>
        <w:t> </w:t>
      </w:r>
      <w:r w:rsidRPr="00D75862">
        <w:t xml:space="preserve">výhrad. </w:t>
      </w:r>
      <w:r w:rsidRPr="00C87BAD">
        <w:t xml:space="preserve">Cena za </w:t>
      </w:r>
      <w:r>
        <w:t>další</w:t>
      </w:r>
      <w:r w:rsidR="001375EC">
        <w:t xml:space="preserve"> 4</w:t>
      </w:r>
      <w:r w:rsidR="0067628D">
        <w:t xml:space="preserve"> </w:t>
      </w:r>
      <w:r>
        <w:t>roky poskytování</w:t>
      </w:r>
      <w:r w:rsidR="00B0432C">
        <w:t xml:space="preserve"> Maintenance</w:t>
      </w:r>
      <w:r>
        <w:t xml:space="preserve"> bude hrazena </w:t>
      </w:r>
      <w:r w:rsidR="003E2784">
        <w:t xml:space="preserve">na základě faktury vystavené Poskytovatelem </w:t>
      </w:r>
      <w:r>
        <w:t>nejdříve den po dni uplynutí předchozího roku jejich poskytování.</w:t>
      </w:r>
      <w:r w:rsidR="00EA4438">
        <w:t xml:space="preserve"> </w:t>
      </w:r>
    </w:p>
    <w:p w14:paraId="05033D2B" w14:textId="5723DAF4" w:rsidR="00FA226C" w:rsidRPr="00596D4C" w:rsidRDefault="00FA226C" w:rsidP="0065423D">
      <w:pPr>
        <w:pStyle w:val="Nadpis2"/>
        <w:ind w:left="567" w:hanging="567"/>
      </w:pPr>
      <w:r w:rsidRPr="00E625FC">
        <w:t>Poskytovatel</w:t>
      </w:r>
      <w:r>
        <w:t xml:space="preserve"> doručí fakturu elektronicky na e-mailovou adresu: </w:t>
      </w:r>
      <w:r w:rsidRPr="00C80F27">
        <w:t xml:space="preserve">epodatelna@spcss.cz nebo prostřednictvím datové schránky </w:t>
      </w:r>
      <w:r w:rsidR="00B64307">
        <w:t>Objednatele</w:t>
      </w:r>
      <w:r w:rsidRPr="00C80F27">
        <w:t>.</w:t>
      </w:r>
    </w:p>
    <w:p w14:paraId="684E476D" w14:textId="77777777" w:rsidR="00FA226C" w:rsidRDefault="00FA226C" w:rsidP="0065423D">
      <w:pPr>
        <w:pStyle w:val="Nadpis2"/>
        <w:ind w:left="567" w:hanging="567"/>
      </w:pPr>
      <w:r w:rsidRPr="008C436D">
        <w:t>Faktura 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1E171244" w14:textId="77777777" w:rsidR="00FA226C" w:rsidRDefault="00FA226C" w:rsidP="000D711D">
      <w:pPr>
        <w:pStyle w:val="Nadpis3"/>
        <w:ind w:left="1560" w:hanging="851"/>
      </w:pPr>
      <w:r>
        <w:t>přesnou specifikaci Plnění;</w:t>
      </w:r>
    </w:p>
    <w:p w14:paraId="7624833B" w14:textId="77777777" w:rsidR="00FA226C" w:rsidRDefault="00FA226C" w:rsidP="000D711D">
      <w:pPr>
        <w:pStyle w:val="Nadpis3"/>
        <w:ind w:left="1560" w:hanging="851"/>
      </w:pPr>
      <w:r>
        <w:t>číslo Smlouvy;</w:t>
      </w:r>
    </w:p>
    <w:p w14:paraId="71CB680A" w14:textId="15EEFC07" w:rsidR="00FA226C" w:rsidRDefault="003E2784" w:rsidP="000D711D">
      <w:pPr>
        <w:pStyle w:val="Nadpis3"/>
        <w:ind w:left="1560" w:hanging="851"/>
      </w:pPr>
      <w:r>
        <w:t>c</w:t>
      </w:r>
      <w:r w:rsidR="00FA226C">
        <w:t>enu za Plnění;</w:t>
      </w:r>
    </w:p>
    <w:p w14:paraId="23634058" w14:textId="77777777" w:rsidR="00FA226C" w:rsidRDefault="00FA226C" w:rsidP="000D711D">
      <w:pPr>
        <w:pStyle w:val="Nadpis3"/>
        <w:ind w:left="1560" w:hanging="851"/>
      </w:pPr>
      <w:r>
        <w:t xml:space="preserve">úplné bankovní spojení </w:t>
      </w:r>
      <w:r w:rsidRPr="00E625FC">
        <w:t>Poskytovatel</w:t>
      </w:r>
      <w:r>
        <w:t>e, přičemž číslo účtu musí odpovídat číslu účtu uvedenému v záhlaví této Smlouvy nebo číslu účtu v registru plátců DPH, popř. řádně oznámenému číslu účtu postupem dle této Smlouvy.</w:t>
      </w:r>
    </w:p>
    <w:p w14:paraId="31A83B6C" w14:textId="5BBDDA66" w:rsidR="00FA226C" w:rsidRDefault="00FA226C" w:rsidP="0065423D">
      <w:pPr>
        <w:pStyle w:val="Nadpis2"/>
        <w:ind w:left="567" w:hanging="567"/>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w:t>
      </w:r>
      <w:r w:rsidR="00B64307">
        <w:t>Objednateli</w:t>
      </w:r>
      <w:r w:rsidRPr="00C80F27">
        <w:t xml:space="preserve">. </w:t>
      </w:r>
    </w:p>
    <w:p w14:paraId="1DFC74B4" w14:textId="79C0637F" w:rsidR="00FA226C" w:rsidRPr="00C17015" w:rsidRDefault="00FA226C" w:rsidP="0065423D">
      <w:pPr>
        <w:pStyle w:val="Nadpis2"/>
        <w:ind w:left="567" w:hanging="567"/>
      </w:pPr>
      <w:r>
        <w:t>Pokud</w:t>
      </w:r>
      <w:r w:rsidRPr="008C436D">
        <w:t xml:space="preserve"> nebude faktura obsahovat stanovené náležitosti nebo v ní nebudou správně uvedené požadované údaje, je </w:t>
      </w:r>
      <w:r w:rsidR="00B64307">
        <w:t>Objednatel</w:t>
      </w:r>
      <w:r w:rsidRPr="008C436D">
        <w:t xml:space="preserve"> oprávněn vrátit ji </w:t>
      </w:r>
      <w:r w:rsidRPr="00E625FC">
        <w:t>Poskytovateli</w:t>
      </w:r>
      <w:r>
        <w:t xml:space="preserve"> před uplynutím lhůty splatnosti</w:t>
      </w:r>
      <w:r w:rsidRPr="008C436D">
        <w:t xml:space="preserve"> s uvedením </w:t>
      </w:r>
      <w:r w:rsidRPr="00C17015">
        <w:t xml:space="preserve">chybějících náležitostí nebo nesprávných údajů, aniž by došlo k prodlení s její úhradou. Ode dne doručení opravené faktury běží </w:t>
      </w:r>
      <w:r w:rsidR="00B64307">
        <w:t>Objednateli</w:t>
      </w:r>
      <w:r w:rsidRPr="00C17015">
        <w:t xml:space="preserve"> nová lhůta splatnosti v délce 30 kalendářních dnů.</w:t>
      </w:r>
    </w:p>
    <w:p w14:paraId="7915E864" w14:textId="77777777" w:rsidR="00FA226C" w:rsidRPr="003B0B1D" w:rsidRDefault="00FA226C" w:rsidP="0065423D">
      <w:pPr>
        <w:pStyle w:val="Nadpis2"/>
        <w:ind w:left="567" w:hanging="567"/>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Pr="00920582">
        <w:t xml:space="preserve">. </w:t>
      </w:r>
      <w:bookmarkEnd w:id="2"/>
    </w:p>
    <w:p w14:paraId="58813DB6" w14:textId="3630F16C" w:rsidR="00FA226C" w:rsidRPr="00F34285" w:rsidRDefault="00FA226C" w:rsidP="0065423D">
      <w:pPr>
        <w:pStyle w:val="Nadpis2"/>
        <w:ind w:left="567" w:hanging="567"/>
      </w:pPr>
      <w:r w:rsidRPr="00DA08BA">
        <w:t xml:space="preserve">Aniž by byl dotčen předcházející odstavec, </w:t>
      </w:r>
      <w:r>
        <w:t>Poskytovatel</w:t>
      </w:r>
      <w:r w:rsidRPr="00DA08BA">
        <w:t xml:space="preserve"> se zavazuje, že bankovní účet jím určený pro zaplacení závazku </w:t>
      </w:r>
      <w:r w:rsidR="00B64307">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B64307">
        <w:t>Objednateli</w:t>
      </w:r>
      <w:r>
        <w:t xml:space="preserve"> </w:t>
      </w:r>
      <w:r w:rsidRPr="00F34285">
        <w:t>jiný bankovní účet řádně zveřejněný ve</w:t>
      </w:r>
      <w:r>
        <w:t> </w:t>
      </w:r>
      <w:r w:rsidRPr="00F34285">
        <w:t>smyslu § 96 ZDPH</w:t>
      </w:r>
      <w:r>
        <w:t>, a to postupem dle této Smlouvy.</w:t>
      </w:r>
    </w:p>
    <w:p w14:paraId="712952D8" w14:textId="0EAA801F" w:rsidR="00FA226C" w:rsidRPr="001B0DB1" w:rsidRDefault="00FA226C" w:rsidP="0065423D">
      <w:pPr>
        <w:pStyle w:val="Nadpis2"/>
        <w:ind w:left="567" w:hanging="567"/>
      </w:pPr>
      <w:r w:rsidRPr="00E625FC">
        <w:lastRenderedPageBreak/>
        <w:t>Poskytovatel</w:t>
      </w:r>
      <w:r>
        <w:t xml:space="preserve"> bere na vědomí, že </w:t>
      </w:r>
      <w:r w:rsidR="00B64307">
        <w:t>Objednatel</w:t>
      </w:r>
      <w:r>
        <w:t xml:space="preserve"> neposkytuje zálohy na poskytnutí Plnění.</w:t>
      </w:r>
    </w:p>
    <w:p w14:paraId="595C1F9B" w14:textId="6B2636D3" w:rsidR="00FA226C" w:rsidRDefault="00FA226C" w:rsidP="0065423D">
      <w:pPr>
        <w:pStyle w:val="Nadpis2"/>
        <w:ind w:left="567" w:hanging="567"/>
      </w:pPr>
      <w:r w:rsidRPr="00E625FC">
        <w:t>Poskytovatel</w:t>
      </w:r>
      <w:r>
        <w:t xml:space="preserve"> prohlašuje, že správce daně před uzavřením Smlouvy nerozhodl o tom, že </w:t>
      </w:r>
      <w:r w:rsidRPr="00E625FC">
        <w:t>Poskytovatel</w:t>
      </w:r>
      <w:r>
        <w:t xml:space="preserve"> je nespolehlivým plátcem ve smyslu § 106a zákona o DPH (dále jen „</w:t>
      </w:r>
      <w:r w:rsidRPr="00A422D5">
        <w:rPr>
          <w:b/>
        </w:rPr>
        <w:t>Nespolehlivý plátce</w:t>
      </w:r>
      <w:r>
        <w:t xml:space="preserve">“). V případě, že správce daně rozhodne o tom, že </w:t>
      </w:r>
      <w:r w:rsidRPr="00E625FC">
        <w:t>Poskytovatel</w:t>
      </w:r>
      <w:r>
        <w:t xml:space="preserve"> je Nespolehlivým plátcem, zavazuje se </w:t>
      </w:r>
      <w:r w:rsidRPr="00E625FC">
        <w:t>Poskytovatel</w:t>
      </w:r>
      <w:r>
        <w:t xml:space="preserve"> o tomto informovat </w:t>
      </w:r>
      <w:r w:rsidR="00B64307">
        <w:t>Objednatele</w:t>
      </w:r>
      <w:r>
        <w:t xml:space="preserve">, a to do 2 pracovních dnů od vydání takového rozhodnutí. Stane-li se </w:t>
      </w:r>
      <w:r w:rsidRPr="00E625FC">
        <w:t>Poskytovatel</w:t>
      </w:r>
      <w:r>
        <w:t xml:space="preserve"> Nespolehlivým plátcem, může uhradit </w:t>
      </w:r>
      <w:r w:rsidR="00B64307">
        <w:t>Objednatel</w:t>
      </w:r>
      <w:r>
        <w:t xml:space="preserve"> </w:t>
      </w:r>
      <w:r w:rsidRPr="00E625FC">
        <w:t>Poskytovatel</w:t>
      </w:r>
      <w:r>
        <w:t xml:space="preserve">i pouze základ daně, přičemž DPH bude Smluvním partnerem uhrazena </w:t>
      </w:r>
      <w:r w:rsidRPr="00E625FC">
        <w:t>Poskytovatel</w:t>
      </w:r>
      <w:r>
        <w:t xml:space="preserve">i až po písemném doložení </w:t>
      </w:r>
      <w:r w:rsidRPr="00E625FC">
        <w:t>Poskytovatele</w:t>
      </w:r>
      <w:r>
        <w:t xml:space="preserve"> o jeho úhradě této DPH příslušnému správci daně.</w:t>
      </w:r>
    </w:p>
    <w:p w14:paraId="3E354FF4" w14:textId="77777777" w:rsidR="00FA226C" w:rsidRPr="00AE654F" w:rsidRDefault="00FA226C" w:rsidP="0065423D">
      <w:pPr>
        <w:pStyle w:val="Nadpis2"/>
        <w:ind w:left="567" w:hanging="567"/>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t> </w:t>
      </w:r>
      <w:r w:rsidRPr="00AE654F">
        <w:t>obdržení platby ze strany Objednatele za konkrétní Plnění, resp. jeho část.</w:t>
      </w:r>
    </w:p>
    <w:p w14:paraId="57A8941F" w14:textId="77777777" w:rsidR="00B95567" w:rsidRPr="00BD2BDE" w:rsidRDefault="00E056F1" w:rsidP="000D711D">
      <w:pPr>
        <w:pStyle w:val="Nadpis1"/>
        <w:ind w:hanging="2156"/>
      </w:pPr>
      <w:r>
        <w:t xml:space="preserve">práva a </w:t>
      </w:r>
      <w:r w:rsidRPr="002A590A">
        <w:t>povinnosti</w:t>
      </w:r>
      <w:r w:rsidR="00B95567">
        <w:t xml:space="preserve"> smluvních stran</w:t>
      </w:r>
    </w:p>
    <w:p w14:paraId="621296E6" w14:textId="34123690" w:rsidR="00EC1A4D" w:rsidRPr="006255A0" w:rsidRDefault="00EC1A4D" w:rsidP="0065423D">
      <w:pPr>
        <w:pStyle w:val="Nadpis2"/>
        <w:ind w:left="567" w:hanging="567"/>
      </w:pPr>
      <w:r w:rsidRPr="00E625FC">
        <w:rPr>
          <w:rStyle w:val="TMNormlnModrChar"/>
          <w:rFonts w:ascii="Verdana" w:eastAsiaTheme="minorHAnsi" w:hAnsi="Verdana" w:cs="Arial"/>
          <w:color w:val="auto"/>
        </w:rPr>
        <w:t>Poskytovatel</w:t>
      </w:r>
      <w:r w:rsidRPr="006255A0">
        <w:t xml:space="preserve"> a </w:t>
      </w:r>
      <w:r w:rsidR="00B64307">
        <w:t>Objednatel</w:t>
      </w:r>
      <w:r w:rsidRPr="006255A0">
        <w:t xml:space="preserve"> jsou povinni si poskytovat součinnost a vzájemně se informovat o všech okolnostech důležitých pro řádné a včasné plnění Smlouvy.</w:t>
      </w:r>
    </w:p>
    <w:p w14:paraId="7E33D370" w14:textId="39C3FA2B" w:rsidR="00EC1A4D" w:rsidRPr="006255A0" w:rsidRDefault="00B64307" w:rsidP="0065423D">
      <w:pPr>
        <w:pStyle w:val="Nadpis2"/>
        <w:ind w:left="567" w:hanging="567"/>
      </w:pPr>
      <w:r>
        <w:t>Objednatel</w:t>
      </w:r>
      <w:r w:rsidR="00EC1A4D" w:rsidRPr="006255A0">
        <w:t xml:space="preserve"> se zavazuje za řádně a včas poskytnuté Plnění zaplatit Cenu za Plnění dle podmínek této Smlouvy.</w:t>
      </w:r>
    </w:p>
    <w:p w14:paraId="25436062" w14:textId="1AA6C2FD" w:rsidR="00EC1A4D" w:rsidRPr="006255A0" w:rsidRDefault="00EC1A4D" w:rsidP="0065423D">
      <w:pPr>
        <w:pStyle w:val="Nadpis2"/>
        <w:keepNext/>
        <w:ind w:left="567" w:hanging="567"/>
      </w:pPr>
      <w:r w:rsidRPr="00E625FC">
        <w:rPr>
          <w:rStyle w:val="TMNormlnModrChar"/>
          <w:rFonts w:ascii="Verdana" w:eastAsiaTheme="minorHAnsi" w:hAnsi="Verdana" w:cs="Arial"/>
          <w:color w:val="auto"/>
        </w:rPr>
        <w:t>Poskytovatel</w:t>
      </w:r>
      <w:r w:rsidRPr="006255A0">
        <w:t xml:space="preserve"> se zavazuje poskytnout Plnění řádně, včas a s odbornou péčí a v souladu se zájmy </w:t>
      </w:r>
      <w:r w:rsidR="00B64307">
        <w:t>Objednatele</w:t>
      </w:r>
      <w:r w:rsidRPr="006255A0">
        <w:t xml:space="preserve">, jakož i právními předpisy. Má-li </w:t>
      </w:r>
      <w:r w:rsidRPr="00E625FC">
        <w:rPr>
          <w:rStyle w:val="TMNormlnModrChar"/>
          <w:rFonts w:ascii="Verdana" w:eastAsiaTheme="minorHAnsi" w:hAnsi="Verdana" w:cs="Arial"/>
          <w:color w:val="auto"/>
        </w:rPr>
        <w:t>Poskytovatel</w:t>
      </w:r>
      <w:r w:rsidRPr="006255A0">
        <w:t xml:space="preserve"> pochybnost, zda zamýšlený úkon je či není ve prospěch </w:t>
      </w:r>
      <w:r w:rsidR="00B64307">
        <w:t>Objednatele</w:t>
      </w:r>
      <w:r w:rsidRPr="006255A0">
        <w:t xml:space="preserve">, je povinen o této skutečnosti </w:t>
      </w:r>
      <w:r w:rsidR="00B64307">
        <w:t>Objednatele</w:t>
      </w:r>
      <w:r w:rsidRPr="006255A0">
        <w:t xml:space="preserve"> neprodleně informovat a vyžádat si jeho stanovisko, jak v dané záležitosti postupovat. V případě, že pokyny </w:t>
      </w:r>
      <w:r w:rsidR="00B64307">
        <w:t>Objednatele</w:t>
      </w:r>
      <w:r w:rsidRPr="006255A0">
        <w:t xml:space="preserve"> budou v rozporu s obecně závaznými právními předpisy, bude </w:t>
      </w:r>
      <w:r w:rsidRPr="00E625FC">
        <w:rPr>
          <w:rStyle w:val="TMNormlnModrChar"/>
          <w:rFonts w:ascii="Verdana" w:eastAsiaTheme="minorHAnsi" w:hAnsi="Verdana" w:cs="Arial"/>
          <w:color w:val="auto"/>
        </w:rPr>
        <w:t>Poskytovatel</w:t>
      </w:r>
      <w:r w:rsidRPr="006255A0">
        <w:t xml:space="preserve"> na tuto skutečnost povinen </w:t>
      </w:r>
      <w:r w:rsidR="00B64307">
        <w:t>Objednatele</w:t>
      </w:r>
      <w:r w:rsidRPr="006255A0">
        <w:t xml:space="preserve"> upozornit. Bude-li </w:t>
      </w:r>
      <w:r w:rsidR="00B64307">
        <w:t>Objednatel</w:t>
      </w:r>
      <w:r w:rsidRPr="006255A0">
        <w:t xml:space="preserve"> na takovém pokynu trvat, bude </w:t>
      </w:r>
      <w:r w:rsidRPr="00E625FC">
        <w:rPr>
          <w:rStyle w:val="TMNormlnModrChar"/>
          <w:rFonts w:ascii="Verdana" w:eastAsiaTheme="minorHAnsi" w:hAnsi="Verdana" w:cs="Arial"/>
          <w:color w:val="auto"/>
        </w:rPr>
        <w:t>Poskytovatel</w:t>
      </w:r>
      <w:r w:rsidRPr="006255A0">
        <w:t xml:space="preserve"> oprávněn splnění pokynu odmítnout.</w:t>
      </w:r>
    </w:p>
    <w:p w14:paraId="24D54A46" w14:textId="0A931810" w:rsidR="00EC1A4D" w:rsidRPr="006255A0" w:rsidRDefault="00EC1A4D" w:rsidP="0065423D">
      <w:pPr>
        <w:pStyle w:val="Nadpis2"/>
        <w:ind w:left="567" w:hanging="567"/>
      </w:pPr>
      <w:r w:rsidRPr="00E625FC">
        <w:rPr>
          <w:rStyle w:val="TMNormlnModrChar"/>
          <w:rFonts w:ascii="Verdana" w:eastAsiaTheme="minorHAnsi" w:hAnsi="Verdana" w:cs="Arial"/>
          <w:color w:val="auto"/>
        </w:rPr>
        <w:t>Poskytovatel</w:t>
      </w:r>
      <w:r w:rsidRPr="006255A0">
        <w:t xml:space="preserve"> se zavazuje, že bude při plnění této Smlouvy dodržovat obecně závazné právní předpisy a bude se řídit organizačními pokyny </w:t>
      </w:r>
      <w:r w:rsidR="00B64307">
        <w:t>Objednatele</w:t>
      </w:r>
      <w:r w:rsidRPr="006255A0">
        <w:t>.</w:t>
      </w:r>
    </w:p>
    <w:p w14:paraId="258F1B86" w14:textId="77777777" w:rsidR="00EC1A4D" w:rsidRPr="006255A0" w:rsidRDefault="00EC1A4D" w:rsidP="0065423D">
      <w:pPr>
        <w:pStyle w:val="Nadpis2"/>
        <w:ind w:left="567" w:hanging="567"/>
      </w:pPr>
      <w:r w:rsidRPr="006255A0">
        <w:t>Poskytovatel je povinen poskytnout Plnění dle této Smlouvy na své náklady a na své nebezpečí.</w:t>
      </w:r>
    </w:p>
    <w:p w14:paraId="6F861924" w14:textId="1D32C7D6" w:rsidR="00403275" w:rsidRPr="00FB1F17" w:rsidRDefault="00403275" w:rsidP="00D977DD">
      <w:pPr>
        <w:pStyle w:val="Nadpis2"/>
        <w:keepNext/>
        <w:numPr>
          <w:ilvl w:val="1"/>
          <w:numId w:val="5"/>
        </w:numPr>
        <w:ind w:left="567" w:hanging="567"/>
        <w:rPr>
          <w:rStyle w:val="TMNormlnModrChar"/>
          <w:rFonts w:ascii="Verdana" w:eastAsiaTheme="minorHAnsi" w:hAnsi="Verdana" w:cstheme="minorBidi"/>
          <w:color w:val="auto"/>
          <w:szCs w:val="22"/>
          <w:lang w:eastAsia="en-US"/>
        </w:rPr>
      </w:pPr>
      <w:bookmarkStart w:id="3" w:name="_Ref215133338"/>
      <w:r w:rsidRPr="00FB1F17">
        <w:rPr>
          <w:rFonts w:cs="Tahoma"/>
        </w:rPr>
        <w:t xml:space="preserve">Poskytovatel je povinen písemně informovat Objednatele o všech svých dodavatelích a jejich dalších dodavatelích a poddodavatelích a o jejich změnách, a to formou strukturovaného seznamu těchto dodavatelů a všech dalších poddodavatelů, ve kterém budou uvedeny identifikační a kontaktní údaje dodavatele či poddodavatele, informace o tom, které služby pro něj v rámci předmětu plnění každý z dodavatelů či poddodavatelů poskytuje a jejich pořadí v dodavatelském řetězci. Poskytovatel </w:t>
      </w:r>
      <w:r w:rsidRPr="00FB1F17">
        <w:t>zpřístupní Objednateli tento seznam do třiceti (30) dnů od nabytí účinnosti této Smlouvy, a následně Objednatele informuje o jakýchkoli změnách v tomto seznamu bez zbytečného odkladu od okamžiku, kdy se Poskytovatel o dané změně dozvěděl</w:t>
      </w:r>
      <w:bookmarkEnd w:id="3"/>
      <w:r w:rsidRPr="00FB1F17">
        <w:t>.</w:t>
      </w:r>
    </w:p>
    <w:p w14:paraId="7E1FB114" w14:textId="4011375F" w:rsidR="00EC1A4D" w:rsidRPr="006255A0" w:rsidRDefault="00EC1A4D" w:rsidP="0065423D">
      <w:pPr>
        <w:pStyle w:val="Nadpis2"/>
        <w:ind w:left="567" w:hanging="567"/>
      </w:pPr>
      <w:r w:rsidRPr="00E625FC">
        <w:rPr>
          <w:rStyle w:val="TMNormlnModrChar"/>
          <w:rFonts w:ascii="Verdana" w:eastAsiaTheme="minorHAnsi" w:hAnsi="Verdana" w:cs="Arial"/>
          <w:color w:val="auto"/>
        </w:rPr>
        <w:t>Poskytovatel</w:t>
      </w:r>
      <w:r w:rsidRPr="006255A0">
        <w:t xml:space="preserve">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w:t>
      </w:r>
      <w:r w:rsidRPr="004D281F">
        <w:t>čl. 7.4</w:t>
      </w:r>
      <w:r w:rsidRPr="006255A0">
        <w:t xml:space="preserve"> Zadávací dokumentace.</w:t>
      </w:r>
    </w:p>
    <w:p w14:paraId="4630944C" w14:textId="5496CB4C" w:rsidR="00810AB9" w:rsidRPr="002223E2" w:rsidRDefault="00810AB9" w:rsidP="0065423D">
      <w:pPr>
        <w:pStyle w:val="Nadpis2"/>
        <w:ind w:left="567" w:hanging="567"/>
      </w:pPr>
      <w:r w:rsidRPr="002223E2">
        <w:t>Poskytovatel se zavazuje zavázat své poddodavatele k dodržování veškerých relevantních ujednání mezi Objednatelem a Poskytovatelem tak, aby byla v souladu s požadavky Objednatele na Poskytovatele.</w:t>
      </w:r>
      <w:bookmarkStart w:id="4" w:name="_Ref199499111"/>
      <w:r w:rsidRPr="002223E2">
        <w:t xml:space="preserve"> Poskytovatel se zavazuje zavést odpovídající procesy k dohledu nad plněním povinností poddodavatele v souvislosti s plněním subdodávky související s Plněním dle Smlouvy a v pravidelných intervalech informovat Objednatele o výsledcích dohledu nad plněním těchto povinností, a to bez zbytečného odkladu po vyhotovení výsledné zprávy z provedeného dohledu.</w:t>
      </w:r>
      <w:bookmarkEnd w:id="4"/>
    </w:p>
    <w:p w14:paraId="20D93E75" w14:textId="16C60814" w:rsidR="00EC1A4D" w:rsidRPr="006255A0" w:rsidRDefault="00EC1A4D" w:rsidP="0065423D">
      <w:pPr>
        <w:pStyle w:val="Nadpis2"/>
        <w:ind w:left="567" w:hanging="567"/>
      </w:pPr>
      <w:r w:rsidRPr="006255A0">
        <w:lastRenderedPageBreak/>
        <w:t>Poskytovatel výslovně prohlašuje, že na sebe přebírá nebezpečí změny okolností ve smyslu § 1765 odst. 2 Občanského zákoníku, tj. nevzniká mu právo ve smyslu § 1765 odst. 1 Občanského zákoníku.</w:t>
      </w:r>
    </w:p>
    <w:p w14:paraId="493DE173" w14:textId="77777777" w:rsidR="00EC1A4D" w:rsidRPr="006255A0" w:rsidRDefault="00EC1A4D" w:rsidP="0065423D">
      <w:pPr>
        <w:pStyle w:val="Nadpis2"/>
        <w:ind w:left="567" w:hanging="567"/>
      </w:pPr>
      <w:r w:rsidRPr="006255A0">
        <w:t xml:space="preserve">Poskytovatel je povinen nejméně 2 (dva) pracovní dny před započetím s poskytováním Plnění předat Objednateli seznam Pracovníků Poskytovatele,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65FED589" w14:textId="77777777" w:rsidR="00EC1A4D" w:rsidRPr="006255A0" w:rsidRDefault="00EC1A4D" w:rsidP="0065423D">
      <w:pPr>
        <w:pStyle w:val="Nadpis2"/>
        <w:ind w:left="567" w:hanging="567"/>
      </w:pPr>
      <w:r w:rsidRPr="006255A0">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7C52E406" w14:textId="77777777" w:rsidR="00EC1A4D" w:rsidRPr="006255A0" w:rsidRDefault="00EC1A4D" w:rsidP="00A95930">
      <w:pPr>
        <w:pStyle w:val="Nadpis2"/>
        <w:ind w:left="567" w:hanging="567"/>
      </w:pPr>
      <w:r w:rsidRPr="006255A0">
        <w:t>Objednatel dohodne s Poskytovatelem rozsah oprávnění Poskytovatele ke vstupu, a případně též k vjezdu, do objektů, ve kterých se nachází Místo plnění. Objednatel se zavazuje zajistit Poskytovateli doprovod Oprávněné osoby Objednatele.</w:t>
      </w:r>
    </w:p>
    <w:p w14:paraId="1302B2AB" w14:textId="77777777" w:rsidR="00EC1A4D" w:rsidRPr="006255A0" w:rsidRDefault="00EC1A4D" w:rsidP="0065423D">
      <w:pPr>
        <w:pStyle w:val="Nadpis2"/>
        <w:ind w:left="567" w:hanging="567"/>
      </w:pPr>
      <w:r w:rsidRPr="006255A0">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698D0097" w14:textId="51EA9774" w:rsidR="00EC1A4D" w:rsidRPr="006255A0" w:rsidRDefault="00EC1A4D" w:rsidP="000D711D">
      <w:pPr>
        <w:pStyle w:val="Nadpis2"/>
        <w:ind w:left="567" w:hanging="567"/>
      </w:pPr>
      <w:r w:rsidRPr="006255A0">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A94F03">
        <w:t>.</w:t>
      </w:r>
    </w:p>
    <w:p w14:paraId="147C2E5C" w14:textId="2B885F76" w:rsidR="00461A15" w:rsidRDefault="003C177F" w:rsidP="000D711D">
      <w:pPr>
        <w:pStyle w:val="Nadpis1"/>
        <w:ind w:hanging="2156"/>
      </w:pPr>
      <w:r>
        <w:t xml:space="preserve">náhrada </w:t>
      </w:r>
      <w:r w:rsidR="00437C02">
        <w:t>ÚJMY</w:t>
      </w:r>
    </w:p>
    <w:p w14:paraId="1C768A87" w14:textId="77777777" w:rsidR="000D5671" w:rsidRPr="006255A0" w:rsidRDefault="000D5671" w:rsidP="000D711D">
      <w:pPr>
        <w:pStyle w:val="Nadpis2"/>
        <w:ind w:left="567" w:hanging="567"/>
        <w:rPr>
          <w:szCs w:val="18"/>
        </w:rPr>
      </w:pPr>
      <w:r w:rsidRPr="006255A0">
        <w:rPr>
          <w:szCs w:val="18"/>
        </w:rPr>
        <w:t>Smluvní strany sjednávají, že náhrada újmy se bude řídit právními předpisy, není-li v této Smlouvě sjednáno jinak.</w:t>
      </w:r>
    </w:p>
    <w:p w14:paraId="0AAD2FC4" w14:textId="778CA691" w:rsidR="000D5671" w:rsidRPr="006255A0" w:rsidRDefault="00B64307" w:rsidP="000D711D">
      <w:pPr>
        <w:pStyle w:val="Nadpis2"/>
        <w:ind w:left="567" w:hanging="567"/>
        <w:rPr>
          <w:szCs w:val="18"/>
        </w:rPr>
      </w:pPr>
      <w:r>
        <w:rPr>
          <w:szCs w:val="18"/>
        </w:rPr>
        <w:t>Objednatel</w:t>
      </w:r>
      <w:r w:rsidR="000D5671" w:rsidRPr="006255A0">
        <w:rPr>
          <w:szCs w:val="18"/>
        </w:rPr>
        <w:t xml:space="preserve"> odpovídá za každé zaviněné porušení smluvní povinnosti.</w:t>
      </w:r>
    </w:p>
    <w:p w14:paraId="310E3A10" w14:textId="074FB8DB" w:rsidR="000D5671" w:rsidRPr="006255A0" w:rsidRDefault="000D5671" w:rsidP="000D711D">
      <w:pPr>
        <w:pStyle w:val="Nadpis2"/>
        <w:ind w:left="567" w:hanging="567"/>
        <w:rPr>
          <w:szCs w:val="18"/>
        </w:rPr>
      </w:pPr>
      <w:r w:rsidRPr="0014538E">
        <w:rPr>
          <w:rStyle w:val="TMNormlnModrChar"/>
          <w:rFonts w:ascii="Verdana" w:eastAsiaTheme="minorHAnsi" w:hAnsi="Verdana" w:cs="Arial"/>
          <w:color w:val="auto"/>
        </w:rPr>
        <w:t>Poskytovatel</w:t>
      </w:r>
      <w:r w:rsidRPr="006255A0">
        <w:rPr>
          <w:szCs w:val="18"/>
        </w:rPr>
        <w:t xml:space="preserve"> odpovídá mimo jiné za veškerou újmu, která vznikne v důsledku vadného poskytování Plnění nebo v</w:t>
      </w:r>
      <w:r w:rsidR="003D0DD6">
        <w:rPr>
          <w:szCs w:val="18"/>
        </w:rPr>
        <w:t> </w:t>
      </w:r>
      <w:r w:rsidRPr="006255A0">
        <w:rPr>
          <w:szCs w:val="18"/>
        </w:rPr>
        <w:t>důsledku</w:t>
      </w:r>
      <w:r w:rsidR="003D0DD6">
        <w:rPr>
          <w:szCs w:val="18"/>
        </w:rPr>
        <w:t xml:space="preserve"> porušení</w:t>
      </w:r>
      <w:r w:rsidRPr="006255A0">
        <w:rPr>
          <w:szCs w:val="18"/>
        </w:rPr>
        <w:t xml:space="preserve"> jiné právní povinnosti </w:t>
      </w:r>
      <w:r w:rsidRPr="0014538E">
        <w:rPr>
          <w:rStyle w:val="TMNormlnModrChar"/>
          <w:rFonts w:ascii="Verdana" w:eastAsiaTheme="minorHAnsi" w:hAnsi="Verdana" w:cs="Arial"/>
          <w:color w:val="auto"/>
        </w:rPr>
        <w:t>Poskytovatele</w:t>
      </w:r>
      <w:r w:rsidRPr="006255A0">
        <w:rPr>
          <w:szCs w:val="18"/>
        </w:rPr>
        <w:t>.</w:t>
      </w:r>
    </w:p>
    <w:p w14:paraId="09D632B6" w14:textId="21A5C683" w:rsidR="000D5671" w:rsidRPr="006255A0" w:rsidRDefault="000D5671" w:rsidP="000D711D">
      <w:pPr>
        <w:pStyle w:val="Nadpis2"/>
        <w:ind w:left="567" w:hanging="567"/>
        <w:rPr>
          <w:szCs w:val="18"/>
        </w:rPr>
      </w:pPr>
      <w:r w:rsidRPr="006255A0">
        <w:rPr>
          <w:szCs w:val="18"/>
        </w:rPr>
        <w:t xml:space="preserve">Smluvní strany se dohodly, že omezují právo na náhradu újmy, která může při plnění Smlouvy jedné Smluvní straně vzniknout, a to na celkovou </w:t>
      </w:r>
      <w:r w:rsidRPr="00E217A0">
        <w:rPr>
          <w:szCs w:val="18"/>
        </w:rPr>
        <w:t>částku</w:t>
      </w:r>
      <w:r w:rsidR="005D72D2" w:rsidRPr="00E217A0">
        <w:rPr>
          <w:szCs w:val="18"/>
        </w:rPr>
        <w:t xml:space="preserve"> 15</w:t>
      </w:r>
      <w:r w:rsidR="00D069D3" w:rsidRPr="00E217A0">
        <w:rPr>
          <w:szCs w:val="18"/>
        </w:rPr>
        <w:t> </w:t>
      </w:r>
      <w:r w:rsidRPr="00E217A0">
        <w:rPr>
          <w:szCs w:val="18"/>
        </w:rPr>
        <w:t xml:space="preserve">000 000 </w:t>
      </w:r>
      <w:r w:rsidRPr="006255A0">
        <w:rPr>
          <w:szCs w:val="18"/>
        </w:rPr>
        <w:t>Kč. Ustanovení § 2898 OZ není tímto ujednáním dotčeno, tj. uvedené omezení se neuplatní u újmy způsobené člověku na jeho přirozených právech, anebo způsobené úmyslně či hrubou nedbalostí.</w:t>
      </w:r>
    </w:p>
    <w:p w14:paraId="79641AC0" w14:textId="09297C83" w:rsidR="000D5671" w:rsidRPr="006255A0" w:rsidRDefault="000D5671" w:rsidP="000D711D">
      <w:pPr>
        <w:pStyle w:val="Nadpis2"/>
        <w:keepNext/>
        <w:ind w:left="567" w:hanging="567"/>
        <w:rPr>
          <w:szCs w:val="18"/>
        </w:rPr>
      </w:pPr>
      <w:r w:rsidRPr="006255A0">
        <w:rPr>
          <w:szCs w:val="18"/>
        </w:rPr>
        <w:t xml:space="preserve">Za újmu se přitom s ohledem na odst. 7.3 tohoto článku považuje i újma vzniklá </w:t>
      </w:r>
      <w:r w:rsidR="00B64307">
        <w:rPr>
          <w:szCs w:val="18"/>
        </w:rPr>
        <w:t>Objednateli</w:t>
      </w:r>
      <w:r w:rsidRPr="006255A0">
        <w:rPr>
          <w:szCs w:val="18"/>
        </w:rPr>
        <w:t xml:space="preserve"> porušením jeho vlastní povinnosti vůči některému jeho </w:t>
      </w:r>
      <w:r w:rsidR="00B64307">
        <w:rPr>
          <w:szCs w:val="18"/>
        </w:rPr>
        <w:t>Objednateli</w:t>
      </w:r>
      <w:r w:rsidRPr="006255A0">
        <w:rPr>
          <w:szCs w:val="18"/>
        </w:rPr>
        <w:t xml:space="preserve">, včetně sankce vyplacené smluvním partnerům </w:t>
      </w:r>
      <w:r w:rsidR="00B64307">
        <w:rPr>
          <w:szCs w:val="18"/>
        </w:rPr>
        <w:t>Objednatele</w:t>
      </w:r>
      <w:r w:rsidRPr="006255A0">
        <w:rPr>
          <w:szCs w:val="18"/>
        </w:rPr>
        <w:t xml:space="preserve">, jakákoliv sankce veřejnoprávní povahy uvalená na </w:t>
      </w:r>
      <w:r w:rsidR="00B64307">
        <w:rPr>
          <w:szCs w:val="18"/>
        </w:rPr>
        <w:t>Objednatele</w:t>
      </w:r>
      <w:r w:rsidRPr="006255A0">
        <w:rPr>
          <w:szCs w:val="18"/>
        </w:rPr>
        <w:t xml:space="preserve">, pokud </w:t>
      </w:r>
      <w:r w:rsidR="00B64307">
        <w:rPr>
          <w:szCs w:val="18"/>
        </w:rPr>
        <w:t>Objednatel</w:t>
      </w:r>
      <w:r w:rsidRPr="006255A0">
        <w:rPr>
          <w:szCs w:val="18"/>
        </w:rPr>
        <w:t xml:space="preserve"> porušení své právní povinnosti nemohl z důvodu porušení povinnosti </w:t>
      </w:r>
      <w:r w:rsidRPr="0014538E">
        <w:rPr>
          <w:rStyle w:val="TMNormlnModrChar"/>
          <w:rFonts w:ascii="Verdana" w:eastAsiaTheme="minorHAnsi" w:hAnsi="Verdana" w:cs="Arial"/>
          <w:color w:val="auto"/>
        </w:rPr>
        <w:t>Poskytovatele</w:t>
      </w:r>
      <w:r w:rsidRPr="006255A0">
        <w:rPr>
          <w:szCs w:val="18"/>
        </w:rPr>
        <w:t xml:space="preserve"> zabránit. Újmou vzniklou porušením právní povinnosti </w:t>
      </w:r>
      <w:r w:rsidR="00B64307">
        <w:rPr>
          <w:szCs w:val="18"/>
        </w:rPr>
        <w:t>Objednatele</w:t>
      </w:r>
      <w:r w:rsidRPr="006255A0">
        <w:rPr>
          <w:szCs w:val="18"/>
        </w:rPr>
        <w:t xml:space="preserve"> je i taková újma, která vznikne </w:t>
      </w:r>
      <w:r w:rsidR="00B64307">
        <w:rPr>
          <w:szCs w:val="18"/>
        </w:rPr>
        <w:t>Objednateli</w:t>
      </w:r>
      <w:r w:rsidRPr="006255A0">
        <w:rPr>
          <w:szCs w:val="18"/>
        </w:rPr>
        <w:t xml:space="preserve"> oprávněným odstoupením </w:t>
      </w:r>
      <w:r w:rsidR="00B64307">
        <w:rPr>
          <w:szCs w:val="18"/>
        </w:rPr>
        <w:t>Objednatele</w:t>
      </w:r>
      <w:r w:rsidRPr="006255A0">
        <w:rPr>
          <w:szCs w:val="18"/>
        </w:rPr>
        <w:t xml:space="preserve"> od Smlouvy nebo v jeho důsledku. Takovou újmou jsou mimo jiné náklady vzniklé </w:t>
      </w:r>
      <w:r w:rsidR="00B64307">
        <w:rPr>
          <w:szCs w:val="18"/>
        </w:rPr>
        <w:t>Objednateli</w:t>
      </w:r>
      <w:r w:rsidRPr="006255A0">
        <w:rPr>
          <w:szCs w:val="18"/>
        </w:rPr>
        <w:t xml:space="preserve"> v souvislosti se zajištěním náhradního plnění.</w:t>
      </w:r>
    </w:p>
    <w:p w14:paraId="10631F27" w14:textId="77777777" w:rsidR="000D5671" w:rsidRPr="006255A0" w:rsidRDefault="000D5671" w:rsidP="000D711D">
      <w:pPr>
        <w:pStyle w:val="Nadpis2"/>
        <w:ind w:left="567" w:hanging="567"/>
        <w:rPr>
          <w:szCs w:val="18"/>
        </w:rPr>
      </w:pPr>
      <w:r w:rsidRPr="006255A0">
        <w:rPr>
          <w:szCs w:val="18"/>
        </w:rPr>
        <w:t>Újmu hradí škůdce v penězích, nežádá-li poškozený uvedení do předešlého stavu.</w:t>
      </w:r>
    </w:p>
    <w:p w14:paraId="45AEE81F" w14:textId="77777777" w:rsidR="000D5671" w:rsidRPr="006255A0" w:rsidRDefault="000D5671" w:rsidP="000D711D">
      <w:pPr>
        <w:pStyle w:val="Nadpis2"/>
        <w:ind w:left="567" w:hanging="567"/>
        <w:rPr>
          <w:szCs w:val="18"/>
        </w:rPr>
      </w:pPr>
      <w:r w:rsidRPr="006255A0">
        <w:rPr>
          <w:szCs w:val="18"/>
        </w:rPr>
        <w:t>Náhrada újmy je splatná ve lhůtě 30 dnů ode dne doručení písemné výzvy oprávněné Smluvní strany Smluvní straně povinné z náhrady škody.</w:t>
      </w:r>
    </w:p>
    <w:p w14:paraId="620BB5A4" w14:textId="4FEFDD37" w:rsidR="000D5671" w:rsidRPr="00476FF2" w:rsidRDefault="000D5671" w:rsidP="000D711D">
      <w:pPr>
        <w:pStyle w:val="Nadpis2"/>
        <w:ind w:left="567" w:hanging="567"/>
        <w:rPr>
          <w:szCs w:val="18"/>
        </w:rPr>
      </w:pPr>
      <w:bookmarkStart w:id="5" w:name="_Ref11419362"/>
      <w:r w:rsidRPr="00476FF2">
        <w:rPr>
          <w:szCs w:val="18"/>
        </w:rPr>
        <w:lastRenderedPageBreak/>
        <w:t xml:space="preserve">Poskytovatel se zavazuje mít po celou dobu účinnosti Smlouvy sjednanou pojistnou smlouvu, jejímž předmětem je pojištění odpovědnosti za škodu (újmu) způsobenou jeho činností v souvislosti s poskytováním Plnění </w:t>
      </w:r>
      <w:r w:rsidR="00B64307">
        <w:rPr>
          <w:szCs w:val="18"/>
        </w:rPr>
        <w:t>Objednateli</w:t>
      </w:r>
      <w:r w:rsidRPr="00476FF2">
        <w:rPr>
          <w:szCs w:val="18"/>
        </w:rPr>
        <w:t xml:space="preserve">, případně třetím osobám, a to ve výši pojistného plnění minimálně </w:t>
      </w:r>
      <w:r w:rsidR="009C77C4" w:rsidRPr="00E217A0">
        <w:rPr>
          <w:szCs w:val="18"/>
        </w:rPr>
        <w:t>15</w:t>
      </w:r>
      <w:r w:rsidR="00D069D3" w:rsidRPr="00E217A0">
        <w:rPr>
          <w:szCs w:val="18"/>
        </w:rPr>
        <w:t> </w:t>
      </w:r>
      <w:r w:rsidRPr="00E217A0">
        <w:rPr>
          <w:szCs w:val="18"/>
        </w:rPr>
        <w:t>000 000</w:t>
      </w:r>
      <w:r w:rsidRPr="00476FF2">
        <w:rPr>
          <w:szCs w:val="18"/>
        </w:rPr>
        <w:t xml:space="preserve"> Kč. Na požádání je Poskytovatel povinen </w:t>
      </w:r>
      <w:r w:rsidR="00B64307">
        <w:rPr>
          <w:szCs w:val="18"/>
        </w:rPr>
        <w:t>Objednateli</w:t>
      </w:r>
      <w:r w:rsidRPr="00476FF2">
        <w:rPr>
          <w:szCs w:val="18"/>
        </w:rPr>
        <w:t xml:space="preserve"> takovou aktuálně platnou pojistnou smlouvu nebo pojistný certifikát osvědčující uzavření takové pojistné smlouvy bezodkladně předložit.</w:t>
      </w:r>
      <w:bookmarkEnd w:id="5"/>
    </w:p>
    <w:p w14:paraId="70677F60" w14:textId="4EBA597B" w:rsidR="00627273" w:rsidRPr="004906BB" w:rsidRDefault="00ED6655" w:rsidP="000D711D">
      <w:pPr>
        <w:pStyle w:val="Nadpis1"/>
        <w:ind w:hanging="2156"/>
      </w:pPr>
      <w:r w:rsidRPr="004906BB">
        <w:t>MLČENLIVOST A OCHRANA INFORMACÍ SMLUVNÍCH STRAN</w:t>
      </w:r>
    </w:p>
    <w:p w14:paraId="2C4EE4F9" w14:textId="77777777" w:rsidR="00E9723B" w:rsidRDefault="00E9723B" w:rsidP="000D711D">
      <w:pPr>
        <w:pStyle w:val="Nadpis2"/>
        <w:ind w:left="567" w:hanging="567"/>
      </w:pPr>
      <w:bookmarkStart w:id="6"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69B2F514" w14:textId="2F7EAA37" w:rsidR="00E9723B" w:rsidRDefault="00E9723B" w:rsidP="000D711D">
      <w:pPr>
        <w:pStyle w:val="Nadpis3"/>
        <w:ind w:left="1276" w:hanging="709"/>
      </w:pPr>
      <w:r>
        <w:t xml:space="preserve">veškeré informace poskytnuté Poskytovateli Smluvním partnerem v souvislosti s plněním této Smlouvy (pokud nejsou výslovně obsaženy ve znění Smlouvy zveřejňovaném </w:t>
      </w:r>
      <w:r w:rsidRPr="00E217A0">
        <w:t>dle čl. X</w:t>
      </w:r>
      <w:r w:rsidR="004F7F21" w:rsidRPr="00E217A0">
        <w:t>V</w:t>
      </w:r>
      <w:r w:rsidRPr="00E217A0">
        <w:t>I odst. 1</w:t>
      </w:r>
      <w:r w:rsidR="004F7F21" w:rsidRPr="00E217A0">
        <w:t>6</w:t>
      </w:r>
      <w:r w:rsidRPr="00E217A0">
        <w:t>.6)</w:t>
      </w:r>
      <w:r>
        <w:t>;</w:t>
      </w:r>
    </w:p>
    <w:p w14:paraId="1170EB31" w14:textId="77777777" w:rsidR="00E9723B" w:rsidRDefault="00E9723B" w:rsidP="00C0017F">
      <w:pPr>
        <w:pStyle w:val="Nadpis3"/>
        <w:ind w:left="1276" w:hanging="709"/>
      </w:pPr>
      <w:r>
        <w:t>informace, na které se vztahuje zákonem uložená povinnost mlčenlivosti;</w:t>
      </w:r>
    </w:p>
    <w:p w14:paraId="33FB71FF" w14:textId="77777777" w:rsidR="00E9723B" w:rsidRDefault="00E9723B" w:rsidP="00C0017F">
      <w:pPr>
        <w:pStyle w:val="Nadpis3"/>
        <w:ind w:left="1276" w:hanging="709"/>
      </w:pPr>
      <w:r>
        <w:t>veškeré další informace, které budou Smluvním partnerem označeny jako neveřejné ve smyslu ust. § 218 ZZVZ.</w:t>
      </w:r>
    </w:p>
    <w:p w14:paraId="50510A25" w14:textId="77777777" w:rsidR="00E9723B" w:rsidRPr="00B9593A" w:rsidRDefault="00E9723B" w:rsidP="00C0017F">
      <w:pPr>
        <w:pStyle w:val="Nadpis2"/>
        <w:ind w:left="567" w:hanging="567"/>
      </w:pPr>
      <w:r>
        <w:t>Povinnost zachovávat mlčenlivost uvedená v odst. 8.1 tohoto článku se nevztahuje na informace</w:t>
      </w:r>
      <w:r w:rsidRPr="00B9593A">
        <w:t>:</w:t>
      </w:r>
    </w:p>
    <w:p w14:paraId="4FFF045C" w14:textId="445AD175" w:rsidR="00E9723B" w:rsidRDefault="00E9723B" w:rsidP="00C0017F">
      <w:pPr>
        <w:pStyle w:val="Nadpis3"/>
        <w:ind w:left="1276" w:hanging="709"/>
      </w:pPr>
      <w:r>
        <w:t xml:space="preserve">které je </w:t>
      </w:r>
      <w:r w:rsidR="00B64307">
        <w:t>Objednatel</w:t>
      </w:r>
      <w:r>
        <w:t xml:space="preserve"> povinen poskytnout třetím osobám podle zákona č. 106/1999 Sb., o</w:t>
      </w:r>
      <w:r w:rsidR="00285634">
        <w:t> </w:t>
      </w:r>
      <w:r>
        <w:t>svobodném přístupu k informacím, ve znění pozdějších předpisů;</w:t>
      </w:r>
    </w:p>
    <w:p w14:paraId="05570BE0" w14:textId="77777777" w:rsidR="00E9723B" w:rsidRDefault="00E9723B" w:rsidP="00C0017F">
      <w:pPr>
        <w:pStyle w:val="Nadpis3"/>
        <w:ind w:left="1276" w:hanging="709"/>
      </w:pPr>
      <w:r>
        <w:t>jejichž sdělení vyžaduje jiný právní předpis;</w:t>
      </w:r>
    </w:p>
    <w:p w14:paraId="776F4AAB" w14:textId="77777777" w:rsidR="00E9723B" w:rsidRDefault="00E9723B" w:rsidP="00C0017F">
      <w:pPr>
        <w:pStyle w:val="Nadpis3"/>
        <w:ind w:left="1276" w:hanging="709"/>
      </w:pPr>
      <w:r>
        <w:t>které jsou nebo se stanou všeobecně a veřejně přístupnými jinak než porušením právních povinností ze strany některé ze Smluvních stran;</w:t>
      </w:r>
    </w:p>
    <w:p w14:paraId="0390681A" w14:textId="0AB69C77" w:rsidR="00E9723B" w:rsidRDefault="00E9723B" w:rsidP="00C0017F">
      <w:pPr>
        <w:pStyle w:val="Nadpis3"/>
        <w:ind w:left="1276" w:hanging="709"/>
      </w:pPr>
      <w:r>
        <w:t xml:space="preserve">u nichž je Poskytovatel schopen prokázat, že mu byly známy ještě před přijetím těchto informací od </w:t>
      </w:r>
      <w:r w:rsidR="00B64307">
        <w:t>Objednatele</w:t>
      </w:r>
      <w:r>
        <w:t>, avšak pouze za podmínky, že se na tyto informace nevztahuje povinnost mlčenlivosti z jiných důvodů;</w:t>
      </w:r>
    </w:p>
    <w:p w14:paraId="55F6692A" w14:textId="77777777" w:rsidR="00E9723B" w:rsidRPr="001C35DD" w:rsidRDefault="00E9723B" w:rsidP="00700A58">
      <w:pPr>
        <w:pStyle w:val="Nadpis3"/>
        <w:ind w:left="1276" w:hanging="709"/>
      </w:pPr>
      <w:r>
        <w:t>které budou Poskytovateli po uzavření této Smlouvy sděleny bez závazku mlčenlivosti třetí stranou, jež rovněž není ve vztahu k těmto informacím nijak vázána.</w:t>
      </w:r>
    </w:p>
    <w:p w14:paraId="692D412E" w14:textId="1CED4A91" w:rsidR="00E9723B" w:rsidRDefault="00E9723B" w:rsidP="00700A58">
      <w:pPr>
        <w:pStyle w:val="Nadpis2"/>
        <w:ind w:left="567" w:hanging="567"/>
      </w:pPr>
      <w:r>
        <w:t xml:space="preserve">Jako s Neveřejnými informacemi musí být nakládáno také s informacemi, které splňují podmínky uvedené v odst. 8.1 tohoto článku, i když byly získány náhodně nebo bez vědomí </w:t>
      </w:r>
      <w:r w:rsidR="00B64307">
        <w:t>Objednatele</w:t>
      </w:r>
      <w:r>
        <w:t xml:space="preserve"> a dále s veškerými informacemi získanými od jakékoliv třetí strany, pokud se týkají </w:t>
      </w:r>
      <w:r w:rsidR="00B64307">
        <w:t>Objednatele</w:t>
      </w:r>
      <w:r>
        <w:t xml:space="preserve"> nebo plnění této Smlouvy.</w:t>
      </w:r>
    </w:p>
    <w:p w14:paraId="082A6226" w14:textId="56524ECD" w:rsidR="00E9723B" w:rsidRDefault="00E9723B" w:rsidP="00700A58">
      <w:pPr>
        <w:pStyle w:val="Nadpis2"/>
        <w:ind w:left="567" w:hanging="567"/>
      </w:pPr>
      <w:r>
        <w:t xml:space="preserve">Poskytovatel se zavazuje, že Neveřejné informace užije pouze za účelem plnění této Smlouvy. K jinému užití je zapotřebí písemného souhlasu </w:t>
      </w:r>
      <w:r w:rsidR="00B64307">
        <w:t>Objednatele</w:t>
      </w:r>
      <w:r>
        <w:t>.</w:t>
      </w:r>
    </w:p>
    <w:p w14:paraId="5D03F683" w14:textId="2EA5FC2B" w:rsidR="00E9723B" w:rsidRDefault="00E9723B" w:rsidP="00700A58">
      <w:pPr>
        <w:pStyle w:val="Nadpis2"/>
        <w:ind w:left="567" w:hanging="567"/>
      </w:pPr>
      <w:r>
        <w:t xml:space="preserve">Poskytovatel je povinen svého případného poddodavatele zavázat povinností mlčenlivosti a respektováním práv </w:t>
      </w:r>
      <w:r w:rsidR="00B64307">
        <w:t>Objednatele</w:t>
      </w:r>
      <w:r>
        <w:t xml:space="preserve"> nejméně ve stejném rozsahu, v jakém je zavázán sám touto Smlouvou.</w:t>
      </w:r>
    </w:p>
    <w:p w14:paraId="7C14EDF5" w14:textId="77777777" w:rsidR="00E9723B" w:rsidRDefault="00E9723B" w:rsidP="00700A58">
      <w:pPr>
        <w:pStyle w:val="Nadpis2"/>
        <w:keepNext/>
        <w:ind w:left="567" w:hanging="567"/>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49F9BF32" w14:textId="77777777" w:rsidR="00E9723B" w:rsidRDefault="00E9723B" w:rsidP="000D711D">
      <w:pPr>
        <w:pStyle w:val="Nadpis2"/>
        <w:ind w:left="567" w:hanging="567"/>
      </w:pPr>
      <w:r>
        <w:t>Závazky vyplývající z tohoto článku není žádná ze Smluvních stran oprávněna vypovědět ani jiným způsobem jednostranně ukončit.</w:t>
      </w:r>
    </w:p>
    <w:p w14:paraId="71CB424E" w14:textId="6A215A31" w:rsidR="00E9723B" w:rsidRDefault="003E3A6B" w:rsidP="00EB1BDB">
      <w:pPr>
        <w:pStyle w:val="Nadpis2"/>
        <w:keepLines w:val="0"/>
        <w:numPr>
          <w:ilvl w:val="1"/>
          <w:numId w:val="3"/>
        </w:numPr>
        <w:ind w:left="567" w:hanging="567"/>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w:t>
      </w:r>
      <w:r w:rsidRPr="001F3C2D">
        <w:lastRenderedPageBreak/>
        <w:t xml:space="preserve">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00E9723B" w:rsidRPr="001F3C2D">
        <w:t>.</w:t>
      </w:r>
    </w:p>
    <w:p w14:paraId="6B7B5E05" w14:textId="77777777" w:rsidR="004315E9" w:rsidRPr="00F902A9" w:rsidRDefault="004315E9" w:rsidP="00D977DD">
      <w:pPr>
        <w:pStyle w:val="Nadpis2"/>
        <w:numPr>
          <w:ilvl w:val="1"/>
          <w:numId w:val="3"/>
        </w:numPr>
        <w:ind w:left="567" w:hanging="567"/>
      </w:pPr>
      <w:r w:rsidRPr="00FA7298">
        <w:t xml:space="preserve">Případné části </w:t>
      </w:r>
      <w:r>
        <w:t xml:space="preserve">Smlouvy </w:t>
      </w:r>
      <w:r w:rsidRPr="00FA7298">
        <w:t xml:space="preserve">představující obchodní tajemství či jiné údaje chráněné dle zvláštních předpisů budou před jejich </w:t>
      </w:r>
      <w:r w:rsidRPr="00F902A9">
        <w:t>uveřejněním zajištěny proti přečtení (začerněním apod.).</w:t>
      </w:r>
    </w:p>
    <w:p w14:paraId="070CE5A1" w14:textId="0D807859" w:rsidR="00CA2A4A" w:rsidRPr="003E5E47" w:rsidRDefault="005879DD" w:rsidP="00D977DD">
      <w:pPr>
        <w:pStyle w:val="Nadpis1"/>
        <w:numPr>
          <w:ilvl w:val="0"/>
          <w:numId w:val="5"/>
        </w:numPr>
        <w:ind w:left="284" w:hanging="284"/>
      </w:pPr>
      <w:r w:rsidRPr="003E5E47">
        <w:t>oprávnění užívat data</w:t>
      </w:r>
    </w:p>
    <w:p w14:paraId="277205BD" w14:textId="77777777" w:rsidR="00174328" w:rsidRPr="003E5E47" w:rsidRDefault="00174328" w:rsidP="00D977DD">
      <w:pPr>
        <w:pStyle w:val="Nadpis2"/>
        <w:numPr>
          <w:ilvl w:val="1"/>
          <w:numId w:val="5"/>
        </w:numPr>
        <w:ind w:left="567" w:hanging="567"/>
        <w:rPr>
          <w:rFonts w:cs="Tahoma"/>
        </w:rPr>
      </w:pPr>
      <w:r w:rsidRPr="003E5E47">
        <w:rPr>
          <w:rFonts w:cs="Tahoma"/>
        </w:rPr>
        <w:t>Data Objednatele zahrnují data (informace):</w:t>
      </w:r>
    </w:p>
    <w:p w14:paraId="5C52DD34" w14:textId="34CE3AEF" w:rsidR="00174328" w:rsidRPr="003E5E47" w:rsidRDefault="00174328" w:rsidP="00D977DD">
      <w:pPr>
        <w:pStyle w:val="Nadpis3"/>
        <w:numPr>
          <w:ilvl w:val="2"/>
          <w:numId w:val="5"/>
        </w:numPr>
        <w:ind w:left="1560"/>
      </w:pPr>
      <w:r w:rsidRPr="003E5E47">
        <w:t xml:space="preserve">uložená v a/nebo jinak zpracovávaná aktiva Objednatele včetně dat zpracovávaných v rámci poskytování služby cloud </w:t>
      </w:r>
      <w:proofErr w:type="spellStart"/>
      <w:r w:rsidRPr="003E5E47">
        <w:t>computingu</w:t>
      </w:r>
      <w:proofErr w:type="spellEnd"/>
      <w:r w:rsidRPr="003E5E47">
        <w:t xml:space="preserve"> ve vlastnictví </w:t>
      </w:r>
      <w:r w:rsidR="004F7F21">
        <w:t>Z</w:t>
      </w:r>
      <w:r w:rsidRPr="003E5E47">
        <w:t>ákazníků,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71FD00E9" w14:textId="77777777" w:rsidR="00174328" w:rsidRPr="003E5E47" w:rsidRDefault="00174328" w:rsidP="00D977DD">
      <w:pPr>
        <w:pStyle w:val="Nadpis3"/>
        <w:numPr>
          <w:ilvl w:val="2"/>
          <w:numId w:val="5"/>
        </w:numPr>
        <w:ind w:left="1560"/>
      </w:pPr>
      <w:r w:rsidRPr="003E5E47">
        <w:t xml:space="preserve">uložená v a/nebo jinak zpracovávaná nástrojem pro evidenci Plnění, jako jsou </w:t>
      </w:r>
      <w:proofErr w:type="spellStart"/>
      <w:r w:rsidRPr="003E5E47">
        <w:t>ticketovací</w:t>
      </w:r>
      <w:proofErr w:type="spellEnd"/>
      <w:r w:rsidRPr="003E5E47">
        <w:t xml:space="preserve"> nástroje, nástroje podpory, GIT, nástroje pro verzování kódu a podobné,</w:t>
      </w:r>
    </w:p>
    <w:p w14:paraId="1218CF80" w14:textId="77777777" w:rsidR="00174328" w:rsidRPr="003E5E47" w:rsidRDefault="00174328" w:rsidP="00D977DD">
      <w:pPr>
        <w:pStyle w:val="Nadpis3"/>
        <w:numPr>
          <w:ilvl w:val="2"/>
          <w:numId w:val="5"/>
        </w:numPr>
        <w:ind w:left="1560"/>
      </w:pPr>
      <w:r w:rsidRPr="003E5E47">
        <w:t>uložená v a/nebo jinak zpracovávaná Poskytovatelem, která ale náleží Objednateli jako výstup Plnění (Objednatel je pořizovatelem databáze, má jiná smluvní či zákonná práva),</w:t>
      </w:r>
    </w:p>
    <w:p w14:paraId="5CDD27DB" w14:textId="7B56A57D" w:rsidR="00174328" w:rsidRPr="003E5E47" w:rsidRDefault="00174328" w:rsidP="00D977DD">
      <w:pPr>
        <w:pStyle w:val="Nadpis3"/>
        <w:numPr>
          <w:ilvl w:val="2"/>
          <w:numId w:val="5"/>
        </w:numPr>
        <w:ind w:left="1560"/>
      </w:pPr>
      <w:r w:rsidRPr="003E5E47">
        <w:t xml:space="preserve">osobní údaje nenáležející do výše uvedených kategorií nebo jiné osobní údaje, jejichž správcem je Objednatel a/nebo </w:t>
      </w:r>
      <w:r w:rsidR="00917F50" w:rsidRPr="003E5E47">
        <w:t>Z</w:t>
      </w:r>
      <w:r w:rsidRPr="003E5E47">
        <w:t>ákazník,</w:t>
      </w:r>
    </w:p>
    <w:p w14:paraId="2B4EEBE7" w14:textId="30CBC3FE" w:rsidR="00174328" w:rsidRPr="003E5E47" w:rsidRDefault="00174328" w:rsidP="00D977DD">
      <w:pPr>
        <w:pStyle w:val="Nadpis3"/>
        <w:numPr>
          <w:ilvl w:val="2"/>
          <w:numId w:val="5"/>
        </w:numPr>
        <w:ind w:left="1560"/>
      </w:pPr>
      <w:r w:rsidRPr="003E5E47">
        <w:t xml:space="preserve">které jsou Poskytovateli Objednatelem a/nebo </w:t>
      </w:r>
      <w:r w:rsidR="00917F50" w:rsidRPr="003E5E47">
        <w:t>Z</w:t>
      </w:r>
      <w:r w:rsidRPr="003E5E47">
        <w:t xml:space="preserve">ákazníkem zpřístupněny, předány, je mu s nimi umožněno nakládat, nebo jinak vzniknou v rámci Plnění, </w:t>
      </w:r>
    </w:p>
    <w:p w14:paraId="0DBCD39D" w14:textId="77777777" w:rsidR="00174328" w:rsidRPr="003E5E47" w:rsidRDefault="00174328" w:rsidP="00174328">
      <w:pPr>
        <w:pStyle w:val="Nadpis3"/>
        <w:numPr>
          <w:ilvl w:val="0"/>
          <w:numId w:val="0"/>
        </w:numPr>
        <w:ind w:left="567" w:firstLine="993"/>
      </w:pPr>
      <w:r w:rsidRPr="003E5E47">
        <w:t>(to vše v tomto odst. dále jen „</w:t>
      </w:r>
      <w:r w:rsidRPr="003E5E47">
        <w:rPr>
          <w:b/>
          <w:bCs/>
        </w:rPr>
        <w:t>Data</w:t>
      </w:r>
      <w:r w:rsidRPr="003E5E47">
        <w:t>“).</w:t>
      </w:r>
    </w:p>
    <w:p w14:paraId="200EE795" w14:textId="7F0B88BB" w:rsidR="00174328" w:rsidRPr="003E5E47" w:rsidRDefault="00174328" w:rsidP="00D977DD">
      <w:pPr>
        <w:pStyle w:val="Nadpis2"/>
        <w:numPr>
          <w:ilvl w:val="1"/>
          <w:numId w:val="5"/>
        </w:numPr>
        <w:rPr>
          <w:rFonts w:cs="Tahoma"/>
        </w:rPr>
      </w:pPr>
      <w:r w:rsidRPr="003E5E47">
        <w:rPr>
          <w:rFonts w:cs="Tahoma"/>
        </w:rPr>
        <w:t>Data zůstávají ve vlastnictví a pod správou Objednatele</w:t>
      </w:r>
      <w:r w:rsidRPr="003E5E47">
        <w:t xml:space="preserve"> a/nebo </w:t>
      </w:r>
      <w:r w:rsidR="00917F50" w:rsidRPr="003E5E47">
        <w:t>Z</w:t>
      </w:r>
      <w:r w:rsidRPr="003E5E47">
        <w:t>ákazníka</w:t>
      </w:r>
      <w:r w:rsidR="00917F50" w:rsidRPr="003E5E47">
        <w:t xml:space="preserve">. </w:t>
      </w:r>
      <w:r w:rsidRPr="003E5E47">
        <w:rPr>
          <w:rFonts w:cs="Tahoma"/>
        </w:rPr>
        <w:t>Data budou trvale uložena a/nebo zpracovávána výhradně na infrastruktuře Objednatele, pokud z povahy Plnění a jejich výslovné specifikace nevyplývá něco jiného. Pokud by mělo docházet k trvalému uložení a/nebo zpracovávání Dat na infrastruktuře Poskytovatele, budou uložena pouze na infrastruktuře na území České republiky nebo na území členských států Evropské unie a členských států Evropského sdružení volného obchodu; pokud na území mimo Českou republiku, zavazuje se Poskytovatel sdělit Objednateli umístění Dat alespoň na úrovni státu. V případě aktiv zařazených do bezpečnostní úrovně 4 (kritická) je možné jejich uložení pouze s výslovným písemným souhlasem jejich vlastníka (správce dle zákona 365/2000 Sb., o informačních systémech veřejné správy).</w:t>
      </w:r>
    </w:p>
    <w:p w14:paraId="76D705C9" w14:textId="77777777" w:rsidR="00174328" w:rsidRPr="003E5E47" w:rsidRDefault="00174328" w:rsidP="00D977DD">
      <w:pPr>
        <w:pStyle w:val="Nadpis2"/>
        <w:numPr>
          <w:ilvl w:val="1"/>
          <w:numId w:val="5"/>
        </w:numPr>
        <w:rPr>
          <w:rFonts w:cs="Tahoma"/>
        </w:rPr>
      </w:pPr>
      <w:r w:rsidRPr="003E5E47">
        <w:rPr>
          <w:rFonts w:cs="Tahoma"/>
        </w:rPr>
        <w:t>Poskytovatel je při poskytování Plnění dle Smlouvy oprávněn užívat nebo sdílet Data pouze v rozsahu nezbytném ke splnění Smlouvy a pouze v souladu se Smlouvou.</w:t>
      </w:r>
    </w:p>
    <w:p w14:paraId="3205D4E0" w14:textId="77777777" w:rsidR="00174328" w:rsidRPr="003E5E47" w:rsidRDefault="00174328" w:rsidP="00D977DD">
      <w:pPr>
        <w:pStyle w:val="Nadpis2"/>
        <w:numPr>
          <w:ilvl w:val="1"/>
          <w:numId w:val="5"/>
        </w:numPr>
        <w:rPr>
          <w:rFonts w:cs="Tahoma"/>
        </w:rPr>
      </w:pPr>
      <w:r w:rsidRPr="003E5E47">
        <w:rPr>
          <w:rFonts w:cs="Tahoma"/>
        </w:rPr>
        <w:t>Přístup zaměstnanců Poskytovatele a jiných fyzických osob, které Poskytovatel pověří Plněním dle Smlouvy k Datům, je umožněn v nejmenším možném rozsahu v nezbytně nutných případech, a jen pro účely poskytování Plnění podle Smlouvy.</w:t>
      </w:r>
    </w:p>
    <w:p w14:paraId="24C45BBC" w14:textId="77777777" w:rsidR="00174328" w:rsidRPr="003E5E47" w:rsidRDefault="00174328" w:rsidP="00D977DD">
      <w:pPr>
        <w:pStyle w:val="Nadpis2"/>
        <w:numPr>
          <w:ilvl w:val="1"/>
          <w:numId w:val="5"/>
        </w:numPr>
        <w:rPr>
          <w:rFonts w:cs="Tahoma"/>
        </w:rPr>
      </w:pPr>
      <w:r w:rsidRPr="003E5E47">
        <w:rPr>
          <w:rFonts w:cs="Tahoma"/>
        </w:rPr>
        <w:t>Poskytovatel se zavazuje omezit přístup k Datům pouze na ty pracovníky a třetí strany, u kterých přístup vyžaduje plnění Smlouvy nebo plnění zákonných povinností. Poskytovatel nesmí umožnit přístup k Datům třetím stranám, jako např. poddodavatelům nebo partnerům, bez předcházejícího prokazatelného souhlasu Objednatele. Vysloví-li Objednatel ve Smlouvě nebo jinak písemně souhlas se zapojením konkrétního Poddodavatele do plnění Smlouvy, uděluje tím souhlas se zpřístupněním Dat Poddodavateli v rozsahu nezbytném subdodávku.</w:t>
      </w:r>
    </w:p>
    <w:p w14:paraId="1C000448" w14:textId="587A0F47" w:rsidR="00174328" w:rsidRPr="003E5E47" w:rsidRDefault="00174328" w:rsidP="00D977DD">
      <w:pPr>
        <w:pStyle w:val="Nadpis2"/>
        <w:numPr>
          <w:ilvl w:val="1"/>
          <w:numId w:val="5"/>
        </w:numPr>
        <w:rPr>
          <w:rFonts w:cs="Tahoma"/>
        </w:rPr>
      </w:pPr>
      <w:r w:rsidRPr="003E5E47">
        <w:rPr>
          <w:rFonts w:cs="Tahoma"/>
        </w:rPr>
        <w:t>Poskytovatel se zavazuje zajistit, aby pracovníci přistupující k Datům byli vázáni mlčenlivostí. Za</w:t>
      </w:r>
      <w:r w:rsidR="002308F4">
        <w:rPr>
          <w:rFonts w:cs="Tahoma"/>
        </w:rPr>
        <w:t> </w:t>
      </w:r>
      <w:r w:rsidRPr="003E5E47">
        <w:rPr>
          <w:rFonts w:cs="Tahoma"/>
        </w:rPr>
        <w:t>případnou újmu způsobenou porušením mlčenlivosti pracovníků v souvislosti s přístupem k Datům odpovídá Poskytovatel, jako by ji způsobil sám.</w:t>
      </w:r>
    </w:p>
    <w:p w14:paraId="47B0EE7C" w14:textId="77777777" w:rsidR="00174328" w:rsidRPr="003E5E47" w:rsidRDefault="00174328" w:rsidP="00D977DD">
      <w:pPr>
        <w:pStyle w:val="Nadpis2"/>
        <w:numPr>
          <w:ilvl w:val="1"/>
          <w:numId w:val="5"/>
        </w:numPr>
        <w:rPr>
          <w:rFonts w:cs="Tahoma"/>
        </w:rPr>
      </w:pPr>
      <w:r w:rsidRPr="003E5E47">
        <w:rPr>
          <w:rFonts w:cs="Tahoma"/>
        </w:rPr>
        <w:lastRenderedPageBreak/>
        <w:t>Poskytovatel se zavazuje na základě výzvy Objednatele bez zbytečného odkladu předat bezpečným způsobem ve strojově čitelné podobě a v Objednatelem schváleném formátu jakákoli Data v dispoziční sféře Poskytovatele a jeho Poddodavatelů včetně veškerých dešifrovacích klíčů k případnému odemčení Dat, byla-li zašifrována.</w:t>
      </w:r>
    </w:p>
    <w:p w14:paraId="69B9EAF4" w14:textId="77777777" w:rsidR="00174328" w:rsidRPr="003E5E47" w:rsidRDefault="00174328" w:rsidP="00D977DD">
      <w:pPr>
        <w:pStyle w:val="Nadpis2"/>
        <w:numPr>
          <w:ilvl w:val="1"/>
          <w:numId w:val="5"/>
        </w:numPr>
        <w:rPr>
          <w:rFonts w:cs="Tahoma"/>
        </w:rPr>
      </w:pPr>
      <w:r w:rsidRPr="003E5E47">
        <w:rPr>
          <w:rFonts w:cs="Tahoma"/>
        </w:rPr>
        <w:t>Poskytovatel do třiceti (30) dnů po ukončení Smlouvy nebo na základě výzvy Objednatele a dle pokynů Objednatele:</w:t>
      </w:r>
    </w:p>
    <w:p w14:paraId="1C777FAA" w14:textId="77777777" w:rsidR="00174328" w:rsidRPr="003E5E47" w:rsidRDefault="00174328" w:rsidP="00700A58">
      <w:pPr>
        <w:pStyle w:val="Nadpis3"/>
        <w:ind w:left="1560" w:hanging="851"/>
      </w:pPr>
      <w:r w:rsidRPr="003E5E47">
        <w:t xml:space="preserve">ve formátu určeném Objednatelem předá Objednateli jakákoliv Data určená Objednatelem (zpravidla Data týkající se Smlouvy) a/nebo </w:t>
      </w:r>
    </w:p>
    <w:p w14:paraId="2F695B40" w14:textId="77777777" w:rsidR="00174328" w:rsidRPr="003E5E47" w:rsidRDefault="00174328" w:rsidP="00700A58">
      <w:pPr>
        <w:pStyle w:val="Nadpis3"/>
        <w:ind w:left="1560" w:hanging="851"/>
      </w:pPr>
      <w:r w:rsidRPr="003E5E47">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3A1D6729" w14:textId="6F50BA6D" w:rsidR="00271342" w:rsidRPr="00F902A9" w:rsidRDefault="00271342" w:rsidP="00D977DD">
      <w:pPr>
        <w:pStyle w:val="Nadpis1"/>
        <w:numPr>
          <w:ilvl w:val="0"/>
          <w:numId w:val="5"/>
        </w:numPr>
        <w:ind w:left="284" w:hanging="284"/>
      </w:pPr>
      <w:r w:rsidRPr="00F902A9">
        <w:t>KYBERNETICKÁ BEZPEČNOST</w:t>
      </w:r>
    </w:p>
    <w:p w14:paraId="023B8B3D" w14:textId="79B0330D" w:rsidR="00973BC2" w:rsidRPr="00F902A9" w:rsidRDefault="00071E4A" w:rsidP="00700A58">
      <w:pPr>
        <w:pStyle w:val="Odstavecseseznamem"/>
        <w:ind w:left="709" w:hanging="709"/>
        <w:jc w:val="both"/>
      </w:pPr>
      <w:r w:rsidRPr="003E5E47">
        <w:t>Poskytovatel bere na vědomí, že Plnění dle této Smlouvy smluv může souviset s aktivy Objednatele zařazenými ve stanoveném rozsahu regulované služby v režimu vyšších povinností. Strany potvrzují, že rozsah plnění Poskytovatele, které je významné z hlediska zajištění kybernetické bezpečnosti regulované služby Objednatele a/nebo Zákazníka, je určen rozsahem poskytovaných aktiv (vč. služeb) dle této Smlouvy, tedy práva a povinnosti dále uvedené se vztahují pouze na aktiva, kterými je plněna Smlouva a/nebo jsou jinak používaná a/nebo přímo souvisí s plněním Smlouvy. Objednatel je v jejich rámci vázán zákonem č. 264/2025 Sb., o kybernetické bezpečnosti (dále „</w:t>
      </w:r>
      <w:r w:rsidRPr="003E5E47">
        <w:rPr>
          <w:b/>
          <w:i/>
          <w:iCs/>
        </w:rPr>
        <w:t>ZKB</w:t>
      </w:r>
      <w:r w:rsidRPr="003E5E47">
        <w:t>“) a Nařízením Komise pro digitály, jakož i vnitřními předpisy Objednatele a smlouvou se Zákazníkem.</w:t>
      </w:r>
    </w:p>
    <w:p w14:paraId="51B09212" w14:textId="29138169" w:rsidR="00071E4A" w:rsidRPr="00F902A9" w:rsidRDefault="00474A3E" w:rsidP="000D711D">
      <w:pPr>
        <w:pStyle w:val="Odstavecseseznamem"/>
        <w:ind w:left="709" w:hanging="709"/>
        <w:jc w:val="both"/>
      </w:pPr>
      <w:r w:rsidRPr="003E5E47">
        <w:t xml:space="preserve">Poskytovatel, jako dodavatel ve smyslu ZKB a Nařízení Komise pro digitály a poddodavatel pro Zákazníka ve smyslu VVP, je povinen při všech činnostech souvisejících s plněním této Smlouvy brát na tuto skutečnost zřetel a dodržovat ustanovení ZKB, Nařízení Komise pro digitály a VVP a mezinárodně uznávané standardy řízení kybernetické a informační bezpečnosti v relevantním rozsahu a rozsahu vyplývajícím z bezpečnostních opatření ve formě organizačních a technických opatření, která jsou upravena v Příloze č. </w:t>
      </w:r>
      <w:r w:rsidR="00CC1217">
        <w:t>6</w:t>
      </w:r>
      <w:r w:rsidRPr="003E5E47">
        <w:t xml:space="preserve"> (dále jen „</w:t>
      </w:r>
      <w:r w:rsidRPr="003E5E47">
        <w:rPr>
          <w:b/>
        </w:rPr>
        <w:t>Kybernetické požadavky</w:t>
      </w:r>
      <w:r w:rsidRPr="003E5E47">
        <w:t xml:space="preserve">“), </w:t>
      </w:r>
      <w:r w:rsidRPr="003E5E47">
        <w:rPr>
          <w:rFonts w:cs="Tahoma"/>
        </w:rPr>
        <w:t xml:space="preserve">a vyplývajícím z předaných vnitřních předpisů Objednatele (politikou bezpečnosti informací), </w:t>
      </w:r>
      <w:r w:rsidRPr="003E5E47">
        <w:t>a dalších pokynů Objednatele, které mají zajistit bezpečnost Dat a bezpečnost informací a dostupnost regulované služby Objednatele a Zákazníka a postupovat v souladu s nimi</w:t>
      </w:r>
      <w:r w:rsidRPr="003E5E47">
        <w:rPr>
          <w:rFonts w:cs="Tahoma"/>
        </w:rPr>
        <w:t>.</w:t>
      </w:r>
      <w:r w:rsidRPr="003E5E47">
        <w:t xml:space="preserve"> Vnitřní předpisy Objednatele, související s aktivy zařazenými ve stanoveném rozsahu regulované služby, předá Objednatel Poskytovateli v elektronické podobě na základě oboustranně podepsaného předávacího protokolu, který obsahuje seznam předávané dokumentace.</w:t>
      </w:r>
    </w:p>
    <w:p w14:paraId="1F8C4D00" w14:textId="77B1BC14" w:rsidR="00474A3E" w:rsidRPr="00F902A9" w:rsidRDefault="0055077D" w:rsidP="00700A58">
      <w:pPr>
        <w:pStyle w:val="Odstavecseseznamem"/>
        <w:ind w:left="709" w:hanging="709"/>
        <w:jc w:val="both"/>
      </w:pPr>
      <w:r w:rsidRPr="003E5E47">
        <w:t>Pokud se ukáže,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Objednatele v rozsahu, který neodporuje požadavkům ZKB. V rozsahu, v jakém si požadavky odporují, se použije požadavek ZKB.</w:t>
      </w:r>
    </w:p>
    <w:p w14:paraId="2B6AD7DB" w14:textId="38E6E753" w:rsidR="0055077D" w:rsidRPr="00F902A9" w:rsidRDefault="001E6974" w:rsidP="00700A58">
      <w:pPr>
        <w:pStyle w:val="Odstavecseseznamem"/>
        <w:ind w:left="709" w:hanging="709"/>
        <w:jc w:val="both"/>
      </w:pPr>
      <w:r w:rsidRPr="003E5E47">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4C772E84" w14:textId="5800B17F" w:rsidR="001E6974" w:rsidRPr="00F902A9" w:rsidRDefault="00DB2654" w:rsidP="00700A58">
      <w:pPr>
        <w:pStyle w:val="Nadpis3"/>
        <w:ind w:left="1843" w:hanging="1134"/>
      </w:pPr>
      <w:r w:rsidRPr="003E5E47">
        <w:t>zaprvé tato Smlouva,</w:t>
      </w:r>
    </w:p>
    <w:p w14:paraId="3F45FC76" w14:textId="3D7E8C2D" w:rsidR="00DB2654" w:rsidRPr="00F902A9" w:rsidRDefault="003737FB" w:rsidP="00700A58">
      <w:pPr>
        <w:pStyle w:val="Nadpis3"/>
        <w:ind w:left="1843" w:hanging="1134"/>
      </w:pPr>
      <w:r w:rsidRPr="003E5E47">
        <w:t>zadruhé Kybernetické požadavky,</w:t>
      </w:r>
    </w:p>
    <w:p w14:paraId="37A51356" w14:textId="684B821E" w:rsidR="003737FB" w:rsidRPr="00F902A9" w:rsidRDefault="00E96E5F" w:rsidP="00700A58">
      <w:pPr>
        <w:pStyle w:val="Nadpis3"/>
        <w:ind w:left="1843" w:hanging="1134"/>
      </w:pPr>
      <w:r w:rsidRPr="003E5E47">
        <w:t>zatřetí vnitřní předpisy Objednatele.</w:t>
      </w:r>
    </w:p>
    <w:p w14:paraId="736FD9F9" w14:textId="33684353" w:rsidR="00E96E5F" w:rsidRPr="00F902A9" w:rsidRDefault="002120B0" w:rsidP="00700A58">
      <w:pPr>
        <w:pStyle w:val="Nadpis2"/>
        <w:ind w:left="709" w:hanging="709"/>
      </w:pPr>
      <w:r w:rsidRPr="003E5E47">
        <w:t>Poskytovatel se zavazuje nad rámec povinností stanovených právními předpisy a Smlouvou aktivně sledovat, vyhodnocovat a po dohodě a v souladu s pokyny Objednatele provádět protiopatření vydaná Národním úřadem pro kybernetickou a informační bezpečnost (dále jen „</w:t>
      </w:r>
      <w:r w:rsidRPr="003E5E47">
        <w:rPr>
          <w:b/>
        </w:rPr>
        <w:t>NÚKIB</w:t>
      </w:r>
      <w:r w:rsidRPr="003E5E47">
        <w:t>“) v souladu s § 20 ZKB.</w:t>
      </w:r>
    </w:p>
    <w:p w14:paraId="08EE1A78" w14:textId="641DE343" w:rsidR="002120B0" w:rsidRPr="00F902A9" w:rsidRDefault="00206715" w:rsidP="00700A58">
      <w:pPr>
        <w:pStyle w:val="Nadpis2"/>
        <w:ind w:left="709" w:hanging="709"/>
      </w:pPr>
      <w:r w:rsidRPr="003E5E47">
        <w:lastRenderedPageBreak/>
        <w:t>Poskytovatel se zavazuje určit odpovědnou osobu ve věcech kybernetické bezpečnosti, která odpovídá za:</w:t>
      </w:r>
    </w:p>
    <w:p w14:paraId="5CA178CC" w14:textId="218DA766" w:rsidR="00206715" w:rsidRPr="00F902A9" w:rsidRDefault="00415B23" w:rsidP="00700A58">
      <w:pPr>
        <w:pStyle w:val="Nadpis3"/>
        <w:ind w:left="1985" w:hanging="1276"/>
      </w:pPr>
      <w:r w:rsidRPr="003E5E47">
        <w:t>plnění požadavků na kybernetickou bezpečnost a Kybernetických požadavků, které vyplývají z této Smlouvy;</w:t>
      </w:r>
    </w:p>
    <w:p w14:paraId="4642E94D" w14:textId="2C963BCD" w:rsidR="00415B23" w:rsidRPr="00F902A9" w:rsidRDefault="006036D9" w:rsidP="00700A58">
      <w:pPr>
        <w:pStyle w:val="Nadpis3"/>
        <w:ind w:left="1985" w:hanging="1276"/>
      </w:pPr>
      <w:r w:rsidRPr="003E5E47">
        <w:t>pravidelné přezkoumání stavu plnění povinností Poskytovatele, které vyplývají z této Smlouvy, a podání písemné zprávy o stavu jejich plnění Objednateli</w:t>
      </w:r>
      <w:r w:rsidRPr="00F902A9">
        <w:t>;</w:t>
      </w:r>
    </w:p>
    <w:p w14:paraId="71602A4A" w14:textId="68E1BB1B" w:rsidR="006036D9" w:rsidRPr="00F902A9" w:rsidRDefault="001D5F67" w:rsidP="00700A58">
      <w:pPr>
        <w:pStyle w:val="Nadpis3"/>
        <w:ind w:left="1985" w:hanging="1276"/>
      </w:pPr>
      <w:r w:rsidRPr="003E5E47">
        <w:t>komunikaci s odpovědnou osobou Objednatele ve věcech spojených s kybernetickou bezpečností.</w:t>
      </w:r>
    </w:p>
    <w:p w14:paraId="5489D3B3" w14:textId="569F5EF5" w:rsidR="001D5F67" w:rsidRPr="00F902A9" w:rsidRDefault="006C5895" w:rsidP="00700A58">
      <w:pPr>
        <w:pStyle w:val="Nadpis2"/>
        <w:ind w:left="709" w:hanging="709"/>
      </w:pPr>
      <w:r w:rsidRPr="003E5E47">
        <w:t>Poskytovatel se zavazuje během poskytování předmětu plnění dostatečně zabezpečit veškeré případné zpracování, přenos a uložení Dat v souladu s Kybernetickými požadavky a vnitřními předpisy Objednatele.</w:t>
      </w:r>
    </w:p>
    <w:p w14:paraId="5722BE6F" w14:textId="7F336861" w:rsidR="006C5895" w:rsidRPr="00F902A9" w:rsidRDefault="009E46B0" w:rsidP="00700A58">
      <w:pPr>
        <w:pStyle w:val="Nadpis2"/>
        <w:ind w:left="709" w:hanging="709"/>
      </w:pPr>
      <w:r w:rsidRPr="003E5E47">
        <w:t>Poskytovatel se zavazuje v pravidelných intervalech nejméně jednou za rok provádět analýzu rizik poskytovaného Plnění dle Smlouvy v oblasti kybernetické bezpečnosti.</w:t>
      </w:r>
    </w:p>
    <w:p w14:paraId="0158F8CE" w14:textId="776496BE" w:rsidR="009E46B0" w:rsidRPr="00F902A9" w:rsidRDefault="00C873EC" w:rsidP="00700A58">
      <w:pPr>
        <w:pStyle w:val="Nadpis2"/>
        <w:ind w:left="709" w:hanging="709"/>
      </w:pPr>
      <w:r w:rsidRPr="003E5E47">
        <w:t>Poskytovatel se dále zavazuje:</w:t>
      </w:r>
    </w:p>
    <w:p w14:paraId="79573953" w14:textId="270DE024" w:rsidR="00C873EC" w:rsidRPr="00F902A9" w:rsidRDefault="00F372D8" w:rsidP="00700A58">
      <w:pPr>
        <w:pStyle w:val="Nadpis3"/>
        <w:ind w:left="1843" w:hanging="1134"/>
      </w:pPr>
      <w:r w:rsidRPr="003E5E47">
        <w:t>poskytnout na vyžádání Objednatele dokumenty a obdobné vstupy, které budou prokazovat naplnění Kybernetických požadavků;</w:t>
      </w:r>
    </w:p>
    <w:p w14:paraId="7B966D80" w14:textId="3317FC85" w:rsidR="00F372D8" w:rsidRPr="00F902A9" w:rsidRDefault="007F7B4B" w:rsidP="00700A58">
      <w:pPr>
        <w:pStyle w:val="Nadpis3"/>
        <w:ind w:left="1843" w:hanging="1134"/>
      </w:pPr>
      <w:r w:rsidRPr="003E5E47">
        <w:t>na vyžádání s Objednatelem konzultovat kdykoli v průběhu poskytování Plnění detailní nastavení bezpečnostních opatření k naplnění Kybernetických požadavků a pro takovéto konzultace zajistit účast kvalifikovaných pracovníků;</w:t>
      </w:r>
    </w:p>
    <w:p w14:paraId="5254C024" w14:textId="4FA43090" w:rsidR="007F7B4B" w:rsidRPr="00F902A9" w:rsidRDefault="00A94EDE" w:rsidP="000D711D">
      <w:pPr>
        <w:pStyle w:val="Nadpis3"/>
        <w:ind w:left="1843" w:hanging="1134"/>
      </w:pPr>
      <w:r w:rsidRPr="003E5E47">
        <w:t>při výkonu své činnosti včas a prokazatelně upozornit Objednatele na zřejmou nevhodnost jeho pokynů vztahující se ke Kybernetickým požadavkům a jejichž následkem může vzniknout újma nebo nesoulad se ZKB, Nařízením Komise pro digitály, VVP nebo jinými obecně závaznými právními předpisy.</w:t>
      </w:r>
    </w:p>
    <w:p w14:paraId="3AF2A78A" w14:textId="30C469A9" w:rsidR="00A94EDE" w:rsidRPr="00F902A9" w:rsidRDefault="00D31711" w:rsidP="00F43777">
      <w:pPr>
        <w:pStyle w:val="Nadpis2"/>
        <w:ind w:left="709" w:hanging="709"/>
      </w:pPr>
      <w:r w:rsidRPr="003E5E47">
        <w:t>Poskytovatel je srozuměn s pravidelným prováděním hodnocení rizik, kontrolou a auditem zavedených bezpečnostních opatření ze strany Objednatele v souvislosti s poskytovaným předmětem plnění. Kontrola nebo audit mohou být provedeny v prostorách Poskytovatele nebo jeho poddodavatele a Poskytovatel má povinnost tyto kontroly a audity Objednateli či Objednatelem pověřené osobě umožnit či možnost jejich provedení v prostorách poddodavatele zajistit, přispět k</w:t>
      </w:r>
      <w:r w:rsidR="00DD20FB">
        <w:t> </w:t>
      </w:r>
      <w:r w:rsidRPr="003E5E47">
        <w:t>nim a poskytnout Objednateli či Objednatelem pověřené osobě k jejich provedení maximální možnou součinnost, kterou lze po Poskytovateli rozumně požadovat. Počet a frekvence kontrol ani auditů nejsou nijak omezeny.</w:t>
      </w:r>
    </w:p>
    <w:p w14:paraId="2BB2E3CE" w14:textId="3B53BA5A" w:rsidR="00D31711" w:rsidRPr="00F902A9" w:rsidRDefault="00265722" w:rsidP="00F43777">
      <w:pPr>
        <w:pStyle w:val="Nadpis2"/>
        <w:ind w:left="709" w:hanging="709"/>
      </w:pPr>
      <w:bookmarkStart w:id="7" w:name="_Ref199499470"/>
      <w:r w:rsidRPr="003E5E47">
        <w:t>Poskytovatel je povinen bez zbytečného odkladu, nejpozději však do 30 dnů od obdržení výsledků provedené kontroly či auditu, předložit Objednateli návrhy opatření k nápravě zjištěných nedostatků zjištěných při kontrole nebo auditu včetně návrhu lhůty k zavedení navrhovaných opatření. Není-li lhůta stanovena, činí tato lhůta 30 dnů. Jednotlivá navržená opatření podléhají před jejich přijetím Poskytovatelem předchozímu schválení ze strany Objednatele. Návrhy zřejmě nevhodných či neúčinných opatření Objednatel odmítne a Poskytovatel je povinen v přiměřené lhůtě stanovené Objednatelem navrhnout jiná vhodná opatření. Poskytovatel je taktéž povinen se na výzvu Objednatele podrobit dodatečné kontrole ze strany Objednatele nebo osoby, která kontrolu či audit provedla, za účelem ověření nápravy nedostatků zjištěných při kontrole nebo auditu a kontroly přijatých opatření.</w:t>
      </w:r>
      <w:bookmarkEnd w:id="7"/>
    </w:p>
    <w:p w14:paraId="773187CD" w14:textId="6F905AF4" w:rsidR="00265722" w:rsidRPr="00F902A9" w:rsidRDefault="001602BD" w:rsidP="00F43777">
      <w:pPr>
        <w:pStyle w:val="Nadpis2"/>
        <w:ind w:left="709" w:hanging="709"/>
      </w:pPr>
      <w:r w:rsidRPr="003E5E47">
        <w:t>Každá Smluvní strana hradí svoje náklady v souvislosti s provedením kontroly nebo auditu. Pokud se během kontroly nebo auditu zjistí podstatné porušení povinností Poskytovatele, nezbytné účelně vynaložené náklady Objednatele na provedení příslušné kontroly nebo auditu uhradí Objednateli Poskytovatel.</w:t>
      </w:r>
    </w:p>
    <w:p w14:paraId="06AEDBBA" w14:textId="546A0F85" w:rsidR="001602BD" w:rsidRPr="00F902A9" w:rsidRDefault="00664254" w:rsidP="00F43777">
      <w:pPr>
        <w:pStyle w:val="Nadpis2"/>
        <w:ind w:left="709" w:hanging="709"/>
      </w:pPr>
      <w:r w:rsidRPr="003E5E47">
        <w:t>Poskytovatel se během poskytování předmětu Plnění pro Objednatele zavazuje Objednatele informovat o:</w:t>
      </w:r>
    </w:p>
    <w:p w14:paraId="0FAF14FE" w14:textId="4521B25B" w:rsidR="00664254" w:rsidRPr="00F902A9" w:rsidRDefault="003A7890" w:rsidP="00EB1BDB">
      <w:pPr>
        <w:pStyle w:val="Nadpis3"/>
        <w:keepLines w:val="0"/>
        <w:ind w:left="1985" w:hanging="1276"/>
      </w:pPr>
      <w:r w:rsidRPr="003E5E47">
        <w:t xml:space="preserve">kybernetických bezpečnostních incidentech souvisejících s předmětem plnění, a to neprodleně, nejpozději však do 18 hodin od jeho zjištění. Hlášení musí obsahovat minimálně popis kybernetického bezpečnostního incidentu, čas a způsob jeho zjištění, předpokládaný nebo potvrzený dopad na poskytování Plnění, přijatá a/nebo navrhovaná nápravná opatření ke zmírnění či vyloučení dopadu na důvěrnost, integritu </w:t>
      </w:r>
      <w:r w:rsidRPr="003E5E47">
        <w:lastRenderedPageBreak/>
        <w:t>nebo dostupnost Dat nebo Plnění;</w:t>
      </w:r>
    </w:p>
    <w:p w14:paraId="57A4CFD1" w14:textId="44137FE6" w:rsidR="003A7890" w:rsidRPr="00F902A9" w:rsidRDefault="00A566D1" w:rsidP="00EB1BDB">
      <w:pPr>
        <w:pStyle w:val="Nadpis3"/>
        <w:keepLines w:val="0"/>
        <w:ind w:left="1985" w:hanging="1276"/>
      </w:pPr>
      <w:r w:rsidRPr="003E5E47">
        <w:t xml:space="preserve">způsobu řízení rizik na straně Poskytovatele, výsledcích analýzy rizik Plnění dle </w:t>
      </w:r>
      <w:r w:rsidRPr="003E5E47">
        <w:rPr>
          <w:rFonts w:cs="Arial"/>
        </w:rPr>
        <w:t>Smlouvy</w:t>
      </w:r>
      <w:r w:rsidRPr="003E5E47">
        <w:t>, včetně kvantitativních a kvalitativních hodnot zbytkových rizik souvisejících s předmětem plnění a bez zbytečného odkladu také o změnách ve způsobu řízení rizik;</w:t>
      </w:r>
    </w:p>
    <w:p w14:paraId="4015315B" w14:textId="43EDAA06" w:rsidR="00A566D1" w:rsidRPr="00F902A9" w:rsidRDefault="00EB733C" w:rsidP="00EB1BDB">
      <w:pPr>
        <w:pStyle w:val="Nadpis3"/>
        <w:keepLines w:val="0"/>
        <w:ind w:left="1985" w:hanging="1276"/>
      </w:pPr>
      <w:r w:rsidRPr="003E5E47">
        <w:t>významné změně ovládání Poskytovatele nebo jeho poddodavatele podle § 74 a násl. zákona č. 90/2012 Sb., o obchodních korporacích (dále jen „</w:t>
      </w:r>
      <w:r w:rsidRPr="003E5E47">
        <w:rPr>
          <w:b/>
        </w:rPr>
        <w:t>Zákon o</w:t>
      </w:r>
      <w:r w:rsidR="00DD20FB">
        <w:rPr>
          <w:b/>
        </w:rPr>
        <w:t> </w:t>
      </w:r>
      <w:r w:rsidRPr="003E5E47">
        <w:rPr>
          <w:b/>
        </w:rPr>
        <w:t>obchodních korporacích</w:t>
      </w:r>
      <w:r w:rsidRPr="003E5E47">
        <w:t>“), a to nejpozději do 3 (slovy: tří) pracovních dnů ode dne, kdy se Poskytovatel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Poskytovatele ve smyslu zákona č. 37/2021 Sb., o evidenci skutečných majitelů a použije se přiměřeně i na případy přeměn obchodní korporace, které mají za následek změnu ovládající osoby;</w:t>
      </w:r>
    </w:p>
    <w:p w14:paraId="0A1C4DF1" w14:textId="42AF6FDF" w:rsidR="00C07709" w:rsidRPr="00F902A9" w:rsidRDefault="00C07709" w:rsidP="000D711D">
      <w:pPr>
        <w:pStyle w:val="Nadpis3"/>
        <w:ind w:left="1985" w:hanging="1276"/>
      </w:pPr>
      <w:r w:rsidRPr="003E5E47">
        <w:t>změně vlastnictví zásadních aktiv, využívaných Poskytovatelem k Plnění, a změně oprávnění nakládat s těmito aktivy, a to nejpozději do 3 (slovy: tří) pracovních dnů ode dne, kdy se Poskytovatel o plánované změně dozví nebo se měl a mohl dozvědět, přičemž zásadními aktivy se rozumí aktiva,</w:t>
      </w:r>
    </w:p>
    <w:p w14:paraId="1E2473F0" w14:textId="5F4BFB49" w:rsidR="00057111" w:rsidRDefault="00057111" w:rsidP="00D977DD">
      <w:pPr>
        <w:pStyle w:val="Nadpis3"/>
        <w:numPr>
          <w:ilvl w:val="3"/>
          <w:numId w:val="1"/>
        </w:numPr>
        <w:ind w:left="2977" w:hanging="992"/>
      </w:pPr>
      <w:r w:rsidRPr="003E5E47">
        <w:t>s jejichž pomocí je možné přímo či nepřímo ovlivňovat bezpečnost Plnění, systémů Objednatele a/nebo Dat v nich obsažených</w:t>
      </w:r>
    </w:p>
    <w:p w14:paraId="23D36D69" w14:textId="5C2F7823" w:rsidR="004451D1" w:rsidRDefault="004451D1" w:rsidP="00D977DD">
      <w:pPr>
        <w:pStyle w:val="Nadpis3"/>
        <w:numPr>
          <w:ilvl w:val="3"/>
          <w:numId w:val="1"/>
        </w:numPr>
        <w:ind w:left="2977" w:hanging="992"/>
      </w:pPr>
      <w:r>
        <w:t>která obsahují Data, a/nebo</w:t>
      </w:r>
    </w:p>
    <w:p w14:paraId="2D1446BA" w14:textId="57C3833D" w:rsidR="00CA4749" w:rsidRPr="00F902A9" w:rsidRDefault="007100D7" w:rsidP="00D977DD">
      <w:pPr>
        <w:pStyle w:val="Nadpis3"/>
        <w:numPr>
          <w:ilvl w:val="3"/>
          <w:numId w:val="1"/>
        </w:numPr>
        <w:ind w:left="2977" w:hanging="992"/>
      </w:pPr>
      <w:r w:rsidRPr="003E5E47">
        <w:t>skrze která je možné proniknout do systémů Objednatele a která jsou zásadní pro realizaci Plnění.</w:t>
      </w:r>
    </w:p>
    <w:p w14:paraId="66724225" w14:textId="14ECBE16" w:rsidR="007100D7" w:rsidRPr="00F902A9" w:rsidRDefault="00264216" w:rsidP="00F43777">
      <w:pPr>
        <w:pStyle w:val="Nadpis3"/>
        <w:ind w:left="1985" w:hanging="1276"/>
      </w:pPr>
      <w:r w:rsidRPr="003E5E47">
        <w:t>fyzických osobách přicházejících do kontaktu s neveřejnými informacemi, přičemž v rámci tohoto informování Poskytovatel vytvoří a udržuje jejich aktuální seznam, který zpřístupní Objednateli, a to do třiceti (30) dnů od nabytí účinnosti této Smlouvy, a následně Objednatele informuje o jakýchkoli změnách v tomto seznamu bez zbytečného odkladu od okamžiku, kdy se Poskytovatel o dané změně dozvěděl;</w:t>
      </w:r>
    </w:p>
    <w:p w14:paraId="795AD4B8" w14:textId="0E7F87C4" w:rsidR="00264216" w:rsidRPr="00F902A9" w:rsidRDefault="004F147D" w:rsidP="00AA57A2">
      <w:pPr>
        <w:pStyle w:val="Nadpis3"/>
        <w:ind w:left="1985" w:hanging="1276"/>
      </w:pPr>
      <w:r w:rsidRPr="003E5E47">
        <w:t>žádosti orgánů činných v trestním řízení nebo jiných orgánů veřejné správy o</w:t>
      </w:r>
      <w:r w:rsidR="005D4B4D">
        <w:t> </w:t>
      </w:r>
      <w:r w:rsidRPr="003E5E47">
        <w:t>poskytnutí informací, údajů nebo dokumentů Objednatele, které byly Objednatelem předány Poskytovateli, nebo které Poskytovatel jiným způsobem získal či vytvořil v</w:t>
      </w:r>
      <w:r w:rsidR="005D4B4D">
        <w:t> </w:t>
      </w:r>
      <w:r w:rsidRPr="003E5E47">
        <w:t>souvislosti s poskytováním Plnění, a to neprodleně a s předstihem před poskytnutím takových informací, pokud to Poskytovateli právní předpisy výslovně nezakazují;</w:t>
      </w:r>
    </w:p>
    <w:p w14:paraId="43E3417F" w14:textId="786EDED2" w:rsidR="004F147D" w:rsidRPr="00F902A9" w:rsidRDefault="008662FA" w:rsidP="00AA57A2">
      <w:pPr>
        <w:pStyle w:val="Nadpis3"/>
        <w:ind w:left="1985" w:hanging="1276"/>
      </w:pPr>
      <w:r w:rsidRPr="003E5E47">
        <w:t>žádosti cizozemského orgánu o zpřístupnění nebo předání Dat zpracovávaných na území cizího státu, vyjma situace, kdy by takové informování bylo v rozporu s</w:t>
      </w:r>
      <w:r w:rsidR="005D4B4D">
        <w:t> </w:t>
      </w:r>
      <w:r w:rsidRPr="003E5E47">
        <w:t>právním řádem, v jehož působnosti dochází ke zpracování dat nebo podle kterého byla žádost podána.</w:t>
      </w:r>
    </w:p>
    <w:p w14:paraId="369F5CDB" w14:textId="5A1479AF" w:rsidR="008662FA" w:rsidRPr="00F902A9" w:rsidRDefault="00842ABE" w:rsidP="000D711D">
      <w:pPr>
        <w:pStyle w:val="Nadpis2"/>
        <w:ind w:left="709" w:hanging="709"/>
      </w:pPr>
      <w:r w:rsidRPr="003E5E47">
        <w:t>Poskytovatel se dále zavazuje zpřístupnit nebo předat Data na základě žádosti cizozemského orgánu o zpřístupnění nebo předání Dat zpracovávaných na území cizího státu:</w:t>
      </w:r>
    </w:p>
    <w:p w14:paraId="1D3D3F79" w14:textId="4938678B" w:rsidR="00842ABE" w:rsidRPr="00F902A9" w:rsidRDefault="00EC0191" w:rsidP="000D711D">
      <w:pPr>
        <w:pStyle w:val="Nadpis3"/>
        <w:ind w:left="1985" w:hanging="1276"/>
      </w:pPr>
      <w:r w:rsidRPr="003E5E47">
        <w:t>až po provedení přezkoumání zákonnosti takové žádosti;</w:t>
      </w:r>
    </w:p>
    <w:p w14:paraId="607E2788" w14:textId="49458E2B" w:rsidR="00EC0191" w:rsidRPr="00F902A9" w:rsidRDefault="00D5244B" w:rsidP="00AA57A2">
      <w:pPr>
        <w:pStyle w:val="Nadpis3"/>
        <w:ind w:left="1985" w:hanging="1276"/>
      </w:pPr>
      <w:r w:rsidRPr="003E5E47">
        <w:t>až po vynaložení veškerého úsilí, které lze na Poskytovatele v takovém postavení spravedlivě požadovat, o zabránění zpřístupnění nebo předání Dat v rámci možností daných právních řádem, v jehož působnosti dochází ke zpracování Dat nebo podle kterého byla žádost podána;</w:t>
      </w:r>
    </w:p>
    <w:p w14:paraId="36A66BE3" w14:textId="747DCC41" w:rsidR="00D5244B" w:rsidRPr="00F902A9" w:rsidRDefault="00294EFC" w:rsidP="00AA57A2">
      <w:pPr>
        <w:pStyle w:val="Nadpis3"/>
        <w:ind w:left="1985" w:hanging="1276"/>
      </w:pPr>
      <w:r w:rsidRPr="003E5E47">
        <w:t>pouze v nezbytném rozsahu</w:t>
      </w:r>
      <w:r w:rsidRPr="00F902A9">
        <w:t>.</w:t>
      </w:r>
    </w:p>
    <w:p w14:paraId="4AE6B7C1" w14:textId="506720D0" w:rsidR="00294EFC" w:rsidRPr="00F902A9" w:rsidRDefault="00A241DA" w:rsidP="00EB1BDB">
      <w:pPr>
        <w:pStyle w:val="Nadpis2"/>
        <w:keepLines w:val="0"/>
        <w:ind w:left="709" w:hanging="709"/>
      </w:pPr>
      <w:r w:rsidRPr="003E5E47">
        <w:t xml:space="preserve">Poskytovatel se zavazuje zavést, udržovat a pravidelně aktualizovat zdokumentovaný plán kontinuity činností, který zajistí nepřetržité poskytování Plnění dle Smlouvy. Poskytovatel se zavazuje do plánu kontinuity činností zahrnout poddodavatele a stanovit poddodavatelům specifické úkoly při aktivaci plánu kontinuity činností. Poskytovatel je povinen provádět testování svého plánu kontinuity činností v pravidelných intervalech, minimálně však jednou ročně, a neprodleně po provedení testování Objednateli poskytnout zprávu o výsledcích tohoto testování. Poskytovatel si je vědom své role </w:t>
      </w:r>
      <w:r w:rsidRPr="003E5E47">
        <w:lastRenderedPageBreak/>
        <w:t xml:space="preserve">v rámci plánu obnovy a kontinuity činností Objednatele, přičemž úkoly a činnost Poskytovatele v rámci plánu obnovy a kontinuity činností Objednatele jsou upraveny v Příloze č. </w:t>
      </w:r>
      <w:r w:rsidR="00CC1217">
        <w:t>6</w:t>
      </w:r>
      <w:r w:rsidRPr="003E5E47">
        <w:t>.</w:t>
      </w:r>
    </w:p>
    <w:p w14:paraId="0AF512F2" w14:textId="0C6DB2C4" w:rsidR="00271342" w:rsidRPr="00A96332" w:rsidRDefault="00271342" w:rsidP="00D977DD">
      <w:pPr>
        <w:pStyle w:val="Nadpis1"/>
        <w:numPr>
          <w:ilvl w:val="0"/>
          <w:numId w:val="5"/>
        </w:numPr>
        <w:ind w:left="284" w:hanging="284"/>
      </w:pPr>
      <w:bookmarkStart w:id="8" w:name="_Ref215222586"/>
      <w:r w:rsidRPr="00A96332">
        <w:t>Řízení změn informačních systémů</w:t>
      </w:r>
      <w:bookmarkEnd w:id="8"/>
    </w:p>
    <w:p w14:paraId="76E489C7" w14:textId="77777777" w:rsidR="00271342" w:rsidRPr="00A96332" w:rsidRDefault="00271342" w:rsidP="00D977DD">
      <w:pPr>
        <w:pStyle w:val="Nadpis2"/>
        <w:numPr>
          <w:ilvl w:val="1"/>
          <w:numId w:val="5"/>
        </w:numPr>
      </w:pPr>
      <w:r w:rsidRPr="00A96332">
        <w:t>Pokud bude Poskytovatel provádět změny v informačních systémech, síťové infrastruktuře, procesech a souvisejících službách, které souvisí s poskytováním Plnění dle Smlouvy, postupují Smluvní strany podle pravidel v tomto článku Smlouvy. Pro vyloučení pochybností, povinnostmi stanovenými v tomto článku Smlouvy nejsou dotčeny postupy týkající se změn předmětu Plnění dle následujících článků Smlouvy.</w:t>
      </w:r>
    </w:p>
    <w:p w14:paraId="38869C84" w14:textId="77777777" w:rsidR="00271342" w:rsidRPr="00A96332" w:rsidRDefault="00271342" w:rsidP="00D977DD">
      <w:pPr>
        <w:pStyle w:val="Nadpis2"/>
        <w:numPr>
          <w:ilvl w:val="1"/>
          <w:numId w:val="5"/>
        </w:numPr>
      </w:pPr>
      <w:r w:rsidRPr="00A96332">
        <w:t>Poskytovatel se zavazuje provádět veškeré změny v souladu s požadavky právních předpisů a Smlouvy.</w:t>
      </w:r>
    </w:p>
    <w:p w14:paraId="1F2F4C4C" w14:textId="77777777" w:rsidR="00271342" w:rsidRPr="00A96332" w:rsidRDefault="00271342" w:rsidP="00D977DD">
      <w:pPr>
        <w:pStyle w:val="Nadpis2"/>
        <w:numPr>
          <w:ilvl w:val="1"/>
          <w:numId w:val="5"/>
        </w:numPr>
      </w:pPr>
      <w:r w:rsidRPr="00A96332">
        <w:t>Změnou se pro účely této Smlouvy rozumí jakákoli úprava technického, provozního nebo organizačního charakteru, která může mít dopad na úroveň kybernetické nebo informační bezpečnosti, dostupnost služeb, integritu nebo důvěrnost Dat, či na plnění požadavků bezpečnostní dokumentace Objednatele.</w:t>
      </w:r>
    </w:p>
    <w:bookmarkEnd w:id="6"/>
    <w:p w14:paraId="0505418B" w14:textId="71361D93" w:rsidR="006E693F" w:rsidRPr="003B0B1D" w:rsidRDefault="0018231C" w:rsidP="000C7D6D">
      <w:pPr>
        <w:pStyle w:val="Nadpis1"/>
        <w:ind w:left="2552" w:hanging="2552"/>
      </w:pPr>
      <w:r>
        <w:t>odpovědnost za vady</w:t>
      </w:r>
    </w:p>
    <w:p w14:paraId="35B01E28" w14:textId="411AB69F" w:rsidR="006E693F" w:rsidRPr="002C306A" w:rsidRDefault="006E693F" w:rsidP="000C7D6D">
      <w:pPr>
        <w:pStyle w:val="Nadpis2"/>
        <w:ind w:left="709" w:hanging="709"/>
      </w:pPr>
      <w:r>
        <w:t xml:space="preserve">Poskytovatel je povinen poskytnout Plnění v souladu s požadavky definovanými touto </w:t>
      </w:r>
      <w:r w:rsidRPr="002C306A">
        <w:t xml:space="preserve">Smlouvou. </w:t>
      </w:r>
      <w:r w:rsidR="00B64307">
        <w:t>Objednatel</w:t>
      </w:r>
      <w:r w:rsidRPr="002C306A">
        <w:t xml:space="preserve"> je povinen za řádně a včas poskytnuté Plnění zaplatit cenu dle</w:t>
      </w:r>
      <w:r>
        <w:t> </w:t>
      </w:r>
      <w:r w:rsidRPr="002C306A">
        <w:t>čl.</w:t>
      </w:r>
      <w:r>
        <w:t> </w:t>
      </w:r>
      <w:r w:rsidRPr="002C306A">
        <w:t>V Smlouvy. Při</w:t>
      </w:r>
      <w:r>
        <w:t> </w:t>
      </w:r>
      <w:r w:rsidRPr="002C306A">
        <w:t>nedodržení těchto povinností se jedná o vadné Plnění.</w:t>
      </w:r>
    </w:p>
    <w:p w14:paraId="08CA5842" w14:textId="3C305284" w:rsidR="00CA215A" w:rsidRDefault="00B71961" w:rsidP="000C7D6D">
      <w:pPr>
        <w:pStyle w:val="Nadpis2"/>
        <w:ind w:left="709" w:hanging="709"/>
      </w:pPr>
      <w:r>
        <w:t>Poskytovatel je povinen poskytovat Plnění v nejvyšší dostupné kvalitě a odpovídá za to, že případné vady Plnění řádně odstraní, případně nahradí plněním bezvadným v souladu se Smlouvou.</w:t>
      </w:r>
    </w:p>
    <w:p w14:paraId="73A1710C" w14:textId="0D81CB24" w:rsidR="00B71961" w:rsidRDefault="004C452D" w:rsidP="000C7D6D">
      <w:pPr>
        <w:pStyle w:val="Nadpis2"/>
        <w:ind w:left="709" w:hanging="709"/>
      </w:pPr>
      <w:r>
        <w:t xml:space="preserve">Zjistí-li Objednatel vady Plnění či jeho části, zejm. vady týkající se množství, druhu či jakosti Plnění či jeho části již při dodání, je oprávněn odmítnout jejich převzetí. O takovém odmítnutí bude proveden zápis do Akceptačního protokolu podepsaný Objednatelem i Poskytovatelem s uvedením důvodu odmítnutí převzetí Plnění. Poskytovatel odstraní vady bezúplatně dodáním náhradního plnění v množství, druhu a jakosti dle Smlouvy. Pro vyloučení pochybností Smluvní strany sjednávají, že doba, po kterou bude Poskytovatel zajišťovat náhradní plnění dle tohoto odstavce nemá vliv na termín poskytnutí Plnění, tj. termín dodání Plnění uvedený v čl. IV odst. 4.2 </w:t>
      </w:r>
      <w:r w:rsidR="00A616AF">
        <w:t>nebo 4.3</w:t>
      </w:r>
      <w:r w:rsidR="00F03EFE">
        <w:t xml:space="preserve"> nebo 4.5</w:t>
      </w:r>
      <w:r w:rsidR="00A616AF">
        <w:t xml:space="preserve"> </w:t>
      </w:r>
      <w:r>
        <w:t>Smlouvy.</w:t>
      </w:r>
    </w:p>
    <w:p w14:paraId="65F4B269" w14:textId="333B0A34" w:rsidR="004C452D" w:rsidRPr="004C452D" w:rsidRDefault="00FF197B" w:rsidP="000C7D6D">
      <w:pPr>
        <w:pStyle w:val="Nadpis2"/>
        <w:ind w:left="709" w:hanging="709"/>
      </w:pPr>
      <w:r>
        <w:t>Aniž by byly dotčeny předcházející odstavce, nejsou tímto článkem dotčena ani omezena práva Smluvních stran z vadného plnění vyplývající z právních předpisů.</w:t>
      </w:r>
    </w:p>
    <w:p w14:paraId="5A71815B" w14:textId="77777777" w:rsidR="00773052" w:rsidRPr="00785AEB" w:rsidRDefault="00773052" w:rsidP="00D977DD">
      <w:pPr>
        <w:pStyle w:val="Nadpis1"/>
        <w:numPr>
          <w:ilvl w:val="0"/>
          <w:numId w:val="5"/>
        </w:numPr>
        <w:ind w:left="284" w:hanging="284"/>
        <w:rPr>
          <w:rFonts w:eastAsia="Calibri"/>
        </w:rPr>
      </w:pPr>
      <w:r w:rsidRPr="00785AEB">
        <w:rPr>
          <w:rFonts w:eastAsia="Calibri"/>
        </w:rPr>
        <w:t>vyhrazená změna závazku</w:t>
      </w:r>
    </w:p>
    <w:p w14:paraId="4F7C6AE8" w14:textId="77777777" w:rsidR="00773052" w:rsidRPr="00785AEB" w:rsidRDefault="00773052" w:rsidP="00D977DD">
      <w:pPr>
        <w:pStyle w:val="Nadpis2"/>
        <w:numPr>
          <w:ilvl w:val="1"/>
          <w:numId w:val="5"/>
        </w:numPr>
      </w:pPr>
      <w:r w:rsidRPr="00785AEB">
        <w:t>Smluvní strany berou na vědomí, že v průběhu poskytování Plnění dle této Smlouvy může dojít:</w:t>
      </w:r>
    </w:p>
    <w:p w14:paraId="731E20DE" w14:textId="77777777" w:rsidR="00773052" w:rsidRPr="00785AEB" w:rsidRDefault="00773052" w:rsidP="00D977DD">
      <w:pPr>
        <w:pStyle w:val="Nadpis3"/>
        <w:numPr>
          <w:ilvl w:val="2"/>
          <w:numId w:val="5"/>
        </w:numPr>
        <w:ind w:left="1559"/>
      </w:pPr>
      <w:r w:rsidRPr="00785AEB">
        <w:t>ke změnám v legislativě,</w:t>
      </w:r>
    </w:p>
    <w:p w14:paraId="65DFD5A3" w14:textId="77777777" w:rsidR="00773052" w:rsidRPr="00785AEB" w:rsidRDefault="00773052" w:rsidP="00D977DD">
      <w:pPr>
        <w:pStyle w:val="Nadpis3"/>
        <w:numPr>
          <w:ilvl w:val="2"/>
          <w:numId w:val="5"/>
        </w:numPr>
        <w:ind w:left="1559"/>
      </w:pPr>
      <w:r w:rsidRPr="00785AEB">
        <w:t>k vydání protiopatření ze strany NÚKIB,</w:t>
      </w:r>
    </w:p>
    <w:p w14:paraId="5713CB1F" w14:textId="77777777" w:rsidR="00773052" w:rsidRPr="00785AEB" w:rsidRDefault="00773052" w:rsidP="00D977DD">
      <w:pPr>
        <w:pStyle w:val="Nadpis3"/>
        <w:numPr>
          <w:ilvl w:val="2"/>
          <w:numId w:val="5"/>
        </w:numPr>
        <w:ind w:left="1559"/>
      </w:pPr>
      <w:r w:rsidRPr="00785AEB">
        <w:t>k vydání opatření obecné povahy ze strany NÚKIB, kterým mohou být stanoveny podmínky nebo kterým může být zakázáno využití plnění Poskytovatele v souladu s § 29 ZKB,</w:t>
      </w:r>
    </w:p>
    <w:p w14:paraId="2D64363C" w14:textId="77777777" w:rsidR="00773052" w:rsidRPr="00785AEB" w:rsidRDefault="00773052" w:rsidP="00D977DD">
      <w:pPr>
        <w:pStyle w:val="Nadpis3"/>
        <w:numPr>
          <w:ilvl w:val="2"/>
          <w:numId w:val="5"/>
        </w:numPr>
        <w:ind w:left="1559"/>
      </w:pPr>
      <w:r w:rsidRPr="00785AEB">
        <w:t xml:space="preserve">ke změnám v oblasti </w:t>
      </w:r>
      <w:proofErr w:type="spellStart"/>
      <w:r w:rsidRPr="00785AEB">
        <w:t>best</w:t>
      </w:r>
      <w:proofErr w:type="spellEnd"/>
      <w:r w:rsidRPr="00785AEB">
        <w:t xml:space="preserve"> </w:t>
      </w:r>
      <w:proofErr w:type="spellStart"/>
      <w:r w:rsidRPr="00785AEB">
        <w:t>practice</w:t>
      </w:r>
      <w:proofErr w:type="spellEnd"/>
      <w:r w:rsidRPr="00785AEB">
        <w:t xml:space="preserve"> pro předmět Plnění, a/nebo</w:t>
      </w:r>
    </w:p>
    <w:p w14:paraId="78816AB1" w14:textId="77777777" w:rsidR="00773052" w:rsidRPr="00785AEB" w:rsidRDefault="00773052" w:rsidP="00D977DD">
      <w:pPr>
        <w:pStyle w:val="Nadpis3"/>
        <w:numPr>
          <w:ilvl w:val="2"/>
          <w:numId w:val="5"/>
        </w:numPr>
        <w:ind w:left="1559"/>
      </w:pPr>
      <w:r w:rsidRPr="00785AEB">
        <w:t>k vydání metodických materiálů a doporučení NÚKIB,</w:t>
      </w:r>
    </w:p>
    <w:p w14:paraId="17E712C5" w14:textId="475ACE0A" w:rsidR="00773052" w:rsidRPr="00785AEB" w:rsidRDefault="00773052" w:rsidP="00773052">
      <w:pPr>
        <w:ind w:left="708"/>
        <w:jc w:val="both"/>
      </w:pPr>
      <w:r w:rsidRPr="00785AEB">
        <w:t xml:space="preserve">přičemž tyto změny či nové dokumenty mohou vyvolat potřebu změny Smlouvy, Přílohy č. </w:t>
      </w:r>
      <w:r w:rsidR="00146182">
        <w:t>6</w:t>
      </w:r>
      <w:r w:rsidRPr="00785AEB">
        <w:t xml:space="preserve"> nebo vnitřních předpisů Objednatele. Z těchto důvodů si Smluvní strany sjednávají tuto vyhrazenou změnu závazku dle § 100 odst. 1 ZZVZ. </w:t>
      </w:r>
    </w:p>
    <w:p w14:paraId="16C7DCD2" w14:textId="6288979F" w:rsidR="00773052" w:rsidRPr="00785AEB" w:rsidRDefault="00773052" w:rsidP="00EB1BDB">
      <w:pPr>
        <w:pStyle w:val="Nadpis2"/>
        <w:keepLines w:val="0"/>
        <w:numPr>
          <w:ilvl w:val="1"/>
          <w:numId w:val="5"/>
        </w:numPr>
      </w:pPr>
      <w:r w:rsidRPr="00785AEB">
        <w:t>V případech dle předchozího odst. 1</w:t>
      </w:r>
      <w:r w:rsidR="004E124B">
        <w:t>3</w:t>
      </w:r>
      <w:r w:rsidRPr="00785AEB">
        <w:t xml:space="preserve">.1 Smluvní strany berou na vědomí a souhlasí s tím, že bude postupováno tak, aby byly dodrženy požadavky nové legislativy, vydaného protiopatření, opatření obecné povahy, změny </w:t>
      </w:r>
      <w:proofErr w:type="spellStart"/>
      <w:r w:rsidRPr="00785AEB">
        <w:t>best</w:t>
      </w:r>
      <w:proofErr w:type="spellEnd"/>
      <w:r w:rsidRPr="00785AEB">
        <w:t xml:space="preserve"> </w:t>
      </w:r>
      <w:proofErr w:type="spellStart"/>
      <w:r w:rsidRPr="00785AEB">
        <w:t>practice</w:t>
      </w:r>
      <w:proofErr w:type="spellEnd"/>
      <w:r w:rsidRPr="00785AEB">
        <w:t xml:space="preserve"> nebo metodických materiálů a doporučení NÚKIB, a za tímto účelem vstoupí Smluvní strany do jednání o změně Smlouvy nebo Přílohy č. </w:t>
      </w:r>
      <w:r w:rsidR="00146182">
        <w:t>6</w:t>
      </w:r>
      <w:r w:rsidRPr="00785AEB">
        <w:t xml:space="preserve"> nebo Objednatel </w:t>
      </w:r>
      <w:r w:rsidRPr="00785AEB">
        <w:lastRenderedPageBreak/>
        <w:t xml:space="preserve">poskytne Poskytovateli novou verzi vnitřních předpisů Objednatele, které budou pro Poskytovatele dále závazné. V případě, že Poskytovatel v souvislosti se změnou Smlouvy, Přílohy č. </w:t>
      </w:r>
      <w:r w:rsidR="00146182">
        <w:t>6</w:t>
      </w:r>
      <w:r w:rsidRPr="00785AEB">
        <w:t xml:space="preserve"> nebo vnitřních předpisů Objednatele identifikuje potřebu změny ceny, je povinen tuto změnu ceny projednat s Objednatelem a náležitě její potřebu zdůvodnit, přičemž navýšení ceny bude vycházet z</w:t>
      </w:r>
      <w:r w:rsidR="007E6D31">
        <w:t xml:space="preserve"> Ceny </w:t>
      </w:r>
      <w:r w:rsidR="00527749">
        <w:t>za Maintenance</w:t>
      </w:r>
      <w:r w:rsidRPr="00785AEB">
        <w:t>.</w:t>
      </w:r>
    </w:p>
    <w:p w14:paraId="61F42EAD" w14:textId="77777777" w:rsidR="00CE12D3" w:rsidRPr="00CE12D3" w:rsidRDefault="00CE12D3" w:rsidP="00576F8F">
      <w:pPr>
        <w:pStyle w:val="Nadpis1"/>
        <w:ind w:hanging="2156"/>
      </w:pPr>
      <w:r w:rsidRPr="002A590A">
        <w:t>SAnkce</w:t>
      </w:r>
    </w:p>
    <w:p w14:paraId="029917CB" w14:textId="35193A5D" w:rsidR="00C16907" w:rsidRPr="005C59E8" w:rsidRDefault="00636E1F" w:rsidP="000C7D6D">
      <w:pPr>
        <w:pStyle w:val="Nadpis2"/>
        <w:ind w:left="709" w:hanging="709"/>
      </w:pPr>
      <w:r w:rsidRPr="004F0774">
        <w:t>Pro výpočet smluvních pokut dle odst. 1</w:t>
      </w:r>
      <w:r w:rsidR="0018432F">
        <w:t>4</w:t>
      </w:r>
      <w:r w:rsidRPr="004F0774">
        <w:t>.</w:t>
      </w:r>
      <w:r>
        <w:t>3</w:t>
      </w:r>
      <w:r w:rsidRPr="004F0774">
        <w:t xml:space="preserve"> až </w:t>
      </w:r>
      <w:r>
        <w:t>1</w:t>
      </w:r>
      <w:r w:rsidR="0018432F">
        <w:t>4</w:t>
      </w:r>
      <w:r>
        <w:t>.</w:t>
      </w:r>
      <w:r w:rsidR="00A1796E">
        <w:t>5</w:t>
      </w:r>
      <w:r w:rsidRPr="004F0774">
        <w:t xml:space="preserve"> tohoto článku bude použita částka rovnající se </w:t>
      </w:r>
      <w:r w:rsidRPr="00CF7C92">
        <w:t>1</w:t>
      </w:r>
      <w:r w:rsidRPr="004F0774">
        <w:t> 000 000,00 Kč (slovy: milion korun čes</w:t>
      </w:r>
      <w:r>
        <w:t>kých) (dále jen „</w:t>
      </w:r>
      <w:r w:rsidRPr="00ED0681">
        <w:rPr>
          <w:b/>
          <w:bCs/>
        </w:rPr>
        <w:t>Základ pokuty</w:t>
      </w:r>
      <w:r>
        <w:t>“).</w:t>
      </w:r>
    </w:p>
    <w:p w14:paraId="24F8004E" w14:textId="0D4CD9B6" w:rsidR="00636E1F" w:rsidRDefault="00D5077B" w:rsidP="000C7D6D">
      <w:pPr>
        <w:pStyle w:val="Nadpis2"/>
        <w:ind w:left="709" w:hanging="709"/>
      </w:pPr>
      <w:r>
        <w:t>V</w:t>
      </w:r>
      <w:r w:rsidRPr="00B93CFF">
        <w:t xml:space="preserve"> případě prodlení </w:t>
      </w:r>
      <w:r>
        <w:t>Poskytovatele</w:t>
      </w:r>
      <w:r w:rsidRPr="00B93CFF">
        <w:t xml:space="preserve"> s termínem plnění </w:t>
      </w:r>
      <w:r w:rsidR="00F832D6">
        <w:t xml:space="preserve">pro Dodávku HW dle čl. IV </w:t>
      </w:r>
      <w:r>
        <w:t>4.2 Smlouvy</w:t>
      </w:r>
      <w:r w:rsidR="00CC3E21">
        <w:t xml:space="preserve"> a/nebo prodlení s Termínem</w:t>
      </w:r>
      <w:r>
        <w:t xml:space="preserve"> I</w:t>
      </w:r>
      <w:r w:rsidRPr="00B93CFF">
        <w:t>nstalace</w:t>
      </w:r>
      <w:r>
        <w:t xml:space="preserve"> a konfigurace </w:t>
      </w:r>
      <w:r w:rsidRPr="00B93CFF">
        <w:t xml:space="preserve">a </w:t>
      </w:r>
      <w:r>
        <w:t>Migrace</w:t>
      </w:r>
      <w:r w:rsidR="0018432F">
        <w:t xml:space="preserve"> stanoveném </w:t>
      </w:r>
      <w:r w:rsidR="00AB56F1">
        <w:t xml:space="preserve">způsobem </w:t>
      </w:r>
      <w:r w:rsidR="0018432F">
        <w:t>dle odst. 4.3</w:t>
      </w:r>
      <w:r w:rsidRPr="00B93CFF">
        <w:t xml:space="preserve"> vzniká </w:t>
      </w:r>
      <w:r>
        <w:t>Objednateli</w:t>
      </w:r>
      <w:r w:rsidRPr="00B93CFF">
        <w:t xml:space="preserve"> nárok na s</w:t>
      </w:r>
      <w:r w:rsidRPr="0003796D">
        <w:t>mluvní pokutu ve výši 20 000,00 Kč (slovy: dvacet tisíc korun českých) za každý i započatý den prodlení</w:t>
      </w:r>
      <w:r>
        <w:t>.</w:t>
      </w:r>
    </w:p>
    <w:p w14:paraId="463283BD" w14:textId="3D7119FB" w:rsidR="00C16907" w:rsidRPr="005C59E8" w:rsidRDefault="006602C6" w:rsidP="000C7D6D">
      <w:pPr>
        <w:pStyle w:val="Nadpis2"/>
        <w:ind w:left="709" w:hanging="709"/>
      </w:pPr>
      <w:r>
        <w:t>V</w:t>
      </w:r>
      <w:r w:rsidR="0018432F">
        <w:t> </w:t>
      </w:r>
      <w:r w:rsidRPr="0003796D">
        <w:t>případě</w:t>
      </w:r>
      <w:r w:rsidR="0018432F">
        <w:t>,</w:t>
      </w:r>
      <w:r w:rsidRPr="0003796D">
        <w:t xml:space="preserve"> že dojde ke ztrátě dat v příčinné souvislosti s vadou dodaných SVC </w:t>
      </w:r>
      <w:proofErr w:type="spellStart"/>
      <w:r w:rsidRPr="0003796D">
        <w:t>nódů</w:t>
      </w:r>
      <w:proofErr w:type="spellEnd"/>
      <w:r w:rsidRPr="0003796D">
        <w:t xml:space="preserve">, vzniká </w:t>
      </w:r>
      <w:r>
        <w:t>Objednateli</w:t>
      </w:r>
      <w:r w:rsidRPr="0003796D">
        <w:t xml:space="preserve"> nárok na smluvní pokutu ve výši 20 % Základu pokut</w:t>
      </w:r>
      <w:r>
        <w:t>y</w:t>
      </w:r>
      <w:r w:rsidR="00C16907" w:rsidRPr="005C59E8">
        <w:t>.</w:t>
      </w:r>
    </w:p>
    <w:p w14:paraId="2685C666" w14:textId="4E82AB41" w:rsidR="006602C6" w:rsidRPr="001B54E5" w:rsidRDefault="0012376C" w:rsidP="000C7D6D">
      <w:pPr>
        <w:pStyle w:val="Nadpis2"/>
        <w:ind w:left="709" w:hanging="709"/>
      </w:pPr>
      <w:r>
        <w:t>V</w:t>
      </w:r>
      <w:r w:rsidRPr="0003796D">
        <w:t xml:space="preserve"> případě prodlení </w:t>
      </w:r>
      <w:r w:rsidR="00BE154E">
        <w:t>Poskytovatele</w:t>
      </w:r>
      <w:r w:rsidRPr="0003796D">
        <w:t xml:space="preserve"> s odstraněním </w:t>
      </w:r>
      <w:r w:rsidR="00192E8B">
        <w:t>v</w:t>
      </w:r>
      <w:r w:rsidRPr="0003796D">
        <w:t xml:space="preserve">ady </w:t>
      </w:r>
      <w:r w:rsidRPr="00C0720A">
        <w:t xml:space="preserve">dle </w:t>
      </w:r>
      <w:r w:rsidR="002C617B" w:rsidRPr="001B54E5">
        <w:t>čl</w:t>
      </w:r>
      <w:r w:rsidR="005215D2" w:rsidRPr="001B54E5">
        <w:t>.</w:t>
      </w:r>
      <w:r w:rsidR="002C617B" w:rsidRPr="001B54E5">
        <w:t xml:space="preserve"> III </w:t>
      </w:r>
      <w:r w:rsidR="005C0072">
        <w:t>odst</w:t>
      </w:r>
      <w:r w:rsidR="004C4CFF" w:rsidRPr="001B54E5">
        <w:t>.</w:t>
      </w:r>
      <w:r w:rsidR="00131EE8" w:rsidRPr="001B54E5">
        <w:t xml:space="preserve"> </w:t>
      </w:r>
      <w:r w:rsidR="004C4CFF" w:rsidRPr="001B54E5">
        <w:t>3.5.3</w:t>
      </w:r>
      <w:r w:rsidRPr="001B54E5">
        <w:t xml:space="preserve"> Smlouvy, vzniká Objednateli nárok na smluvní pokutu ve výši 0,3 % ze Základu pokuty, a to za každou </w:t>
      </w:r>
      <w:r w:rsidR="00AC24FD" w:rsidRPr="001B54E5">
        <w:t xml:space="preserve">i započatou </w:t>
      </w:r>
      <w:r w:rsidRPr="001B54E5">
        <w:t xml:space="preserve">hodinu prodlení a </w:t>
      </w:r>
      <w:r w:rsidR="00AC24FD" w:rsidRPr="001B54E5">
        <w:t xml:space="preserve">každý </w:t>
      </w:r>
      <w:r w:rsidRPr="001B54E5">
        <w:t>jednotlivý případ.</w:t>
      </w:r>
    </w:p>
    <w:p w14:paraId="46F79AC9" w14:textId="7E5746D9" w:rsidR="001F1068" w:rsidRDefault="000F028A" w:rsidP="000C7D6D">
      <w:pPr>
        <w:pStyle w:val="Nadpis2"/>
        <w:ind w:left="709" w:hanging="709"/>
      </w:pPr>
      <w:r w:rsidRPr="001B54E5">
        <w:t xml:space="preserve">V případě, že celková doba trvání všech </w:t>
      </w:r>
      <w:r w:rsidR="00192E8B" w:rsidRPr="001B54E5">
        <w:t>v</w:t>
      </w:r>
      <w:r w:rsidRPr="001B54E5">
        <w:t>ad dle</w:t>
      </w:r>
      <w:r w:rsidR="002C617B" w:rsidRPr="001B54E5">
        <w:t xml:space="preserve"> čl. III</w:t>
      </w:r>
      <w:r w:rsidRPr="001B54E5">
        <w:t xml:space="preserve"> </w:t>
      </w:r>
      <w:r w:rsidR="001961E9" w:rsidRPr="001B54E5">
        <w:t>odst. 3.5.3</w:t>
      </w:r>
      <w:r w:rsidR="001B54E5" w:rsidRPr="001B54E5">
        <w:t xml:space="preserve"> </w:t>
      </w:r>
      <w:r w:rsidRPr="001B54E5">
        <w:t>Smlouvy</w:t>
      </w:r>
      <w:r w:rsidRPr="00C0720A">
        <w:t xml:space="preserve"> za jedno roční období podpory přesáhne 96 hodin, vzniká Objednateli navíc nárok na smluvní pokutu ve výši </w:t>
      </w:r>
      <w:r>
        <w:t>0,6</w:t>
      </w:r>
      <w:r w:rsidRPr="00C0720A">
        <w:t xml:space="preserve"> % ze Základu pokuty, a to za každou započatou hodinu nad uvedený limit.</w:t>
      </w:r>
    </w:p>
    <w:p w14:paraId="1AF4BDF6" w14:textId="216CABA4" w:rsidR="00C16907" w:rsidRPr="008C459A" w:rsidRDefault="00C16907" w:rsidP="000C7D6D">
      <w:pPr>
        <w:pStyle w:val="Nadpis2"/>
        <w:ind w:left="709" w:hanging="709"/>
      </w:pPr>
      <w:r w:rsidRPr="005C59E8">
        <w:t xml:space="preserve">V případě porušení některé z povinností stanovených v čl. I odst. 1.2 </w:t>
      </w:r>
      <w:proofErr w:type="spellStart"/>
      <w:r w:rsidRPr="005C59E8">
        <w:t>pododst</w:t>
      </w:r>
      <w:proofErr w:type="spellEnd"/>
      <w:r w:rsidRPr="005C59E8">
        <w:t xml:space="preserve">. 1.2.10 a/nebo </w:t>
      </w:r>
      <w:proofErr w:type="spellStart"/>
      <w:r w:rsidRPr="005C59E8">
        <w:t>pododst</w:t>
      </w:r>
      <w:proofErr w:type="spellEnd"/>
      <w:r w:rsidRPr="005C59E8">
        <w:t xml:space="preserve">. 1.2.11 a/nebo </w:t>
      </w:r>
      <w:proofErr w:type="spellStart"/>
      <w:r w:rsidRPr="005C59E8">
        <w:t>pododst</w:t>
      </w:r>
      <w:proofErr w:type="spellEnd"/>
      <w:r w:rsidRPr="005C59E8">
        <w:t xml:space="preserve">. 1.2.12 a/nebo </w:t>
      </w:r>
      <w:proofErr w:type="spellStart"/>
      <w:r w:rsidRPr="005C59E8">
        <w:t>pododst</w:t>
      </w:r>
      <w:proofErr w:type="spellEnd"/>
      <w:r w:rsidRPr="005C59E8">
        <w:t xml:space="preserve">. 1.2.13 </w:t>
      </w:r>
      <w:r w:rsidR="00192E8B" w:rsidRPr="005C59E8">
        <w:t xml:space="preserve">a/nebo </w:t>
      </w:r>
      <w:proofErr w:type="spellStart"/>
      <w:r w:rsidR="00192E8B" w:rsidRPr="005C59E8">
        <w:t>pododst</w:t>
      </w:r>
      <w:proofErr w:type="spellEnd"/>
      <w:r w:rsidR="00192E8B" w:rsidRPr="005C59E8">
        <w:t>. 1.2.1</w:t>
      </w:r>
      <w:r w:rsidR="00192E8B">
        <w:t>4</w:t>
      </w:r>
      <w:r w:rsidR="003F4F37">
        <w:t xml:space="preserve"> </w:t>
      </w:r>
      <w:r w:rsidR="003F4F37" w:rsidRPr="005C59E8">
        <w:t xml:space="preserve">a/nebo </w:t>
      </w:r>
      <w:proofErr w:type="spellStart"/>
      <w:r w:rsidR="003F4F37" w:rsidRPr="005C59E8">
        <w:t>pododst</w:t>
      </w:r>
      <w:proofErr w:type="spellEnd"/>
      <w:r w:rsidR="003F4F37" w:rsidRPr="005C59E8">
        <w:t>. 1.2.1</w:t>
      </w:r>
      <w:r w:rsidR="003F4F37">
        <w:t>5</w:t>
      </w:r>
      <w:r w:rsidR="00192E8B">
        <w:t xml:space="preserve">, </w:t>
      </w:r>
      <w:r w:rsidRPr="005C59E8">
        <w:t xml:space="preserve">a/nebo čl. </w:t>
      </w:r>
      <w:r w:rsidR="004F7F21">
        <w:t xml:space="preserve">III odst. 3.10 a/nebo čl. </w:t>
      </w:r>
      <w:r w:rsidRPr="005C59E8">
        <w:t>V odst. 5.1</w:t>
      </w:r>
      <w:r w:rsidR="003F4F37">
        <w:t>5</w:t>
      </w:r>
      <w:r w:rsidRPr="005C59E8">
        <w:t xml:space="preserve">, </w:t>
      </w:r>
      <w:r w:rsidR="004F7F21">
        <w:t>a/nebo čl. VI odst. 6.7</w:t>
      </w:r>
      <w:r w:rsidR="0006725A">
        <w:t xml:space="preserve"> </w:t>
      </w:r>
      <w:r w:rsidR="0081629C">
        <w:t>a/nebo</w:t>
      </w:r>
      <w:r w:rsidR="007B4747">
        <w:t xml:space="preserve"> čl. VII odst. 7.8, a/nebo</w:t>
      </w:r>
      <w:r w:rsidR="0081629C">
        <w:t xml:space="preserve"> čl. XVI. Odst. 16</w:t>
      </w:r>
      <w:r w:rsidR="0081394B">
        <w:t>.</w:t>
      </w:r>
      <w:r w:rsidR="0081394B" w:rsidRPr="008C459A">
        <w:t xml:space="preserve">10 Smlouvy </w:t>
      </w:r>
      <w:r w:rsidRPr="008C459A">
        <w:t xml:space="preserve">ze strany </w:t>
      </w:r>
      <w:r w:rsidRPr="008C459A">
        <w:rPr>
          <w:rStyle w:val="TMNormlnModrChar"/>
          <w:rFonts w:ascii="Verdana" w:eastAsiaTheme="minorHAnsi" w:hAnsi="Verdana" w:cs="Arial"/>
          <w:color w:val="auto"/>
        </w:rPr>
        <w:t>Poskytovatel</w:t>
      </w:r>
      <w:r w:rsidRPr="008C459A">
        <w:t xml:space="preserve">e má </w:t>
      </w:r>
      <w:r w:rsidR="00B64307" w:rsidRPr="008C459A">
        <w:t>Objednatel</w:t>
      </w:r>
      <w:r w:rsidRPr="008C459A">
        <w:t xml:space="preserve"> právo uplatnit vůči </w:t>
      </w:r>
      <w:r w:rsidRPr="008C459A">
        <w:rPr>
          <w:rStyle w:val="TMNormlnModrChar"/>
          <w:rFonts w:ascii="Verdana" w:eastAsiaTheme="minorHAnsi" w:hAnsi="Verdana" w:cs="Arial"/>
          <w:color w:val="auto"/>
        </w:rPr>
        <w:t>Poskytovatel</w:t>
      </w:r>
      <w:r w:rsidRPr="008C459A">
        <w:t>i smluvní pokutu ve výši 100 000 Kč, a to za každý jednotlivý případ porušení.</w:t>
      </w:r>
    </w:p>
    <w:p w14:paraId="03252070" w14:textId="292A7980" w:rsidR="000577ED" w:rsidRPr="008C459A" w:rsidRDefault="000577ED" w:rsidP="000C7D6D">
      <w:pPr>
        <w:pStyle w:val="Nadpis2"/>
        <w:ind w:left="709" w:hanging="709"/>
      </w:pPr>
      <w:r w:rsidRPr="008C459A">
        <w:rPr>
          <w:rFonts w:cs="Tahoma"/>
        </w:rPr>
        <w:t xml:space="preserve">V případě porušení povinnosti nebo prohlášení Poskytovatele v oblasti kybernetické bezpečnosti </w:t>
      </w:r>
      <w:r w:rsidR="004F7F21" w:rsidRPr="008C459A">
        <w:rPr>
          <w:rFonts w:cs="Tahoma"/>
        </w:rPr>
        <w:t xml:space="preserve">a/nebo oprávnění užívat Data </w:t>
      </w:r>
      <w:r w:rsidRPr="008C459A">
        <w:rPr>
          <w:rFonts w:cs="Tahoma"/>
        </w:rPr>
        <w:t>dle čl.</w:t>
      </w:r>
      <w:r w:rsidR="004F7F21" w:rsidRPr="008C459A">
        <w:rPr>
          <w:rFonts w:cs="Tahoma"/>
        </w:rPr>
        <w:t xml:space="preserve"> IX</w:t>
      </w:r>
      <w:r w:rsidR="00AB56F1">
        <w:rPr>
          <w:rFonts w:cs="Tahoma"/>
        </w:rPr>
        <w:t xml:space="preserve"> </w:t>
      </w:r>
      <w:r w:rsidRPr="008C459A">
        <w:rPr>
          <w:rFonts w:cs="Tahoma"/>
        </w:rPr>
        <w:t xml:space="preserve">a/nebo </w:t>
      </w:r>
      <w:r w:rsidRPr="008C459A">
        <w:rPr>
          <w:rFonts w:cs="Tahoma"/>
        </w:rPr>
        <w:fldChar w:fldCharType="begin"/>
      </w:r>
      <w:r w:rsidRPr="008C459A">
        <w:rPr>
          <w:rFonts w:cs="Tahoma"/>
        </w:rPr>
        <w:instrText xml:space="preserve"> REF _Ref215222586 \r \h  \* MERGEFORMAT </w:instrText>
      </w:r>
      <w:r w:rsidRPr="008C459A">
        <w:rPr>
          <w:rFonts w:cs="Tahoma"/>
        </w:rPr>
      </w:r>
      <w:r w:rsidRPr="008C459A">
        <w:rPr>
          <w:rFonts w:cs="Tahoma"/>
        </w:rPr>
        <w:fldChar w:fldCharType="separate"/>
      </w:r>
      <w:r w:rsidRPr="008C459A">
        <w:rPr>
          <w:rFonts w:cs="Tahoma"/>
        </w:rPr>
        <w:t>X</w:t>
      </w:r>
      <w:r w:rsidRPr="008C459A">
        <w:rPr>
          <w:rFonts w:cs="Tahoma"/>
        </w:rPr>
        <w:fldChar w:fldCharType="end"/>
      </w:r>
      <w:r w:rsidRPr="008C459A">
        <w:rPr>
          <w:rFonts w:cs="Tahoma"/>
        </w:rPr>
        <w:t xml:space="preserve"> a vzniká Objednateli nárok na smluvní pokutu ve výši 100 000,00 Kč (slovy: sto tisíc korun českých) za každý jednotlivý případ porušení</w:t>
      </w:r>
      <w:r w:rsidRPr="008C459A">
        <w:t>.</w:t>
      </w:r>
    </w:p>
    <w:p w14:paraId="3A2837BF" w14:textId="03E7481C" w:rsidR="00C16907" w:rsidRPr="005C59E8" w:rsidRDefault="00C16907" w:rsidP="000C7D6D">
      <w:pPr>
        <w:pStyle w:val="Nadpis2"/>
        <w:ind w:left="709" w:hanging="709"/>
      </w:pPr>
      <w:r w:rsidRPr="005C59E8">
        <w:t xml:space="preserve">Pro případ prodlení </w:t>
      </w:r>
      <w:r w:rsidR="00B64307">
        <w:t>Objednatele</w:t>
      </w:r>
      <w:r w:rsidRPr="005C59E8">
        <w:t xml:space="preserve"> se zaplacením řádně vystavené a doručené faktury je </w:t>
      </w:r>
      <w:r w:rsidRPr="00E625FC">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33EF68C3" w14:textId="77777777" w:rsidR="00C16907" w:rsidRPr="005C59E8" w:rsidRDefault="00C16907" w:rsidP="000C7D6D">
      <w:pPr>
        <w:pStyle w:val="Nadpis2"/>
        <w:ind w:left="709" w:hanging="709"/>
      </w:pPr>
      <w:r w:rsidRPr="005C59E8">
        <w:t>V případě, že některá ze Smluvních stran poruší některou z povinností mlčenlivosti dle čl. VIII této Smlouvy, je druhá Smluvní strana oprávněna požadovat smluvní pokutu ve výši 100 000 Kč, a to každý jednotlivý případ porušení.</w:t>
      </w:r>
    </w:p>
    <w:p w14:paraId="0292DA88" w14:textId="77777777" w:rsidR="00C16907" w:rsidRPr="005C59E8" w:rsidRDefault="00C16907" w:rsidP="000C7D6D">
      <w:pPr>
        <w:pStyle w:val="Nadpis2"/>
        <w:ind w:left="709" w:hanging="709"/>
      </w:pPr>
      <w:r w:rsidRPr="005C59E8">
        <w:t>Smluvní pokuta a zákonný úrok z prodlení jsou splatné ve lhůtě 30 dnů ode dne doručení písemné výzvy oprávněné Smluvní strany Smluvní straně povinné ze smluvní pokuty nebo ze zákonného úroku z prodlení.</w:t>
      </w:r>
    </w:p>
    <w:p w14:paraId="56D65724" w14:textId="5AC61763" w:rsidR="00C16907" w:rsidRPr="005C59E8" w:rsidRDefault="00B64307" w:rsidP="000C7D6D">
      <w:pPr>
        <w:pStyle w:val="Nadpis2"/>
        <w:ind w:left="709" w:hanging="709"/>
      </w:pPr>
      <w:r>
        <w:t>Objednatel</w:t>
      </w:r>
      <w:r w:rsidR="00C16907" w:rsidRPr="005C59E8">
        <w:t xml:space="preserve"> je oprávněn uplatňovat vůči </w:t>
      </w:r>
      <w:r w:rsidR="00C16907" w:rsidRPr="00E625FC">
        <w:rPr>
          <w:rStyle w:val="TMNormlnModrChar"/>
          <w:rFonts w:ascii="Verdana" w:eastAsiaTheme="minorHAnsi" w:hAnsi="Verdana" w:cs="Arial"/>
          <w:color w:val="auto"/>
        </w:rPr>
        <w:t>Poskytovatel</w:t>
      </w:r>
      <w:r w:rsidR="00C16907" w:rsidRPr="005C59E8">
        <w:t>i veškeré smluvní pokuty, na které mu bude z porušení Smlouvy vyplývat nárok dle tohoto článku, tj. i v případě kumulace smluvních pokut.</w:t>
      </w:r>
    </w:p>
    <w:p w14:paraId="77D9E1B5" w14:textId="44277ABE" w:rsidR="00C16907" w:rsidRPr="005C59E8" w:rsidRDefault="00C16907" w:rsidP="000C7D6D">
      <w:pPr>
        <w:pStyle w:val="Nadpis2"/>
        <w:keepNext/>
        <w:ind w:left="709" w:hanging="709"/>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w:t>
      </w:r>
      <w:r w:rsidRPr="004875BA">
        <w:rPr>
          <w:rStyle w:val="Nadpis2Char"/>
        </w:rPr>
        <w:t xml:space="preserve">odpovídající </w:t>
      </w:r>
      <w:r w:rsidR="00A616AF" w:rsidRPr="004875BA">
        <w:rPr>
          <w:rStyle w:val="Nadpis2Char"/>
        </w:rPr>
        <w:t>15</w:t>
      </w:r>
      <w:r w:rsidRPr="004875BA">
        <w:rPr>
          <w:rStyle w:val="Nadpis2Char"/>
        </w:rPr>
        <w:t> 000 000 Kč</w:t>
      </w:r>
      <w:r w:rsidRPr="005C59E8">
        <w:rPr>
          <w:rStyle w:val="Nadpis2Char"/>
        </w:rPr>
        <w:t>.</w:t>
      </w:r>
    </w:p>
    <w:p w14:paraId="7CB4E798" w14:textId="77777777" w:rsidR="00C16907" w:rsidRPr="005C59E8" w:rsidRDefault="00C16907" w:rsidP="000C7D6D">
      <w:pPr>
        <w:pStyle w:val="Nadpis2"/>
        <w:ind w:left="709" w:hanging="709"/>
      </w:pPr>
      <w:r w:rsidRPr="005C59E8">
        <w:t>Ujednáním o smluvní pokutě není dotčeno právo poškozené Smluvní strany domáhat se náhrady škody v plné výši.</w:t>
      </w:r>
    </w:p>
    <w:p w14:paraId="4325A263" w14:textId="77777777" w:rsidR="00C16907" w:rsidRPr="005C59E8" w:rsidRDefault="00C16907" w:rsidP="0000596B">
      <w:pPr>
        <w:pStyle w:val="Nadpis2"/>
        <w:ind w:left="709" w:hanging="709"/>
      </w:pPr>
      <w:r w:rsidRPr="005C59E8">
        <w:t>Zaplacení smluvní pokuty nezbavuje Poskytovatele povinnosti splnit závazek utvrzený smluvní pokutou</w:t>
      </w:r>
    </w:p>
    <w:p w14:paraId="7BC6B518" w14:textId="3C12CB97" w:rsidR="00BB6992" w:rsidRDefault="00BB6992" w:rsidP="00EB1BDB">
      <w:pPr>
        <w:pStyle w:val="Nadpis1"/>
        <w:widowControl w:val="0"/>
        <w:ind w:left="2155" w:hanging="2155"/>
      </w:pPr>
      <w:r w:rsidRPr="00BB6992">
        <w:lastRenderedPageBreak/>
        <w:t>DOBA TRVÁNÍ A UKONČENÍ SMLOUVY</w:t>
      </w:r>
    </w:p>
    <w:p w14:paraId="51E46BEA" w14:textId="68BF1A7D" w:rsidR="00437C02" w:rsidRDefault="00437C02" w:rsidP="00EB1BDB">
      <w:pPr>
        <w:pStyle w:val="Nadpis2"/>
        <w:keepLines w:val="0"/>
        <w:ind w:left="709" w:hanging="709"/>
      </w:pPr>
      <w:r>
        <w:t xml:space="preserve">Tato Smlouva se uzavírá na dobu určitou, a to s účinností ode dne zveřejnění Smlouvy v registru smluv dle </w:t>
      </w:r>
      <w:r w:rsidR="003D1F11" w:rsidRPr="00241133">
        <w:t>zákona č. 340/2015 Sb., o zvláštních podmínkách účinnosti některých smluv, uveřejňování těchto smluv a o registru smluv v platném znění (dále jen „</w:t>
      </w:r>
      <w:r w:rsidR="003D1F11" w:rsidRPr="00F46394">
        <w:rPr>
          <w:b/>
          <w:bCs/>
        </w:rPr>
        <w:t>Zákon o registru smluv</w:t>
      </w:r>
      <w:r w:rsidR="003D1F11" w:rsidRPr="00241133">
        <w:t>“)</w:t>
      </w:r>
      <w:r w:rsidR="003D1F11">
        <w:t>,</w:t>
      </w:r>
      <w:r w:rsidR="00536720" w:rsidRPr="00536720">
        <w:t xml:space="preserve"> </w:t>
      </w:r>
      <w:r w:rsidR="00536720" w:rsidRPr="00815272">
        <w:t xml:space="preserve">do uplynutí </w:t>
      </w:r>
      <w:r w:rsidR="000C7B01" w:rsidRPr="00815272">
        <w:t>60</w:t>
      </w:r>
      <w:r w:rsidR="00815272">
        <w:t xml:space="preserve"> </w:t>
      </w:r>
      <w:r w:rsidR="00536720" w:rsidRPr="00815272">
        <w:t>měsíců ode dne podpisu Akceptačního protokolu bez výhrad oběma Smluvními stranami</w:t>
      </w:r>
      <w:r w:rsidRPr="00815272">
        <w:t>.</w:t>
      </w:r>
    </w:p>
    <w:p w14:paraId="3F1AE9C8" w14:textId="5AC65686" w:rsidR="000919C8" w:rsidRDefault="000919C8" w:rsidP="00EB1BDB">
      <w:pPr>
        <w:pStyle w:val="Nadpis2"/>
        <w:keepLines w:val="0"/>
        <w:ind w:left="709" w:hanging="709"/>
      </w:pPr>
      <w:r>
        <w:t>Tato Smlouva může být ukončena dohodou Smluvních stran.</w:t>
      </w:r>
    </w:p>
    <w:p w14:paraId="06878297" w14:textId="77777777" w:rsidR="000919C8" w:rsidRDefault="000919C8" w:rsidP="000D711D">
      <w:pPr>
        <w:pStyle w:val="Nadpis2"/>
        <w:ind w:left="709" w:hanging="709"/>
      </w:pPr>
      <w:r>
        <w:t xml:space="preserve">Smluvní strany jsou oprávněny od této Smlouvy odstoupit, nastanou-li okolnosti předvídané ust. § 2002 Občanského zákoníku. </w:t>
      </w:r>
    </w:p>
    <w:p w14:paraId="17A981AC" w14:textId="77777777" w:rsidR="000919C8" w:rsidRDefault="000919C8" w:rsidP="0000596B">
      <w:pPr>
        <w:pStyle w:val="Nadpis2"/>
        <w:ind w:left="709" w:hanging="709"/>
      </w:pPr>
      <w:r>
        <w:t xml:space="preserve">Za podstatné porušení Smlouvy </w:t>
      </w:r>
      <w:r w:rsidRPr="00E625FC">
        <w:rPr>
          <w:rStyle w:val="TMNormlnModrChar"/>
          <w:rFonts w:ascii="Verdana" w:eastAsiaTheme="minorHAnsi" w:hAnsi="Verdana" w:cs="Arial"/>
          <w:color w:val="auto"/>
        </w:rPr>
        <w:t>Poskytovatel</w:t>
      </w:r>
      <w:r>
        <w:t>em ve smyslu § 2002 Občanského zákoníku se považuje zejména:</w:t>
      </w:r>
    </w:p>
    <w:p w14:paraId="5CE05A68" w14:textId="77777777" w:rsidR="000919C8" w:rsidRDefault="000919C8" w:rsidP="00C81C53">
      <w:pPr>
        <w:pStyle w:val="Nadpis3"/>
        <w:ind w:left="1560" w:hanging="851"/>
      </w:pPr>
      <w:r>
        <w:t xml:space="preserve">prodlení </w:t>
      </w:r>
      <w:r w:rsidRPr="00E625FC">
        <w:rPr>
          <w:rStyle w:val="TMNormlnModrChar"/>
          <w:rFonts w:ascii="Verdana" w:eastAsiaTheme="minorHAnsi" w:hAnsi="Verdana" w:cs="Arial"/>
          <w:color w:val="auto"/>
        </w:rPr>
        <w:t>Poskytovatel</w:t>
      </w:r>
      <w:r>
        <w:t>e s plněním jakýchkoliv lhůt ze Smlouvy o více než 15 kalendářních dnů;</w:t>
      </w:r>
    </w:p>
    <w:p w14:paraId="25F92718" w14:textId="77777777" w:rsidR="000919C8" w:rsidRDefault="000919C8" w:rsidP="00C81C53">
      <w:pPr>
        <w:pStyle w:val="Nadpis3"/>
        <w:ind w:left="1560" w:hanging="851"/>
      </w:pPr>
      <w:r>
        <w:t>opakované (tj. nejméně druhé) porušování smluvních či jiných právních povinností v souvislosti s plněním Smlouvy;</w:t>
      </w:r>
    </w:p>
    <w:p w14:paraId="625D78FE" w14:textId="48431A6E" w:rsidR="000919C8" w:rsidRDefault="000919C8" w:rsidP="00C81C53">
      <w:pPr>
        <w:pStyle w:val="Nadpis3"/>
        <w:ind w:left="1560" w:hanging="851"/>
      </w:pPr>
      <w:r>
        <w:t xml:space="preserve">jakékoliv jiné porušení povinnosti Poskytovatelem, které nebude odstraněno či napraveno ani do 15 kalendářních dnů ode dne doručení výzvy </w:t>
      </w:r>
      <w:r w:rsidR="00B64307">
        <w:t>Objednatele</w:t>
      </w:r>
      <w:r>
        <w:t xml:space="preserve"> k nápravě (popř. od uplynutí lhůty ve výzvě stanovené), je-li náprava možná;</w:t>
      </w:r>
    </w:p>
    <w:p w14:paraId="36F787BC" w14:textId="77777777" w:rsidR="000919C8" w:rsidRDefault="000919C8" w:rsidP="00C81C53">
      <w:pPr>
        <w:pStyle w:val="Nadpis3"/>
        <w:ind w:left="1560" w:hanging="851"/>
      </w:pPr>
      <w:r w:rsidRPr="00C149E3">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Smlouvy nebo v souvislosti s</w:t>
      </w:r>
      <w:r>
        <w:t> </w:t>
      </w:r>
      <w:r w:rsidRPr="00C149E3">
        <w:t>ním</w:t>
      </w:r>
      <w:r>
        <w:t>;</w:t>
      </w:r>
    </w:p>
    <w:p w14:paraId="511EFA82" w14:textId="77777777" w:rsidR="000919C8" w:rsidRPr="002920B8" w:rsidRDefault="000919C8" w:rsidP="00C81C53">
      <w:pPr>
        <w:pStyle w:val="Nadpis3"/>
        <w:ind w:left="1560" w:hanging="851"/>
      </w:pPr>
      <w:r w:rsidRPr="002920B8">
        <w:t xml:space="preserve">prohlášení Poskytovatele dle čl. I odst. 1.12 </w:t>
      </w:r>
      <w:proofErr w:type="spellStart"/>
      <w:r w:rsidRPr="002920B8">
        <w:t>pododst</w:t>
      </w:r>
      <w:proofErr w:type="spellEnd"/>
      <w:r w:rsidRPr="002920B8">
        <w:t>. 1.2.1</w:t>
      </w:r>
      <w:r>
        <w:t>0</w:t>
      </w:r>
      <w:r w:rsidRPr="002920B8">
        <w:t xml:space="preserve"> Smlouvy o neexistenci významného vztahu k Ruské federaci se ukáže jako nepravdivé;</w:t>
      </w:r>
    </w:p>
    <w:p w14:paraId="20829BEB" w14:textId="51372310" w:rsidR="000D20A5" w:rsidRDefault="000919C8" w:rsidP="00C81C53">
      <w:pPr>
        <w:pStyle w:val="Nadpis3"/>
        <w:ind w:left="1560" w:hanging="851"/>
      </w:pPr>
      <w:r w:rsidRPr="002920B8">
        <w:t xml:space="preserve">prohlášení Poskytovatele dle čl. I odst. 1.12 </w:t>
      </w:r>
      <w:proofErr w:type="spellStart"/>
      <w:r w:rsidRPr="002920B8">
        <w:t>pododst</w:t>
      </w:r>
      <w:proofErr w:type="spellEnd"/>
      <w:r w:rsidRPr="002920B8">
        <w:t>. 1.2.1</w:t>
      </w:r>
      <w:r>
        <w:t>1</w:t>
      </w:r>
      <w:r w:rsidRPr="002920B8">
        <w:t xml:space="preserve"> Smlouvy se ukáže jako nepravdivé</w:t>
      </w:r>
      <w:r w:rsidR="000D20A5">
        <w:t>;</w:t>
      </w:r>
    </w:p>
    <w:p w14:paraId="2C7D2472" w14:textId="10952534" w:rsidR="000919C8" w:rsidRPr="002920B8" w:rsidRDefault="000D20A5" w:rsidP="00C81C53">
      <w:pPr>
        <w:pStyle w:val="Nadpis3"/>
        <w:ind w:left="1560" w:hanging="851"/>
      </w:pPr>
      <w:r>
        <w:t>porušení</w:t>
      </w:r>
      <w:r w:rsidR="002D5B06">
        <w:t xml:space="preserve"> povinnosti</w:t>
      </w:r>
      <w:r w:rsidR="00803403">
        <w:t xml:space="preserve"> Pos</w:t>
      </w:r>
      <w:r w:rsidR="00262776">
        <w:t>ky</w:t>
      </w:r>
      <w:r w:rsidR="00803403">
        <w:t>tovatele</w:t>
      </w:r>
      <w:r w:rsidR="002D5B06">
        <w:t xml:space="preserve"> stanovené v čl. </w:t>
      </w:r>
      <w:r w:rsidR="004875BA">
        <w:t>XVI</w:t>
      </w:r>
      <w:r w:rsidR="009B6210">
        <w:t xml:space="preserve"> odst. </w:t>
      </w:r>
      <w:r w:rsidR="0070480B">
        <w:t>1</w:t>
      </w:r>
      <w:r w:rsidR="004875BA">
        <w:t>6</w:t>
      </w:r>
      <w:r w:rsidR="0070480B">
        <w:t>.10</w:t>
      </w:r>
      <w:r w:rsidR="009B6210">
        <w:t xml:space="preserve"> Smlouvy</w:t>
      </w:r>
      <w:r w:rsidR="000919C8" w:rsidRPr="002920B8">
        <w:t>.</w:t>
      </w:r>
    </w:p>
    <w:p w14:paraId="57EBED5F" w14:textId="5159D091" w:rsidR="000919C8" w:rsidRDefault="000919C8" w:rsidP="00E13DFD">
      <w:pPr>
        <w:pStyle w:val="Nadpis2"/>
        <w:ind w:left="709" w:hanging="709"/>
      </w:pPr>
      <w:r>
        <w:t xml:space="preserve">Za podstatné porušení Smlouvy Smluvním partnerem ve smyslu § 2002 Občanského zákoníku se považuje zejména prodlení </w:t>
      </w:r>
      <w:r w:rsidR="00B64307">
        <w:t>Objednatele</w:t>
      </w:r>
      <w:r>
        <w:t xml:space="preserve"> s úhradou faktury o více než 30 kalendářních dnů.</w:t>
      </w:r>
    </w:p>
    <w:p w14:paraId="10FE4C0D" w14:textId="7DA32603" w:rsidR="000919C8" w:rsidRDefault="00B64307" w:rsidP="00E13DFD">
      <w:pPr>
        <w:pStyle w:val="Nadpis2"/>
        <w:ind w:left="709" w:hanging="709"/>
      </w:pPr>
      <w:r>
        <w:t>Objednatel</w:t>
      </w:r>
      <w:r w:rsidR="000919C8">
        <w:t xml:space="preserve"> je dále oprávněn od Smlouvy odstoupit v následujících případech:</w:t>
      </w:r>
    </w:p>
    <w:p w14:paraId="06B84FD7" w14:textId="77777777" w:rsidR="000919C8" w:rsidRDefault="000919C8" w:rsidP="00C81C53">
      <w:pPr>
        <w:pStyle w:val="Nadpis3"/>
        <w:ind w:left="1560" w:hanging="851"/>
      </w:pPr>
      <w:r>
        <w:t xml:space="preserve">bude rozhodnuto o likvidaci </w:t>
      </w:r>
      <w:r w:rsidRPr="00E625FC">
        <w:rPr>
          <w:rStyle w:val="TMNormlnModrChar"/>
          <w:rFonts w:ascii="Verdana" w:eastAsiaTheme="minorHAnsi" w:hAnsi="Verdana" w:cs="Arial"/>
          <w:color w:val="auto"/>
        </w:rPr>
        <w:t>Poskytovatel</w:t>
      </w:r>
      <w:r>
        <w:t>e;</w:t>
      </w:r>
    </w:p>
    <w:p w14:paraId="67DB98A9" w14:textId="77777777" w:rsidR="000919C8" w:rsidRDefault="000919C8" w:rsidP="00C81C53">
      <w:pPr>
        <w:pStyle w:val="Nadpis3"/>
        <w:ind w:left="1560" w:hanging="851"/>
      </w:pPr>
      <w:r w:rsidRPr="00E625FC">
        <w:rPr>
          <w:rStyle w:val="TMNormlnModrChar"/>
          <w:rFonts w:ascii="Verdana" w:eastAsiaTheme="minorHAnsi" w:hAnsi="Verdana" w:cs="Arial"/>
          <w:color w:val="auto"/>
        </w:rPr>
        <w:t>Poskytovatel</w:t>
      </w:r>
      <w:r>
        <w:t xml:space="preserve"> podá insolvenční návrh ohledně své osoby, bude rozhodnuto o úpadku </w:t>
      </w:r>
      <w:r w:rsidRPr="00E625FC">
        <w:rPr>
          <w:rStyle w:val="TMNormlnModrChar"/>
          <w:rFonts w:ascii="Verdana" w:eastAsiaTheme="minorHAnsi" w:hAnsi="Verdana" w:cs="Arial"/>
          <w:color w:val="auto"/>
        </w:rPr>
        <w:t>Poskytovatel</w:t>
      </w:r>
      <w:r>
        <w:t>e nebo bude ve vztahu k </w:t>
      </w:r>
      <w:r w:rsidRPr="00E625FC">
        <w:rPr>
          <w:rStyle w:val="TMNormlnModrChar"/>
          <w:rFonts w:ascii="Verdana" w:eastAsiaTheme="minorHAnsi" w:hAnsi="Verdana" w:cs="Arial"/>
          <w:color w:val="auto"/>
        </w:rPr>
        <w:t>Poskytovatel</w:t>
      </w:r>
      <w:r>
        <w:t>i vydáno jiné rozhodnutí s obdobnými účinky;</w:t>
      </w:r>
    </w:p>
    <w:p w14:paraId="6E7C7604" w14:textId="77777777" w:rsidR="000919C8" w:rsidRDefault="000919C8" w:rsidP="00C81C53">
      <w:pPr>
        <w:pStyle w:val="Nadpis3"/>
        <w:ind w:left="1560" w:hanging="851"/>
      </w:pPr>
      <w:r w:rsidRPr="00E625FC">
        <w:rPr>
          <w:rStyle w:val="TMNormlnModrChar"/>
          <w:rFonts w:ascii="Verdana" w:eastAsiaTheme="minorHAnsi" w:hAnsi="Verdana" w:cs="Arial"/>
          <w:color w:val="auto"/>
        </w:rPr>
        <w:t>Poskytovatel</w:t>
      </w:r>
      <w:r>
        <w:t xml:space="preserve"> bude pravomocně odsouzen za úmyslný majetkový nebo hospodářský trestný čin;</w:t>
      </w:r>
    </w:p>
    <w:p w14:paraId="3DE9517F" w14:textId="6B5D6823" w:rsidR="00371B4F" w:rsidRDefault="000919C8" w:rsidP="00C81C53">
      <w:pPr>
        <w:pStyle w:val="Nadpis3"/>
        <w:ind w:left="1560" w:hanging="851"/>
      </w:pPr>
      <w:r w:rsidRPr="00A31047">
        <w:t xml:space="preserve">dojde ke střetu zájmů, přičemž za střet zájmů se zde rozumí skutečnost, že </w:t>
      </w:r>
      <w:r>
        <w:t>Poskytovatel</w:t>
      </w:r>
      <w:r w:rsidRPr="00A31047">
        <w:t xml:space="preserve"> je obchodní společností, ve které veřejný funkcionář uvedený v § 2 odst. 1 písm. c) Zákona o střetu zájmů (člen vlády nebo vedoucí jiného ústředního správního úřadu, v</w:t>
      </w:r>
      <w:r>
        <w:t> </w:t>
      </w:r>
      <w:r w:rsidRPr="00A31047">
        <w:t>jehož čele není člen vlády) nebo jím ovládaná osoba vlastní podíl představující alespoň 25 % účasti společníka v obchodní společnosti</w:t>
      </w:r>
      <w:r w:rsidR="00371B4F">
        <w:t>;</w:t>
      </w:r>
    </w:p>
    <w:p w14:paraId="633D8DA2" w14:textId="77777777" w:rsidR="00371B4F" w:rsidRPr="009A1E17" w:rsidRDefault="00371B4F" w:rsidP="00EB1BDB">
      <w:pPr>
        <w:pStyle w:val="Nadpis3"/>
        <w:keepNext/>
        <w:keepLines w:val="0"/>
        <w:numPr>
          <w:ilvl w:val="2"/>
          <w:numId w:val="5"/>
        </w:numPr>
        <w:ind w:left="1560"/>
      </w:pPr>
      <w:r w:rsidRPr="009A1E17">
        <w:rPr>
          <w:rFonts w:cs="Arial"/>
        </w:rPr>
        <w:t xml:space="preserve">dojde nebo má dojít k významné změně ovládání Poskytovatele, nebo </w:t>
      </w:r>
      <w:r w:rsidRPr="009A1E17">
        <w:t>dojde nebo má dojít ke změně kontroly nad zásadními aktivy využívanými Poskytovatelem k Plnění Smlouvy;</w:t>
      </w:r>
    </w:p>
    <w:p w14:paraId="4B6F70EB" w14:textId="77777777" w:rsidR="00371B4F" w:rsidRPr="009A1E17" w:rsidRDefault="00371B4F" w:rsidP="00EB1BDB">
      <w:pPr>
        <w:pStyle w:val="Nadpis3"/>
        <w:keepNext/>
        <w:keepLines w:val="0"/>
        <w:numPr>
          <w:ilvl w:val="2"/>
          <w:numId w:val="5"/>
        </w:numPr>
        <w:ind w:left="1560"/>
      </w:pPr>
      <w:r w:rsidRPr="009A1E17">
        <w:rPr>
          <w:rFonts w:cs="Arial"/>
        </w:rPr>
        <w:t>Poskytovatel změní sídlo mimo území členských států Evropské unie a členských států Evropského sdružení volného obchodu;</w:t>
      </w:r>
    </w:p>
    <w:p w14:paraId="0D4BC4E3" w14:textId="77777777" w:rsidR="00371B4F" w:rsidRPr="009A1E17" w:rsidRDefault="00371B4F" w:rsidP="00EB1BDB">
      <w:pPr>
        <w:pStyle w:val="Nadpis3"/>
        <w:keepNext/>
        <w:keepLines w:val="0"/>
        <w:numPr>
          <w:ilvl w:val="2"/>
          <w:numId w:val="5"/>
        </w:numPr>
        <w:ind w:left="1560"/>
      </w:pPr>
      <w:r w:rsidRPr="009A1E17">
        <w:t>Poskytovatel poruší svá prohlášení stanovená v odst. 1.2 této Smlouvy, své povinnosti v oblasti práv duševního vlastnictvím, kybernetické bezpečnosti a ochrany Dat a nezjedná nápravu ani do třiceti (30) dní od výzvy Objednatele;</w:t>
      </w:r>
    </w:p>
    <w:p w14:paraId="37C86380" w14:textId="5CDED5AC" w:rsidR="000919C8" w:rsidRPr="009A1E17" w:rsidRDefault="00371B4F" w:rsidP="00EB1BDB">
      <w:pPr>
        <w:pStyle w:val="Nadpis3"/>
        <w:keepNext/>
        <w:keepLines w:val="0"/>
        <w:numPr>
          <w:ilvl w:val="2"/>
          <w:numId w:val="5"/>
        </w:numPr>
        <w:ind w:left="1560"/>
      </w:pPr>
      <w:r w:rsidRPr="009A1E17">
        <w:t xml:space="preserve">NÚKIB vydá opatření obecné povahy, kterým stanoví podmínky a/nebo zakáže využití Plnění Poskytovatele dle § 29 ZKB a v plnění této Smlouvy nelze rozumně pokračovat, aniž </w:t>
      </w:r>
      <w:r w:rsidRPr="009A1E17">
        <w:lastRenderedPageBreak/>
        <w:t>by bylo toto opatření obecné povahy porušeno.</w:t>
      </w:r>
    </w:p>
    <w:p w14:paraId="1D9DFCA5" w14:textId="114D8E55" w:rsidR="000919C8" w:rsidRDefault="000919C8" w:rsidP="00EB1BDB">
      <w:pPr>
        <w:pStyle w:val="Nadpis2"/>
        <w:keepNext/>
        <w:keepLines w:val="0"/>
        <w:ind w:left="709" w:hanging="709"/>
      </w:pPr>
      <w:r>
        <w:t xml:space="preserve">Nastane-li některý z případů uvedených v předcházejícím odstavci, je </w:t>
      </w:r>
      <w:r w:rsidRPr="00E625FC">
        <w:rPr>
          <w:rStyle w:val="TMNormlnModrChar"/>
          <w:rFonts w:ascii="Verdana" w:eastAsiaTheme="minorHAnsi" w:hAnsi="Verdana" w:cs="Arial"/>
          <w:color w:val="auto"/>
        </w:rPr>
        <w:t xml:space="preserve">Poskytovatel </w:t>
      </w:r>
      <w:r>
        <w:t xml:space="preserve">povinen o této skutečnosti informovat </w:t>
      </w:r>
      <w:r w:rsidR="00B64307">
        <w:t>Objednatele</w:t>
      </w:r>
      <w:r>
        <w:t xml:space="preserve">, a to písemně do 2 pracovních dnů od jejího vzniku, společně s informací o tom, o kterou z uvedených skutečností se jedná, a s uvedením bližších údajů, které by </w:t>
      </w:r>
      <w:r w:rsidR="00B64307">
        <w:t>Objednatel</w:t>
      </w:r>
      <w:r>
        <w:t xml:space="preserve"> mohl v této souvislosti potřebovat pro své rozhodnutí o odstoupení od Smlouvy. Nedodržení této povinnosti je podstatným porušením Smlouvy.</w:t>
      </w:r>
    </w:p>
    <w:p w14:paraId="50F202EF" w14:textId="77777777" w:rsidR="000919C8" w:rsidRPr="00960978" w:rsidRDefault="000919C8" w:rsidP="00DE32A7">
      <w:pPr>
        <w:pStyle w:val="Nadpis2"/>
        <w:ind w:left="709" w:hanging="709"/>
      </w:pPr>
      <w:r>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6F675F1E" w14:textId="77777777" w:rsidR="000919C8" w:rsidRDefault="000919C8" w:rsidP="00DE32A7">
      <w:pPr>
        <w:pStyle w:val="Nadpis2"/>
        <w:ind w:left="709" w:hanging="709"/>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6BB8E8FF" w14:textId="02037622" w:rsidR="000919C8" w:rsidRPr="00474C4A" w:rsidRDefault="00B64307" w:rsidP="00DE32A7">
      <w:pPr>
        <w:pStyle w:val="Nadpis2"/>
        <w:ind w:left="709" w:hanging="709"/>
      </w:pPr>
      <w:r>
        <w:t>Objednatel</w:t>
      </w:r>
      <w:r w:rsidR="000919C8">
        <w:t xml:space="preserve"> může od Smlouvy odstoupit také ohledně celého plnění. V takovém případě se závazek založený touto Smlouvou zrušuje od počátku (tj. ex </w:t>
      </w:r>
      <w:proofErr w:type="spellStart"/>
      <w:r w:rsidR="000919C8">
        <w:t>tunc</w:t>
      </w:r>
      <w:proofErr w:type="spellEnd"/>
      <w:r w:rsidR="000919C8">
        <w:t xml:space="preserve">) a Smluvní strany jsou povinny si vrátit vše, co si plnily, a to bez zbytečného odkladu, nejpozději však do 30 dnů od doručení oznámení </w:t>
      </w:r>
      <w:r>
        <w:t>Objednatele</w:t>
      </w:r>
      <w:r w:rsidR="000919C8">
        <w:t xml:space="preserve"> o odstoupení od této Smlouvy </w:t>
      </w:r>
      <w:r w:rsidR="000919C8" w:rsidRPr="00E625FC">
        <w:rPr>
          <w:rStyle w:val="TMNormlnModrChar"/>
          <w:rFonts w:ascii="Verdana" w:eastAsiaTheme="minorHAnsi" w:hAnsi="Verdana" w:cs="Arial"/>
          <w:color w:val="auto"/>
        </w:rPr>
        <w:t>Poskytovatel</w:t>
      </w:r>
      <w:r w:rsidR="000919C8">
        <w:t>i.</w:t>
      </w:r>
    </w:p>
    <w:p w14:paraId="33C8DD8D" w14:textId="3CBA6B72" w:rsidR="00EB7922" w:rsidRPr="00EB7922" w:rsidRDefault="000919C8" w:rsidP="00DE32A7">
      <w:pPr>
        <w:pStyle w:val="Nadpis2"/>
        <w:ind w:left="709" w:hanging="709"/>
      </w:pPr>
      <w:r>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3915F635" w14:textId="77777777" w:rsidR="00B95567" w:rsidRPr="00E625FC" w:rsidRDefault="00B95567" w:rsidP="000D711D">
      <w:pPr>
        <w:pStyle w:val="Nadpis1"/>
        <w:ind w:hanging="2156"/>
        <w:rPr>
          <w:sz w:val="18"/>
          <w:szCs w:val="18"/>
        </w:rPr>
      </w:pPr>
      <w:r w:rsidRPr="00E625FC">
        <w:rPr>
          <w:sz w:val="18"/>
          <w:szCs w:val="18"/>
        </w:rPr>
        <w:t>Závěrečná ustanovení</w:t>
      </w:r>
    </w:p>
    <w:p w14:paraId="0DBF1371" w14:textId="77777777" w:rsidR="006F537A" w:rsidRDefault="006F537A" w:rsidP="00DE32A7">
      <w:pPr>
        <w:pStyle w:val="Nadpis2"/>
        <w:ind w:left="709" w:hanging="709"/>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76598F85" w14:textId="1A744E38" w:rsidR="006F537A" w:rsidRDefault="00B64307" w:rsidP="00DE32A7">
      <w:pPr>
        <w:pStyle w:val="Nadpis3"/>
        <w:keepNext/>
        <w:ind w:left="1560" w:hanging="851"/>
        <w:contextualSpacing/>
      </w:pPr>
      <w:r>
        <w:t>Objednatel</w:t>
      </w:r>
      <w:r w:rsidR="006F537A">
        <w:t>:</w:t>
      </w:r>
    </w:p>
    <w:p w14:paraId="64E3C75E" w14:textId="77777777" w:rsidR="006F537A" w:rsidRDefault="006F537A" w:rsidP="006F537A">
      <w:pPr>
        <w:pStyle w:val="Nadpis3"/>
        <w:keepNext/>
        <w:numPr>
          <w:ilvl w:val="0"/>
          <w:numId w:val="0"/>
        </w:numPr>
        <w:ind w:left="1559"/>
        <w:contextualSpacing/>
      </w:pPr>
      <w:r w:rsidRPr="00A574EC">
        <w:t>Název: Státní pokladna Centrum sdílených služeb, s. p.</w:t>
      </w:r>
    </w:p>
    <w:p w14:paraId="11644A47" w14:textId="77777777" w:rsidR="006F537A" w:rsidRDefault="006F537A" w:rsidP="006F537A">
      <w:pPr>
        <w:pStyle w:val="Nadpis3"/>
        <w:keepNext/>
        <w:numPr>
          <w:ilvl w:val="0"/>
          <w:numId w:val="0"/>
        </w:numPr>
        <w:ind w:left="1560"/>
        <w:contextualSpacing/>
      </w:pPr>
      <w:r>
        <w:t xml:space="preserve">Adresa: </w:t>
      </w:r>
      <w:r w:rsidRPr="00A574EC">
        <w:t>Na Vápence 915/14, 130 00 Praha 3</w:t>
      </w:r>
    </w:p>
    <w:p w14:paraId="4F823333" w14:textId="77777777" w:rsidR="006F537A" w:rsidRDefault="006F537A" w:rsidP="006F537A">
      <w:pPr>
        <w:pStyle w:val="Nadpis3"/>
        <w:keepNext/>
        <w:numPr>
          <w:ilvl w:val="0"/>
          <w:numId w:val="0"/>
        </w:numPr>
        <w:ind w:left="1560"/>
        <w:contextualSpacing/>
      </w:pPr>
      <w:r>
        <w:t>K rukám: jméno Oprávněné osoby Objednatele</w:t>
      </w:r>
    </w:p>
    <w:p w14:paraId="50F30837" w14:textId="77777777" w:rsidR="006F537A" w:rsidRDefault="006F537A" w:rsidP="006F537A">
      <w:pPr>
        <w:pStyle w:val="Nadpis3"/>
        <w:numPr>
          <w:ilvl w:val="0"/>
          <w:numId w:val="0"/>
        </w:numPr>
        <w:ind w:left="1560"/>
        <w:contextualSpacing/>
        <w:rPr>
          <w:rFonts w:eastAsia="Calibri"/>
        </w:rPr>
      </w:pPr>
      <w:r>
        <w:t xml:space="preserve">Datová schránka: </w:t>
      </w:r>
      <w:r w:rsidRPr="00100720">
        <w:rPr>
          <w:rFonts w:eastAsia="Calibri"/>
        </w:rPr>
        <w:t>ag5uunk</w:t>
      </w:r>
    </w:p>
    <w:p w14:paraId="168EF3E9" w14:textId="77777777" w:rsidR="006F537A" w:rsidRDefault="006F537A" w:rsidP="00DE32A7">
      <w:pPr>
        <w:pStyle w:val="Nadpis3"/>
        <w:ind w:left="1560" w:hanging="851"/>
        <w:contextualSpacing/>
      </w:pPr>
      <w:r w:rsidRPr="00E625FC">
        <w:rPr>
          <w:rStyle w:val="TMNormlnModrChar"/>
          <w:rFonts w:ascii="Verdana" w:eastAsiaTheme="minorHAnsi" w:hAnsi="Verdana" w:cs="Arial"/>
          <w:color w:val="auto"/>
        </w:rPr>
        <w:t>Poskytovatel</w:t>
      </w:r>
    </w:p>
    <w:p w14:paraId="052FE187" w14:textId="77777777" w:rsidR="006F537A" w:rsidRDefault="006F537A" w:rsidP="006F537A">
      <w:pPr>
        <w:pStyle w:val="Nadpis3"/>
        <w:numPr>
          <w:ilvl w:val="0"/>
          <w:numId w:val="0"/>
        </w:numPr>
        <w:ind w:left="1560"/>
        <w:contextualSpacing/>
      </w:pPr>
      <w:r w:rsidRPr="00A574EC">
        <w:t xml:space="preserve">Název: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18EBAE25" w14:textId="77777777" w:rsidR="006F537A" w:rsidRDefault="006F537A" w:rsidP="006F537A">
      <w:pPr>
        <w:pStyle w:val="Nadpis3"/>
        <w:numPr>
          <w:ilvl w:val="0"/>
          <w:numId w:val="0"/>
        </w:numPr>
        <w:ind w:left="1560"/>
        <w:contextualSpacing/>
      </w:pPr>
      <w:r>
        <w:t xml:space="preserve">Adresa: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24847A77" w14:textId="77777777" w:rsidR="006F537A" w:rsidRDefault="006F537A" w:rsidP="006F537A">
      <w:pPr>
        <w:pStyle w:val="Nadpis3"/>
        <w:numPr>
          <w:ilvl w:val="0"/>
          <w:numId w:val="0"/>
        </w:numPr>
        <w:ind w:left="1560"/>
        <w:contextualSpacing/>
      </w:pPr>
      <w:r>
        <w:t xml:space="preserve">K rukám: </w:t>
      </w:r>
      <w:r w:rsidRPr="002E51BC">
        <w:rPr>
          <w:rFonts w:eastAsia="Calibri"/>
        </w:rPr>
        <w:t>jméno</w:t>
      </w:r>
      <w:r w:rsidRPr="002E51BC">
        <w:t xml:space="preserve"> Oprávněné osoby </w:t>
      </w:r>
      <w:r w:rsidRPr="00E625FC">
        <w:rPr>
          <w:rStyle w:val="TMNormlnModrChar"/>
          <w:rFonts w:ascii="Verdana" w:eastAsiaTheme="minorHAnsi" w:hAnsi="Verdana" w:cs="Arial"/>
          <w:color w:val="auto"/>
        </w:rPr>
        <w:t>Poskytovatele</w:t>
      </w:r>
    </w:p>
    <w:p w14:paraId="095AE37A" w14:textId="77777777" w:rsidR="006F537A" w:rsidRPr="003958C3" w:rsidRDefault="006F537A" w:rsidP="006F537A">
      <w:pPr>
        <w:pStyle w:val="Nadpis3"/>
        <w:numPr>
          <w:ilvl w:val="0"/>
          <w:numId w:val="0"/>
        </w:numPr>
        <w:ind w:left="1560"/>
        <w:contextualSpacing/>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7ED5744B" w14:textId="77777777" w:rsidR="006F537A" w:rsidRDefault="006F537A" w:rsidP="00DE32A7">
      <w:pPr>
        <w:pStyle w:val="Nadpis2"/>
        <w:ind w:left="709" w:hanging="709"/>
      </w:pPr>
      <w:r>
        <w:t>Účinnost oznámení nastává v pracovní den následující po dni doručení tohoto oznámení druhé Smluvní straně, není-li ve Smlouvě v konkrétním případě stanoveno jinak.</w:t>
      </w:r>
    </w:p>
    <w:p w14:paraId="5DDB4B31" w14:textId="56918E31" w:rsidR="006F537A" w:rsidRDefault="006F537A" w:rsidP="00DE32A7">
      <w:pPr>
        <w:pStyle w:val="Nadpis2"/>
        <w:ind w:left="709" w:hanging="709"/>
      </w:pPr>
      <w:r>
        <w:t>Smluvní strany se dohodly na určení oprávněné osoby za každou Smluvní stranu (dále jen „</w:t>
      </w:r>
      <w:r>
        <w:rPr>
          <w:b/>
        </w:rPr>
        <w:t>Oprávněná osoba</w:t>
      </w:r>
      <w:r>
        <w:t>“). Oprávněné osoby jsou oprávněné ke všem jednáním týkajícím se této Smlouvy, s </w:t>
      </w:r>
      <w:r w:rsidR="00834ECA">
        <w:t>v</w:t>
      </w:r>
      <w:r w:rsidR="00834ECA" w:rsidRPr="00834ECA">
        <w:t>ýjimkou změn Smlouvy formou dodatku ke Smlouvě nebo ukončení Smlouvy</w:t>
      </w:r>
      <w:r w:rsidR="00834ECA">
        <w:t xml:space="preserve"> </w:t>
      </w:r>
      <w:r>
        <w:t>a oznámení o změně bankovních údajů</w:t>
      </w:r>
      <w:r w:rsidR="002A02A3">
        <w:t xml:space="preserve"> a </w:t>
      </w:r>
      <w:r w:rsidR="002A02A3" w:rsidRPr="002A02A3">
        <w:t>s výjimkou činností svěřených dle této Smlouvy odlišným osobám</w:t>
      </w:r>
      <w:r w:rsidR="002A02A3">
        <w:t xml:space="preserve">, </w:t>
      </w:r>
      <w:r>
        <w:t>není-li ve Smlouvě stanoveno jinak. V případě, že Smluvní strana má více Oprávněných osob, zasílají se veškeré e-mailové zprávy na adresy všech oprávněných osob v kopii:</w:t>
      </w:r>
    </w:p>
    <w:p w14:paraId="40E09102" w14:textId="7AE971DD" w:rsidR="006F537A" w:rsidRDefault="006F537A" w:rsidP="00DE32A7">
      <w:pPr>
        <w:pStyle w:val="Nadpis3"/>
        <w:ind w:left="1560" w:hanging="851"/>
        <w:contextualSpacing/>
      </w:pPr>
      <w:r>
        <w:t xml:space="preserve">Oprávněnou osobou </w:t>
      </w:r>
      <w:r w:rsidR="00B64307">
        <w:t>Objednatele</w:t>
      </w:r>
      <w:r>
        <w:t xml:space="preserve"> jsou:</w:t>
      </w:r>
    </w:p>
    <w:p w14:paraId="0227DD63" w14:textId="2E127C02" w:rsidR="006F537A" w:rsidRDefault="006F537A" w:rsidP="006F537A">
      <w:pPr>
        <w:pStyle w:val="Nadpis3"/>
        <w:numPr>
          <w:ilvl w:val="0"/>
          <w:numId w:val="0"/>
        </w:numPr>
        <w:ind w:left="1559"/>
        <w:contextualSpacing/>
      </w:pPr>
      <w:r>
        <w:t xml:space="preserve">Jméno: </w:t>
      </w:r>
      <w:r w:rsidR="006F4C69">
        <w:t>Jana Bednárková</w:t>
      </w:r>
    </w:p>
    <w:p w14:paraId="4E64C268" w14:textId="36690AB4" w:rsidR="006F537A" w:rsidRPr="00CA6650" w:rsidRDefault="006F537A" w:rsidP="006F537A">
      <w:pPr>
        <w:pStyle w:val="Nadpis3"/>
        <w:numPr>
          <w:ilvl w:val="0"/>
          <w:numId w:val="0"/>
        </w:numPr>
        <w:ind w:left="1559"/>
        <w:contextualSpacing/>
        <w:rPr>
          <w:lang w:val="en-US"/>
        </w:rPr>
      </w:pPr>
      <w:r>
        <w:lastRenderedPageBreak/>
        <w:t xml:space="preserve">e-mail: </w:t>
      </w:r>
      <w:proofErr w:type="spellStart"/>
      <w:r w:rsidR="006F4C69">
        <w:t>jana</w:t>
      </w:r>
      <w:r w:rsidR="005437F2">
        <w:t>.bednarkova</w:t>
      </w:r>
      <w:proofErr w:type="spellEnd"/>
      <w:r w:rsidR="005437F2">
        <w:rPr>
          <w:lang w:val="en-US"/>
        </w:rPr>
        <w:t>@spcss.c</w:t>
      </w:r>
      <w:r w:rsidR="0051547E">
        <w:rPr>
          <w:lang w:val="en-US"/>
        </w:rPr>
        <w:t>z</w:t>
      </w:r>
    </w:p>
    <w:p w14:paraId="0A82E667" w14:textId="4CCE7DAC" w:rsidR="006F537A" w:rsidRDefault="006F537A" w:rsidP="006F537A">
      <w:pPr>
        <w:pStyle w:val="Nadpis3"/>
        <w:numPr>
          <w:ilvl w:val="0"/>
          <w:numId w:val="0"/>
        </w:numPr>
        <w:ind w:left="1559"/>
        <w:contextualSpacing/>
      </w:pPr>
      <w:r>
        <w:t xml:space="preserve">Telefon: </w:t>
      </w:r>
      <w:r w:rsidR="00D42263">
        <w:t xml:space="preserve">+420 </w:t>
      </w:r>
      <w:r w:rsidR="00377F45">
        <w:t xml:space="preserve">702 002 </w:t>
      </w:r>
      <w:r w:rsidR="00D42263">
        <w:t>930</w:t>
      </w:r>
    </w:p>
    <w:p w14:paraId="5ACDC6FF" w14:textId="6E508E0D" w:rsidR="006F537A" w:rsidRPr="00187985" w:rsidRDefault="006F537A" w:rsidP="006F537A">
      <w:pPr>
        <w:pStyle w:val="Nadpis3"/>
        <w:numPr>
          <w:ilvl w:val="0"/>
          <w:numId w:val="0"/>
        </w:numPr>
        <w:ind w:left="1559"/>
        <w:contextualSpacing/>
      </w:pPr>
      <w:r w:rsidRPr="00187985">
        <w:t xml:space="preserve">Jméno: </w:t>
      </w:r>
      <w:r w:rsidR="00D42263">
        <w:t>Micha</w:t>
      </w:r>
      <w:r w:rsidR="004B69CB">
        <w:t>e</w:t>
      </w:r>
      <w:r w:rsidR="00D42263">
        <w:t>l Ro</w:t>
      </w:r>
      <w:r w:rsidR="004B69CB">
        <w:t>z</w:t>
      </w:r>
      <w:r w:rsidR="00D42263">
        <w:t>bora</w:t>
      </w:r>
    </w:p>
    <w:p w14:paraId="23580CB7" w14:textId="5F143D92" w:rsidR="006F537A" w:rsidRPr="00CA6650" w:rsidRDefault="006F537A" w:rsidP="006F537A">
      <w:pPr>
        <w:pStyle w:val="Nadpis3"/>
        <w:numPr>
          <w:ilvl w:val="0"/>
          <w:numId w:val="0"/>
        </w:numPr>
        <w:ind w:left="1559"/>
        <w:contextualSpacing/>
        <w:rPr>
          <w:lang w:val="en-US"/>
        </w:rPr>
      </w:pPr>
      <w:r w:rsidRPr="00187985">
        <w:t xml:space="preserve">E-mail: </w:t>
      </w:r>
      <w:proofErr w:type="spellStart"/>
      <w:r w:rsidR="00E57904">
        <w:t>michael.rozbora</w:t>
      </w:r>
      <w:proofErr w:type="spellEnd"/>
      <w:r w:rsidR="00E57904">
        <w:rPr>
          <w:lang w:val="en-US"/>
        </w:rPr>
        <w:t>@spcss.cz</w:t>
      </w:r>
    </w:p>
    <w:p w14:paraId="03EC876D" w14:textId="58C53FF7" w:rsidR="006F537A" w:rsidRPr="00215889" w:rsidRDefault="006F537A" w:rsidP="006F537A">
      <w:pPr>
        <w:pStyle w:val="Nadpis3"/>
        <w:numPr>
          <w:ilvl w:val="0"/>
          <w:numId w:val="0"/>
        </w:numPr>
        <w:ind w:left="1559"/>
        <w:contextualSpacing/>
        <w:rPr>
          <w:highlight w:val="yellow"/>
        </w:rPr>
      </w:pPr>
      <w:r w:rsidRPr="00187985">
        <w:t xml:space="preserve">Telefon: </w:t>
      </w:r>
      <w:r w:rsidR="0001461B">
        <w:t>+</w:t>
      </w:r>
      <w:r w:rsidR="002E4F9D">
        <w:t>420</w:t>
      </w:r>
      <w:r w:rsidR="00E216FF">
        <w:t xml:space="preserve"> 702 002 </w:t>
      </w:r>
      <w:r w:rsidR="00977E53">
        <w:t>940</w:t>
      </w:r>
      <w:r w:rsidR="002E4F9D">
        <w:t xml:space="preserve"> </w:t>
      </w:r>
    </w:p>
    <w:p w14:paraId="241403E4" w14:textId="77777777" w:rsidR="006F537A" w:rsidRDefault="006F537A" w:rsidP="000D711D">
      <w:pPr>
        <w:pStyle w:val="Nadpis3"/>
        <w:keepNext/>
        <w:ind w:left="1560" w:hanging="851"/>
        <w:contextualSpacing/>
      </w:pPr>
      <w:r>
        <w:t xml:space="preserve">Oprávněnou osobou </w:t>
      </w:r>
      <w:r w:rsidRPr="00E625FC">
        <w:rPr>
          <w:rStyle w:val="TMNormlnModrChar"/>
          <w:rFonts w:ascii="Verdana" w:eastAsiaTheme="minorHAnsi" w:hAnsi="Verdana" w:cs="Arial"/>
          <w:color w:val="auto"/>
        </w:rPr>
        <w:t>Poskytovatele</w:t>
      </w:r>
      <w:r>
        <w:t xml:space="preserve"> je:</w:t>
      </w:r>
    </w:p>
    <w:p w14:paraId="2EE60A83" w14:textId="77777777" w:rsidR="006F537A" w:rsidRDefault="006F537A" w:rsidP="006F537A">
      <w:pPr>
        <w:pStyle w:val="Nadpis3"/>
        <w:numPr>
          <w:ilvl w:val="0"/>
          <w:numId w:val="0"/>
        </w:numPr>
        <w:ind w:left="1559"/>
        <w:contextualSpacing/>
      </w:pPr>
      <w:r>
        <w:t xml:space="preserve">Jméno: </w:t>
      </w:r>
      <w:r w:rsidRPr="0056749F">
        <w:rPr>
          <w:rFonts w:eastAsia="Calibri"/>
          <w:highlight w:val="yellow"/>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4A2DFE69" w14:textId="77777777" w:rsidR="006F537A" w:rsidRDefault="006F537A" w:rsidP="006F537A">
      <w:pPr>
        <w:pStyle w:val="Nadpis3"/>
        <w:numPr>
          <w:ilvl w:val="0"/>
          <w:numId w:val="0"/>
        </w:numPr>
        <w:ind w:left="1559"/>
        <w:contextualSpacing/>
      </w:pPr>
      <w:r>
        <w:t xml:space="preserve">E-mail: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185CC2C" w14:textId="77777777" w:rsidR="006F537A" w:rsidRDefault="006F537A" w:rsidP="006F537A">
      <w:pPr>
        <w:pStyle w:val="Nadpis3"/>
        <w:numPr>
          <w:ilvl w:val="0"/>
          <w:numId w:val="0"/>
        </w:numPr>
        <w:ind w:left="1559"/>
        <w:contextualSpacing/>
        <w:rPr>
          <w:rFonts w:eastAsia="Calibri"/>
        </w:rPr>
      </w:pPr>
      <w:r>
        <w:t xml:space="preserve">Telefon: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4F69F81" w14:textId="77777777" w:rsidR="006F537A" w:rsidRPr="00166E3F" w:rsidRDefault="006F537A" w:rsidP="006F537A">
      <w:pPr>
        <w:ind w:left="1560"/>
        <w:rPr>
          <w:rFonts w:eastAsia="Times New Roman"/>
          <w:szCs w:val="18"/>
        </w:rPr>
      </w:pPr>
      <w:r w:rsidRPr="00166E3F">
        <w:rPr>
          <w:szCs w:val="18"/>
          <w:highlight w:val="yellow"/>
        </w:rPr>
        <w:t>[DOPLNÍ DODAVATEL počet Oprávněných osob Poskytovatele dle potřeby, maximálně však tři osoby]</w:t>
      </w:r>
    </w:p>
    <w:p w14:paraId="64520ACD" w14:textId="358E6721" w:rsidR="006F537A" w:rsidRPr="006C6BE1" w:rsidRDefault="006F537A" w:rsidP="005446F3">
      <w:pPr>
        <w:pStyle w:val="Nadpis2"/>
        <w:keepNext/>
        <w:ind w:left="709" w:hanging="709"/>
      </w:pPr>
      <w:r>
        <w:t xml:space="preserve">Ke změně </w:t>
      </w:r>
      <w:r w:rsidR="00A722BF">
        <w:t xml:space="preserve">Smlouvy formou dodatku </w:t>
      </w:r>
      <w:r w:rsidR="00B64CDB">
        <w:t xml:space="preserve">ke Smlouvě </w:t>
      </w:r>
      <w:r>
        <w:t xml:space="preserve">nebo </w:t>
      </w:r>
      <w:r w:rsidR="00B64CDB">
        <w:t xml:space="preserve">k </w:t>
      </w:r>
      <w:r>
        <w:t>ukončení Smlouvy</w:t>
      </w:r>
      <w:r w:rsidR="00A722BF">
        <w:t xml:space="preserve"> </w:t>
      </w:r>
      <w:r>
        <w:t xml:space="preserve">a k oznámení o změně bankovních údajů je za </w:t>
      </w:r>
      <w:r w:rsidR="00B64307">
        <w:t>Objednatele</w:t>
      </w:r>
      <w:r>
        <w:t xml:space="preserve"> oprávněn 1. zástupce generálního ředitele, generální ředitel, a dále osoby pověřené generálním ředitelem. Ke změně Smlouvy </w:t>
      </w:r>
      <w:r w:rsidR="00B64CDB">
        <w:t>formou dodatku ke Smlouvě</w:t>
      </w:r>
      <w:r w:rsidR="00696A0A">
        <w:t xml:space="preserve"> </w:t>
      </w:r>
      <w:r>
        <w:t xml:space="preserve">nebo </w:t>
      </w:r>
      <w:r w:rsidR="00696A0A">
        <w:t xml:space="preserve">k </w:t>
      </w:r>
      <w:r>
        <w:t xml:space="preserve">ukončení Smlouvy a k oznámení o změně bankovních údajů je za </w:t>
      </w:r>
      <w:r w:rsidRPr="00E625FC">
        <w:rPr>
          <w:rStyle w:val="TMNormlnModrChar"/>
          <w:rFonts w:ascii="Verdana" w:eastAsiaTheme="minorHAnsi" w:hAnsi="Verdana" w:cs="Arial"/>
          <w:color w:val="auto"/>
        </w:rPr>
        <w:t>Poskytovatel</w:t>
      </w:r>
      <w:r>
        <w:t xml:space="preserve">e oprávněn </w:t>
      </w:r>
      <w:r w:rsidRPr="00E625FC">
        <w:rPr>
          <w:rStyle w:val="TMNormlnModrChar"/>
          <w:rFonts w:ascii="Verdana" w:eastAsiaTheme="minorHAnsi" w:hAnsi="Verdana" w:cs="Arial"/>
          <w:color w:val="auto"/>
        </w:rPr>
        <w:t>Poskytovatel</w:t>
      </w:r>
      <w:r>
        <w:t xml:space="preserve"> sám (je-li fyzickou osobou podnikající) nebo statutární orgán </w:t>
      </w:r>
      <w:r w:rsidRPr="00E625FC">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3A754CBD" w14:textId="77777777" w:rsidR="006F537A" w:rsidRPr="009D2C04" w:rsidRDefault="006F537A" w:rsidP="005446F3">
      <w:pPr>
        <w:pStyle w:val="Nadpis2"/>
        <w:ind w:left="709" w:hanging="709"/>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410DC893" w14:textId="199FB738" w:rsidR="006F537A" w:rsidRPr="00ED52F7" w:rsidRDefault="006F537A" w:rsidP="005446F3">
      <w:pPr>
        <w:pStyle w:val="Nadpis2"/>
        <w:ind w:left="709" w:hanging="709"/>
      </w:pPr>
      <w:r w:rsidRPr="00ED52F7">
        <w:t xml:space="preserve">Obě Smluvní strany souhlasí s tím, že podepsaná Smlouva (včetně příloh), jakož i její text, může být v elektronické formě zveřejněna na profilu </w:t>
      </w:r>
      <w:r w:rsidR="00B64307">
        <w:t>Objednatele</w:t>
      </w:r>
      <w:r w:rsidRPr="00ED52F7">
        <w:t xml:space="preserve"> ve smyslu ZZVZ, a</w:t>
      </w:r>
      <w:r>
        <w:t> </w:t>
      </w:r>
      <w:r w:rsidRPr="00ED52F7">
        <w:t xml:space="preserve">dále v souladu s povinnostmi vyplývajícími z právních předpisů, a to bez časového omezení. </w:t>
      </w:r>
      <w:r w:rsidR="00B64307">
        <w:t>Objednatel</w:t>
      </w:r>
      <w:r w:rsidRPr="00ED52F7">
        <w:t xml:space="preserve"> se zavazuje, že Smlouvu v souladu se Zákonem o registru smluv uveřejní v registru smluv. Smluvní strany prohlašují, že tato Smlouva (vč. příloh) neobsahuje obchodní tajemství.</w:t>
      </w:r>
    </w:p>
    <w:p w14:paraId="48D4880B" w14:textId="1796BFE8" w:rsidR="006F537A" w:rsidRDefault="006F537A" w:rsidP="005446F3">
      <w:pPr>
        <w:pStyle w:val="Nadpis2"/>
        <w:ind w:left="709" w:hanging="709"/>
      </w:pPr>
      <w:r>
        <w:t>Tato Smlouva se řídí Občanským zákoníkem a dalšími příslušnými právními předpisy České republiky.</w:t>
      </w:r>
    </w:p>
    <w:p w14:paraId="1C73E344" w14:textId="77777777" w:rsidR="006F537A" w:rsidRDefault="006F537A" w:rsidP="000D711D">
      <w:pPr>
        <w:pStyle w:val="Nadpis2"/>
        <w:ind w:left="709" w:hanging="709"/>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4E2764E" w14:textId="77777777" w:rsidR="006F537A" w:rsidRDefault="006F537A" w:rsidP="005446F3">
      <w:pPr>
        <w:pStyle w:val="Nadpis2"/>
        <w:ind w:left="709" w:hanging="709"/>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09EB19D7" w14:textId="1F44AC86" w:rsidR="001004CE" w:rsidRPr="009D3E85" w:rsidRDefault="001004CE" w:rsidP="005446F3">
      <w:pPr>
        <w:pStyle w:val="Nadpis2"/>
        <w:ind w:left="709" w:hanging="709"/>
      </w:pPr>
      <w:r w:rsidRPr="009D3E85">
        <w:rPr>
          <w:rStyle w:val="TMNormlnModrChar"/>
          <w:rFonts w:ascii="Verdana" w:eastAsiaTheme="minorHAnsi" w:hAnsi="Verdana" w:cs="Arial"/>
          <w:color w:val="000000" w:themeColor="text1"/>
        </w:rPr>
        <w:t>Poskytovatel</w:t>
      </w:r>
      <w:r w:rsidRPr="009D3E85">
        <w:t xml:space="preserve"> není oprávněn bez předchozího písemného souhlasu </w:t>
      </w:r>
      <w:r w:rsidR="00B64307">
        <w:t>Objednatele</w:t>
      </w:r>
      <w:r w:rsidRPr="009D3E85">
        <w:t xml:space="preserve"> postoupit Smlouvu, jednotlivý závazek ze Smlouvy ani pohledávky vzniklé v souvislosti s touto Smlouvou na třetí osoby, ani učinit jakékoliv právní jednání, v jehož důsledku by došlo k převodu práv či</w:t>
      </w:r>
      <w:r w:rsidR="009D3E85" w:rsidRPr="009D3E85">
        <w:t> </w:t>
      </w:r>
      <w:r w:rsidRPr="009D3E85">
        <w:t>povinností vyplývajících z této Smlouvy na třetí osobu</w:t>
      </w:r>
      <w:r w:rsidRPr="009D3E85">
        <w:rPr>
          <w:rFonts w:cs="Arial"/>
        </w:rPr>
        <w:t>.</w:t>
      </w:r>
    </w:p>
    <w:p w14:paraId="45C2D669" w14:textId="77777777" w:rsidR="006F537A" w:rsidRDefault="006F537A" w:rsidP="005446F3">
      <w:pPr>
        <w:pStyle w:val="Nadpis2"/>
        <w:ind w:left="709" w:hanging="709"/>
      </w:pPr>
      <w:r>
        <w:t>Změny nebo doplňky této Smlouvy včetně příloh musejí být vyhotoveny písemně formou dodatku, datovány a podepsány oběma Smluvními stranami, ledaže Smlouva v konkrétním případě stanoví jinak.</w:t>
      </w:r>
    </w:p>
    <w:p w14:paraId="5EA85CE6" w14:textId="77777777" w:rsidR="006F537A" w:rsidRDefault="006F537A" w:rsidP="005446F3">
      <w:pPr>
        <w:pStyle w:val="Nadpis2"/>
        <w:ind w:left="709" w:hanging="709"/>
      </w:pPr>
      <w:r>
        <w:t>Smluvní strany se se dohodly, že veškeré spory vyplývající z této Smlouvy nebo spory o existenci této Smlouvy (včetně otázky vzniku a platnosti Smlouvy) budou řešit především dohodou. Nedojde</w:t>
      </w:r>
      <w:r>
        <w:noBreakHyphen/>
        <w:t>li k dohodě ani do 60 dnů ode dne zahájení jednání o dohodě, bude předmětný spor rozhodován s konečnou platností před věcně a místně příslušným soudem České republiky, přičemž rozhodným právem je právo české.</w:t>
      </w:r>
    </w:p>
    <w:p w14:paraId="7C00CCD3" w14:textId="77777777" w:rsidR="006F537A" w:rsidRPr="00951C8D" w:rsidRDefault="006F537A" w:rsidP="005446F3">
      <w:pPr>
        <w:pStyle w:val="Nadpis2"/>
        <w:ind w:left="709" w:hanging="709"/>
      </w:pPr>
      <w:r>
        <w:lastRenderedPageBreak/>
        <w:t>Smluvní strany se dohodly, že vylučují aplikaci § 557 a § 558 odst. 2 Občanského zákoníku.</w:t>
      </w:r>
    </w:p>
    <w:p w14:paraId="45BEC2B9" w14:textId="77777777" w:rsidR="006F537A" w:rsidRPr="003B0B1D" w:rsidRDefault="006F537A" w:rsidP="005446F3">
      <w:pPr>
        <w:pStyle w:val="Nadpis2"/>
        <w:ind w:left="709" w:hanging="709"/>
      </w:pPr>
      <w:r w:rsidRPr="00E625F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Opatření,</w:t>
      </w:r>
      <w:r w:rsidRPr="003B0B1D">
        <w:t xml:space="preserve"> a že žádné z ustanovení tam uvedených nepovažuje za takové, které by nemohl rozumně předpokládat. </w:t>
      </w:r>
    </w:p>
    <w:p w14:paraId="424107A7" w14:textId="77777777" w:rsidR="006F537A" w:rsidRPr="00B02716" w:rsidRDefault="006F537A" w:rsidP="004375AD">
      <w:pPr>
        <w:pStyle w:val="Nadpis2"/>
        <w:keepNext/>
        <w:ind w:left="709" w:hanging="709"/>
      </w:pPr>
      <w:r w:rsidRPr="00B02716">
        <w:t>Smlouva je vyhotovena v elektronické podobě v 1 vyhotovení v českém jazyce s</w:t>
      </w:r>
      <w:r>
        <w:t> </w:t>
      </w:r>
      <w:r w:rsidRPr="00B02716">
        <w:t>elektronickými podpisy obou Smluvních stran v souladu se zákonem č. 297/2016 Sb., o</w:t>
      </w:r>
      <w:r>
        <w:t> </w:t>
      </w:r>
      <w:r w:rsidRPr="00B02716">
        <w:t xml:space="preserve">službách vytvářejících důvěru pro elektronické transakce, ve znění pozdějších předpisů. </w:t>
      </w:r>
    </w:p>
    <w:p w14:paraId="53CF6057" w14:textId="14E3D3A9" w:rsidR="006F537A" w:rsidRDefault="006F537A" w:rsidP="004375AD">
      <w:pPr>
        <w:pStyle w:val="Nadpis2"/>
        <w:ind w:left="709" w:hanging="709"/>
      </w:pPr>
      <w:r w:rsidRPr="00CF53C9">
        <w:t xml:space="preserve">Tato Smlouva </w:t>
      </w:r>
      <w:r w:rsidRPr="0042075B">
        <w:t>nabývá platnosti dnem podpisu oběma Smluvními stranami a účinnosti dnem uvedeným v čl. X</w:t>
      </w:r>
      <w:r w:rsidR="0042075B" w:rsidRPr="0042075B">
        <w:t>V</w:t>
      </w:r>
      <w:r w:rsidRPr="0042075B">
        <w:t xml:space="preserve"> odst. 1</w:t>
      </w:r>
      <w:r w:rsidR="0042075B" w:rsidRPr="0042075B">
        <w:t>5</w:t>
      </w:r>
      <w:r w:rsidRPr="0042075B">
        <w:t>.1 Smlouvy</w:t>
      </w:r>
      <w:r w:rsidRPr="00CF53C9">
        <w:t>.</w:t>
      </w:r>
      <w:r w:rsidR="003D1F11">
        <w:t xml:space="preserve"> </w:t>
      </w:r>
      <w:r w:rsidR="00B64307">
        <w:t>Objednatel</w:t>
      </w:r>
      <w:r w:rsidR="003D1F11">
        <w:t xml:space="preserve"> se zavazuje, že Smlouvu zveřejní v registru smluv.</w:t>
      </w:r>
    </w:p>
    <w:p w14:paraId="55AFDF2B" w14:textId="77777777" w:rsidR="006F537A" w:rsidRPr="00CC4728" w:rsidRDefault="006F537A" w:rsidP="004375AD">
      <w:pPr>
        <w:pStyle w:val="Nadpis2"/>
        <w:ind w:left="709" w:hanging="709"/>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7114E3C" w14:textId="77777777" w:rsidR="006F537A" w:rsidRPr="00CC4728" w:rsidRDefault="006F537A" w:rsidP="004375AD">
      <w:pPr>
        <w:pStyle w:val="Nadpis2"/>
        <w:ind w:left="709" w:hanging="709"/>
      </w:pPr>
      <w:r w:rsidRPr="00CC4728">
        <w:t xml:space="preserve">Každá ze </w:t>
      </w:r>
      <w:r>
        <w:t>S</w:t>
      </w:r>
      <w:r w:rsidRPr="00CC4728">
        <w:t>mluvních stran prohlašuje:</w:t>
      </w:r>
    </w:p>
    <w:p w14:paraId="4DF336ED" w14:textId="77777777" w:rsidR="006F537A" w:rsidRPr="00CC4728" w:rsidRDefault="006F537A" w:rsidP="00C81C53">
      <w:pPr>
        <w:pStyle w:val="Nadpis3"/>
        <w:ind w:left="1701" w:hanging="992"/>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68F07DB" w14:textId="77777777" w:rsidR="006F537A" w:rsidRPr="00CC4728" w:rsidRDefault="006F537A" w:rsidP="00C81C53">
      <w:pPr>
        <w:pStyle w:val="Nadpis3"/>
        <w:ind w:left="1701" w:hanging="992"/>
      </w:pPr>
      <w:r w:rsidRPr="00CC4728">
        <w:t>že zavedla potřebná opatření, aby nedošlo ke spáchání trestného činu v jakékoli formě, který by jí mohl být přičten podle ZTOPO</w:t>
      </w:r>
      <w:r>
        <w:t>;</w:t>
      </w:r>
    </w:p>
    <w:p w14:paraId="382D034C" w14:textId="77777777" w:rsidR="006F537A" w:rsidRPr="00CC4728" w:rsidRDefault="006F537A" w:rsidP="00C81C53">
      <w:pPr>
        <w:pStyle w:val="Nadpis3"/>
        <w:ind w:left="1701" w:hanging="992"/>
      </w:pPr>
      <w:r w:rsidRPr="00CC4728">
        <w:t>že zavedla náležitá kontrolní a jiná obdobná opatření nad činností svých zaměstnanců, aby nevznikla trestní odpovědnost fyzických osob podle zákona č. 40/2009 Sb., trestní zákoník</w:t>
      </w:r>
      <w:r>
        <w:t>;</w:t>
      </w:r>
    </w:p>
    <w:p w14:paraId="31E450EE" w14:textId="77777777" w:rsidR="006F537A" w:rsidRPr="00CC4728" w:rsidRDefault="006F537A" w:rsidP="00C81C53">
      <w:pPr>
        <w:pStyle w:val="Nadpis3"/>
        <w:ind w:left="1701" w:hanging="992"/>
      </w:pPr>
      <w:r w:rsidRPr="00CC4728">
        <w:t>že učinila nezbytná opatření k zamezení nebo odvrácení případných následků spáchaného trestného činu</w:t>
      </w:r>
      <w:r>
        <w:t>;</w:t>
      </w:r>
    </w:p>
    <w:p w14:paraId="1F017788" w14:textId="77777777" w:rsidR="006F537A" w:rsidRPr="00CC4728" w:rsidRDefault="006F537A" w:rsidP="00C81C53">
      <w:pPr>
        <w:pStyle w:val="Nadpis3"/>
        <w:ind w:left="1701" w:hanging="992"/>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1653514F" w14:textId="77777777" w:rsidR="006F537A" w:rsidRPr="00CC4728" w:rsidRDefault="006F537A" w:rsidP="004375AD">
      <w:pPr>
        <w:pStyle w:val="Nadpis2"/>
        <w:ind w:left="709" w:hanging="709"/>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5630052" w14:textId="250B445B" w:rsidR="006F537A" w:rsidRPr="00CC4728" w:rsidRDefault="006F537A" w:rsidP="004375AD">
      <w:pPr>
        <w:pStyle w:val="Nadpis2"/>
        <w:ind w:left="709" w:hanging="709"/>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w:t>
      </w:r>
      <w:r w:rsidRPr="00815272">
        <w:t>odst. 1</w:t>
      </w:r>
      <w:r w:rsidR="0042075B" w:rsidRPr="00815272">
        <w:t>6</w:t>
      </w:r>
      <w:r w:rsidRPr="00815272">
        <w:t>.17 až 1</w:t>
      </w:r>
      <w:r w:rsidR="0042075B" w:rsidRPr="00815272">
        <w:t>6</w:t>
      </w:r>
      <w:r w:rsidRPr="00815272">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20FFB3F" w14:textId="2D9AAAE6" w:rsidR="006F537A" w:rsidRDefault="006F537A" w:rsidP="004375AD">
      <w:pPr>
        <w:pStyle w:val="Nadpis2"/>
        <w:ind w:left="709" w:hanging="709"/>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rsidR="0072478D">
        <w:t>.</w:t>
      </w:r>
    </w:p>
    <w:p w14:paraId="1D6A0115" w14:textId="1D39580E" w:rsidR="0072478D" w:rsidRPr="008D1631" w:rsidRDefault="0072478D" w:rsidP="00D977DD">
      <w:pPr>
        <w:pStyle w:val="Nadpis2"/>
        <w:numPr>
          <w:ilvl w:val="1"/>
          <w:numId w:val="3"/>
        </w:numPr>
        <w:ind w:left="709" w:hanging="709"/>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0A264EDF" w14:textId="77777777" w:rsidR="006F537A" w:rsidRPr="00B9593A" w:rsidRDefault="006F537A" w:rsidP="004375AD">
      <w:pPr>
        <w:pStyle w:val="Nadpis2"/>
        <w:ind w:left="709" w:hanging="709"/>
      </w:pPr>
      <w:r w:rsidRPr="00CF53C9">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03BFB53E" w14:textId="77777777" w:rsidR="00924280" w:rsidRDefault="00924280" w:rsidP="004375AD">
      <w:pPr>
        <w:pStyle w:val="Nadpis2"/>
        <w:keepNext/>
        <w:widowControl/>
        <w:spacing w:after="0"/>
        <w:ind w:left="709" w:hanging="709"/>
      </w:pPr>
      <w:r w:rsidRPr="003B0B1D">
        <w:lastRenderedPageBreak/>
        <w:t>Nedílnou součást Smlouvy tvoří tyto přílohy:</w:t>
      </w:r>
    </w:p>
    <w:p w14:paraId="6C98CD3C" w14:textId="35B602ED" w:rsidR="00924280" w:rsidRDefault="00924280" w:rsidP="004375AD">
      <w:pPr>
        <w:pStyle w:val="Nadpis2"/>
        <w:keepNext/>
        <w:widowControl/>
        <w:numPr>
          <w:ilvl w:val="0"/>
          <w:numId w:val="0"/>
        </w:numPr>
        <w:spacing w:before="0" w:after="0"/>
        <w:ind w:left="709"/>
        <w:contextualSpacing/>
      </w:pPr>
      <w:r>
        <w:t xml:space="preserve">Příloha č. 1 – </w:t>
      </w:r>
      <w:r w:rsidR="00424182">
        <w:t>Specifikace HW</w:t>
      </w:r>
    </w:p>
    <w:p w14:paraId="6BF40AFD" w14:textId="099CC9E8" w:rsidR="003D73E3" w:rsidRDefault="00924280" w:rsidP="004375AD">
      <w:pPr>
        <w:pStyle w:val="Nadpis2"/>
        <w:keepNext/>
        <w:widowControl/>
        <w:numPr>
          <w:ilvl w:val="0"/>
          <w:numId w:val="0"/>
        </w:numPr>
        <w:spacing w:before="0" w:after="0"/>
        <w:ind w:left="680" w:firstLine="29"/>
        <w:contextualSpacing/>
      </w:pPr>
      <w:r>
        <w:t xml:space="preserve">Příloha č. 2 – </w:t>
      </w:r>
      <w:r w:rsidR="0042075B">
        <w:t xml:space="preserve">Specifikace </w:t>
      </w:r>
      <w:r w:rsidR="00CD67D0">
        <w:t>Instalace a konfigurace</w:t>
      </w:r>
      <w:r w:rsidR="0042075B">
        <w:t>, Migrace</w:t>
      </w:r>
    </w:p>
    <w:p w14:paraId="175B4940" w14:textId="772264AB" w:rsidR="006B0835" w:rsidRDefault="003D73E3" w:rsidP="004375AD">
      <w:pPr>
        <w:pStyle w:val="Nadpis2"/>
        <w:keepNext/>
        <w:widowControl/>
        <w:numPr>
          <w:ilvl w:val="0"/>
          <w:numId w:val="0"/>
        </w:numPr>
        <w:spacing w:before="0" w:after="0"/>
        <w:ind w:left="680" w:firstLine="29"/>
        <w:contextualSpacing/>
      </w:pPr>
      <w:r>
        <w:t xml:space="preserve">Příloha č. </w:t>
      </w:r>
      <w:r w:rsidR="008140BD">
        <w:t>3</w:t>
      </w:r>
      <w:r>
        <w:t xml:space="preserve"> </w:t>
      </w:r>
      <w:r w:rsidR="006B0835">
        <w:t>–</w:t>
      </w:r>
      <w:r>
        <w:t xml:space="preserve"> </w:t>
      </w:r>
      <w:r w:rsidR="006B0835">
        <w:rPr>
          <w:szCs w:val="18"/>
        </w:rPr>
        <w:t>Vzor Akceptačního protokolu</w:t>
      </w:r>
    </w:p>
    <w:p w14:paraId="6866B0BD" w14:textId="7D7CDC31" w:rsidR="006B0835" w:rsidRDefault="00C270BF" w:rsidP="004375AD">
      <w:pPr>
        <w:pStyle w:val="Nadpis2"/>
        <w:keepNext/>
        <w:widowControl/>
        <w:numPr>
          <w:ilvl w:val="0"/>
          <w:numId w:val="0"/>
        </w:numPr>
        <w:spacing w:before="0" w:after="0"/>
        <w:ind w:left="680" w:firstLine="29"/>
        <w:contextualSpacing/>
      </w:pPr>
      <w:r>
        <w:rPr>
          <w:szCs w:val="18"/>
        </w:rPr>
        <w:t xml:space="preserve">Příloha č. </w:t>
      </w:r>
      <w:r w:rsidR="008140BD">
        <w:rPr>
          <w:szCs w:val="18"/>
        </w:rPr>
        <w:t>4</w:t>
      </w:r>
      <w:r>
        <w:rPr>
          <w:szCs w:val="18"/>
        </w:rPr>
        <w:t xml:space="preserve"> – </w:t>
      </w:r>
      <w:r w:rsidR="006B0835">
        <w:t xml:space="preserve">Informace o poddodavatelích </w:t>
      </w:r>
    </w:p>
    <w:p w14:paraId="41B57363" w14:textId="3A184F8B" w:rsidR="006B0835" w:rsidRDefault="006B0835" w:rsidP="004375AD">
      <w:pPr>
        <w:spacing w:after="0"/>
        <w:ind w:left="680" w:firstLine="29"/>
        <w:contextualSpacing/>
        <w:rPr>
          <w:szCs w:val="18"/>
        </w:rPr>
      </w:pPr>
      <w:r>
        <w:rPr>
          <w:szCs w:val="18"/>
        </w:rPr>
        <w:t xml:space="preserve">Příloha č. </w:t>
      </w:r>
      <w:r w:rsidR="008140BD">
        <w:rPr>
          <w:szCs w:val="18"/>
        </w:rPr>
        <w:t>5</w:t>
      </w:r>
      <w:r>
        <w:rPr>
          <w:szCs w:val="18"/>
        </w:rPr>
        <w:t xml:space="preserve"> – Cena Plnění</w:t>
      </w:r>
    </w:p>
    <w:p w14:paraId="7CF8E134" w14:textId="540C5695" w:rsidR="00C270BF" w:rsidRPr="00100720" w:rsidRDefault="00686057" w:rsidP="004375AD">
      <w:pPr>
        <w:spacing w:after="0"/>
        <w:ind w:left="680" w:firstLine="29"/>
        <w:contextualSpacing/>
        <w:rPr>
          <w:rFonts w:cs="Arial"/>
          <w:color w:val="000000"/>
        </w:rPr>
      </w:pPr>
      <w:r>
        <w:rPr>
          <w:szCs w:val="18"/>
        </w:rPr>
        <w:t xml:space="preserve">Příloha č. </w:t>
      </w:r>
      <w:r w:rsidR="003D73E3">
        <w:rPr>
          <w:szCs w:val="18"/>
        </w:rPr>
        <w:t>6</w:t>
      </w:r>
      <w:r>
        <w:rPr>
          <w:szCs w:val="18"/>
        </w:rPr>
        <w:t xml:space="preserve"> </w:t>
      </w:r>
      <w:r w:rsidR="004375AD">
        <w:rPr>
          <w:szCs w:val="18"/>
        </w:rPr>
        <w:t>–</w:t>
      </w:r>
      <w:r>
        <w:rPr>
          <w:szCs w:val="18"/>
        </w:rPr>
        <w:t xml:space="preserve"> K</w:t>
      </w:r>
      <w:r w:rsidR="00C270BF">
        <w:rPr>
          <w:szCs w:val="18"/>
        </w:rPr>
        <w:t>ybernetické požada</w:t>
      </w:r>
      <w:r>
        <w:rPr>
          <w:szCs w:val="18"/>
        </w:rPr>
        <w:t>vky</w:t>
      </w:r>
    </w:p>
    <w:p w14:paraId="094115D0" w14:textId="77777777" w:rsidR="00924280" w:rsidRDefault="00924280" w:rsidP="00924280">
      <w:pPr>
        <w:ind w:left="1701"/>
      </w:pPr>
    </w:p>
    <w:p w14:paraId="45D1B853" w14:textId="007C1868" w:rsidR="006F537A" w:rsidRPr="002812D3" w:rsidRDefault="006F537A" w:rsidP="006F537A">
      <w:pPr>
        <w:pStyle w:val="Nadpis2"/>
        <w:keepNext/>
        <w:numPr>
          <w:ilvl w:val="0"/>
          <w:numId w:val="0"/>
        </w:numPr>
        <w:ind w:left="680"/>
      </w:pPr>
      <w:r>
        <w:t xml:space="preserve"> </w:t>
      </w:r>
    </w:p>
    <w:tbl>
      <w:tblPr>
        <w:tblW w:w="5215" w:type="pct"/>
        <w:jc w:val="center"/>
        <w:tblLook w:val="01E0" w:firstRow="1" w:lastRow="1" w:firstColumn="1" w:lastColumn="1" w:noHBand="0" w:noVBand="0"/>
      </w:tblPr>
      <w:tblGrid>
        <w:gridCol w:w="5081"/>
        <w:gridCol w:w="331"/>
        <w:gridCol w:w="4787"/>
      </w:tblGrid>
      <w:tr w:rsidR="009F3D87" w:rsidRPr="002A7ADF" w14:paraId="060C06DB" w14:textId="77777777" w:rsidTr="009F3D87">
        <w:trPr>
          <w:trHeight w:val="860"/>
          <w:jc w:val="center"/>
        </w:trPr>
        <w:tc>
          <w:tcPr>
            <w:tcW w:w="4714" w:type="dxa"/>
          </w:tcPr>
          <w:p w14:paraId="464744E2" w14:textId="77777777" w:rsidR="009F3D87" w:rsidRPr="002A7ADF" w:rsidRDefault="009F3D87" w:rsidP="00772F42">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Objednatele:</w:t>
            </w:r>
          </w:p>
        </w:tc>
        <w:tc>
          <w:tcPr>
            <w:tcW w:w="307" w:type="dxa"/>
          </w:tcPr>
          <w:p w14:paraId="372A7921" w14:textId="77777777" w:rsidR="009F3D87" w:rsidRPr="002A7ADF" w:rsidRDefault="009F3D87" w:rsidP="00772F42">
            <w:pPr>
              <w:keepNext/>
              <w:keepLines/>
              <w:widowControl w:val="0"/>
              <w:suppressAutoHyphens/>
              <w:spacing w:before="600" w:after="0" w:line="240" w:lineRule="auto"/>
              <w:jc w:val="both"/>
              <w:rPr>
                <w:rFonts w:eastAsia="Lucida Sans Unicode" w:cs="Arial"/>
                <w:kern w:val="2"/>
                <w:szCs w:val="18"/>
                <w:lang w:eastAsia="cs-CZ"/>
              </w:rPr>
            </w:pPr>
          </w:p>
        </w:tc>
        <w:tc>
          <w:tcPr>
            <w:tcW w:w="4441" w:type="dxa"/>
          </w:tcPr>
          <w:p w14:paraId="7375B775" w14:textId="77777777" w:rsidR="009F3D87" w:rsidRPr="002A7ADF" w:rsidRDefault="009F3D87" w:rsidP="00772F42">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Poskytovatele:</w:t>
            </w:r>
          </w:p>
        </w:tc>
      </w:tr>
      <w:tr w:rsidR="009F3D87" w:rsidRPr="002A7ADF" w14:paraId="4870CE2B" w14:textId="77777777" w:rsidTr="009F3D87">
        <w:trPr>
          <w:trHeight w:val="460"/>
          <w:jc w:val="center"/>
        </w:trPr>
        <w:tc>
          <w:tcPr>
            <w:tcW w:w="4714" w:type="dxa"/>
          </w:tcPr>
          <w:p w14:paraId="166FC312"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V Praze dne dle el. podpisu</w:t>
            </w:r>
          </w:p>
        </w:tc>
        <w:tc>
          <w:tcPr>
            <w:tcW w:w="307" w:type="dxa"/>
          </w:tcPr>
          <w:p w14:paraId="589B5644"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p>
        </w:tc>
        <w:tc>
          <w:tcPr>
            <w:tcW w:w="4441" w:type="dxa"/>
          </w:tcPr>
          <w:p w14:paraId="5A49488A"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 xml:space="preserve">V </w:t>
            </w:r>
            <w:r w:rsidRPr="002A7ADF">
              <w:rPr>
                <w:rFonts w:eastAsia="Lucida Sans Unicode" w:cs="Arial"/>
                <w:kern w:val="2"/>
                <w:szCs w:val="18"/>
                <w:highlight w:val="yellow"/>
                <w:lang w:eastAsia="cs-CZ"/>
              </w:rPr>
              <w:t>[DOPLNÍ DODAVATEL]</w:t>
            </w:r>
            <w:r w:rsidRPr="002A7ADF">
              <w:rPr>
                <w:rFonts w:eastAsia="Lucida Sans Unicode" w:cs="Arial"/>
                <w:kern w:val="2"/>
                <w:szCs w:val="18"/>
                <w:lang w:eastAsia="cs-CZ"/>
              </w:rPr>
              <w:t xml:space="preserve"> dne dle elektronického podpisu</w:t>
            </w:r>
          </w:p>
        </w:tc>
      </w:tr>
      <w:tr w:rsidR="009F3D87" w:rsidRPr="002A7ADF" w14:paraId="5DF431B0" w14:textId="77777777" w:rsidTr="009F3D87">
        <w:trPr>
          <w:trHeight w:hRule="exact" w:val="1013"/>
          <w:jc w:val="center"/>
        </w:trPr>
        <w:tc>
          <w:tcPr>
            <w:tcW w:w="4714" w:type="dxa"/>
            <w:tcBorders>
              <w:bottom w:val="single" w:sz="4" w:space="0" w:color="auto"/>
            </w:tcBorders>
          </w:tcPr>
          <w:p w14:paraId="2AA22103"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c>
          <w:tcPr>
            <w:tcW w:w="307" w:type="dxa"/>
          </w:tcPr>
          <w:p w14:paraId="28D93E51"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c>
          <w:tcPr>
            <w:tcW w:w="4441" w:type="dxa"/>
            <w:tcBorders>
              <w:bottom w:val="single" w:sz="4" w:space="0" w:color="auto"/>
            </w:tcBorders>
          </w:tcPr>
          <w:p w14:paraId="3138752E"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p>
        </w:tc>
      </w:tr>
      <w:tr w:rsidR="009F3D87" w:rsidRPr="002A7ADF" w14:paraId="74155092" w14:textId="77777777" w:rsidTr="009F3D87">
        <w:trPr>
          <w:trHeight w:val="1150"/>
          <w:jc w:val="center"/>
        </w:trPr>
        <w:tc>
          <w:tcPr>
            <w:tcW w:w="4714" w:type="dxa"/>
            <w:tcBorders>
              <w:top w:val="single" w:sz="4" w:space="0" w:color="auto"/>
            </w:tcBorders>
          </w:tcPr>
          <w:p w14:paraId="7C230DD1" w14:textId="77777777" w:rsidR="009F3D87" w:rsidRPr="002A7ADF" w:rsidRDefault="009F3D87" w:rsidP="00772F42">
            <w:pPr>
              <w:widowControl w:val="0"/>
              <w:suppressAutoHyphens/>
              <w:spacing w:after="0" w:line="240" w:lineRule="auto"/>
              <w:jc w:val="center"/>
              <w:rPr>
                <w:rFonts w:eastAsia="Lucida Sans Unicode" w:cs="Calibri"/>
                <w:bCs/>
                <w:kern w:val="2"/>
                <w:szCs w:val="18"/>
                <w:lang w:eastAsia="cs-CZ"/>
              </w:rPr>
            </w:pPr>
            <w:r w:rsidRPr="002A7ADF">
              <w:rPr>
                <w:rFonts w:eastAsia="Lucida Sans Unicode" w:cs="Calibri"/>
                <w:bCs/>
                <w:kern w:val="2"/>
                <w:szCs w:val="18"/>
                <w:lang w:eastAsia="cs-CZ"/>
              </w:rPr>
              <w:t>Mgr. Jakub Richter</w:t>
            </w:r>
          </w:p>
          <w:p w14:paraId="67D605CE" w14:textId="77777777" w:rsidR="009F3D87" w:rsidRPr="002A7ADF" w:rsidRDefault="009F3D87" w:rsidP="00772F42">
            <w:pPr>
              <w:keepNext/>
              <w:keepLines/>
              <w:widowControl w:val="0"/>
              <w:suppressAutoHyphens/>
              <w:spacing w:after="0" w:line="240" w:lineRule="auto"/>
              <w:jc w:val="center"/>
              <w:rPr>
                <w:rFonts w:eastAsia="Lucida Sans Unicode" w:cs="Calibri"/>
                <w:kern w:val="2"/>
                <w:szCs w:val="18"/>
                <w:lang w:eastAsia="cs-CZ"/>
              </w:rPr>
            </w:pPr>
            <w:r w:rsidRPr="002A7ADF">
              <w:rPr>
                <w:rFonts w:eastAsia="Lucida Sans Unicode" w:cs="Calibri"/>
                <w:kern w:val="2"/>
                <w:szCs w:val="18"/>
                <w:lang w:eastAsia="cs-CZ"/>
              </w:rPr>
              <w:t>1. zástupce generálního ředitele</w:t>
            </w:r>
          </w:p>
          <w:p w14:paraId="18A9ABD8"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lang w:eastAsia="cs-CZ"/>
              </w:rPr>
              <w:t>Státní pokladna Centrum sdílených služeb, s. p.</w:t>
            </w:r>
          </w:p>
        </w:tc>
        <w:tc>
          <w:tcPr>
            <w:tcW w:w="307" w:type="dxa"/>
          </w:tcPr>
          <w:p w14:paraId="4032488C"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c>
          <w:tcPr>
            <w:tcW w:w="4441" w:type="dxa"/>
            <w:tcBorders>
              <w:top w:val="single" w:sz="4" w:space="0" w:color="auto"/>
            </w:tcBorders>
          </w:tcPr>
          <w:p w14:paraId="6415FCD9" w14:textId="77777777" w:rsidR="009F3D87" w:rsidRPr="002A7ADF" w:rsidRDefault="009F3D87" w:rsidP="00772F42">
            <w:pPr>
              <w:keepNext/>
              <w:keepLines/>
              <w:widowControl w:val="0"/>
              <w:suppressAutoHyphens/>
              <w:spacing w:after="0" w:line="240" w:lineRule="auto"/>
              <w:jc w:val="center"/>
              <w:rPr>
                <w:rFonts w:eastAsia="Calibri" w:cs="Arial"/>
                <w:bCs/>
                <w:kern w:val="2"/>
                <w:szCs w:val="18"/>
                <w:highlight w:val="yellow"/>
                <w:lang w:eastAsia="ko-KR"/>
              </w:rPr>
            </w:pPr>
            <w:proofErr w:type="spellStart"/>
            <w:r w:rsidRPr="002A7ADF">
              <w:rPr>
                <w:rFonts w:eastAsia="Calibri" w:cs="Arial"/>
                <w:bCs/>
                <w:kern w:val="2"/>
                <w:szCs w:val="18"/>
                <w:highlight w:val="yellow"/>
                <w:lang w:eastAsia="ko-KR"/>
              </w:rPr>
              <w:t>titl</w:t>
            </w:r>
            <w:proofErr w:type="spellEnd"/>
            <w:r w:rsidRPr="002A7ADF">
              <w:rPr>
                <w:rFonts w:eastAsia="Calibri" w:cs="Arial"/>
                <w:bCs/>
                <w:kern w:val="2"/>
                <w:szCs w:val="18"/>
                <w:highlight w:val="yellow"/>
                <w:lang w:eastAsia="ko-KR"/>
              </w:rPr>
              <w:t xml:space="preserve">., jméno, příjmení – DOPLNÍ </w:t>
            </w:r>
            <w:r w:rsidRPr="002A7ADF">
              <w:rPr>
                <w:rFonts w:eastAsia="Calibri" w:cs="Times New Roman"/>
                <w:bCs/>
                <w:szCs w:val="18"/>
                <w:highlight w:val="yellow"/>
              </w:rPr>
              <w:t>DODAVATEL</w:t>
            </w:r>
            <w:r w:rsidRPr="002A7ADF">
              <w:rPr>
                <w:rFonts w:eastAsia="Calibri" w:cs="Arial"/>
                <w:bCs/>
                <w:kern w:val="2"/>
                <w:szCs w:val="18"/>
                <w:highlight w:val="yellow"/>
                <w:lang w:eastAsia="ko-KR"/>
              </w:rPr>
              <w:t>]</w:t>
            </w:r>
          </w:p>
          <w:p w14:paraId="3A91F071" w14:textId="77777777" w:rsidR="009F3D87" w:rsidRPr="002A7ADF" w:rsidRDefault="009F3D87" w:rsidP="00772F42">
            <w:pPr>
              <w:keepNext/>
              <w:keepLines/>
              <w:widowControl w:val="0"/>
              <w:suppressAutoHyphens/>
              <w:spacing w:after="0" w:line="240" w:lineRule="auto"/>
              <w:jc w:val="center"/>
              <w:rPr>
                <w:rFonts w:eastAsia="Calibri" w:cs="Arial"/>
                <w:kern w:val="2"/>
                <w:szCs w:val="18"/>
                <w:highlight w:val="yellow"/>
                <w:lang w:eastAsia="ko-KR"/>
              </w:rPr>
            </w:pPr>
            <w:r w:rsidRPr="002A7ADF">
              <w:rPr>
                <w:rFonts w:eastAsia="Calibri" w:cs="Arial"/>
                <w:kern w:val="2"/>
                <w:szCs w:val="18"/>
                <w:highlight w:val="yellow"/>
                <w:lang w:eastAsia="ko-KR"/>
              </w:rPr>
              <w:t xml:space="preserve">[funkce – DOPLNÍ </w:t>
            </w:r>
            <w:r w:rsidRPr="002A7ADF">
              <w:rPr>
                <w:rFonts w:eastAsia="Calibri" w:cs="Times New Roman"/>
                <w:szCs w:val="18"/>
                <w:highlight w:val="yellow"/>
              </w:rPr>
              <w:t>DODAVATEL</w:t>
            </w:r>
            <w:r w:rsidRPr="002A7ADF">
              <w:rPr>
                <w:rFonts w:eastAsia="Calibri" w:cs="Arial"/>
                <w:kern w:val="2"/>
                <w:szCs w:val="18"/>
                <w:highlight w:val="yellow"/>
                <w:lang w:eastAsia="ko-KR"/>
              </w:rPr>
              <w:t>]</w:t>
            </w:r>
          </w:p>
          <w:p w14:paraId="0BC1F034" w14:textId="77777777" w:rsidR="009F3D87" w:rsidRPr="002A7ADF" w:rsidRDefault="009F3D87" w:rsidP="00772F42">
            <w:pPr>
              <w:keepNext/>
              <w:keepLines/>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highlight w:val="yellow"/>
                <w:lang w:eastAsia="cs-CZ"/>
              </w:rPr>
              <w:t xml:space="preserve">[název </w:t>
            </w:r>
            <w:r w:rsidRPr="002A7ADF">
              <w:rPr>
                <w:rFonts w:eastAsia="Calibri" w:cs="Times New Roman"/>
                <w:szCs w:val="18"/>
                <w:highlight w:val="yellow"/>
              </w:rPr>
              <w:t>DODAVATEL</w:t>
            </w:r>
            <w:r w:rsidRPr="002A7ADF">
              <w:rPr>
                <w:rFonts w:eastAsia="Lucida Sans Unicode" w:cs="Arial"/>
                <w:kern w:val="2"/>
                <w:szCs w:val="18"/>
                <w:highlight w:val="yellow"/>
                <w:lang w:eastAsia="cs-CZ"/>
              </w:rPr>
              <w:t xml:space="preserve"> – DOPLNÍ </w:t>
            </w:r>
            <w:r w:rsidRPr="002A7ADF">
              <w:rPr>
                <w:rFonts w:eastAsia="Calibri" w:cs="Times New Roman"/>
                <w:szCs w:val="18"/>
                <w:highlight w:val="yellow"/>
              </w:rPr>
              <w:t>DODAVATEL</w:t>
            </w:r>
            <w:r w:rsidRPr="002A7ADF">
              <w:rPr>
                <w:rFonts w:eastAsia="Lucida Sans Unicode" w:cs="Arial"/>
                <w:kern w:val="2"/>
                <w:szCs w:val="18"/>
                <w:highlight w:val="yellow"/>
                <w:lang w:eastAsia="cs-CZ"/>
              </w:rPr>
              <w:t>]</w:t>
            </w:r>
            <w:r w:rsidRPr="00F46394">
              <w:rPr>
                <w:rFonts w:eastAsia="Lucida Sans Unicode" w:cs="Times New Roman"/>
                <w:kern w:val="2"/>
                <w:szCs w:val="18"/>
                <w:highlight w:val="yellow"/>
                <w:lang w:eastAsia="cs-CZ"/>
              </w:rPr>
              <w:t xml:space="preserve"> </w:t>
            </w:r>
          </w:p>
          <w:p w14:paraId="2A28A381"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r>
    </w:tbl>
    <w:p w14:paraId="176B5EB4" w14:textId="77777777" w:rsidR="00265440" w:rsidRDefault="00265440" w:rsidP="00265440"/>
    <w:p w14:paraId="1FD5E4E8" w14:textId="25677C67" w:rsidR="00265440" w:rsidRDefault="00265440" w:rsidP="00265440">
      <w:pPr>
        <w:tabs>
          <w:tab w:val="left" w:pos="2309"/>
        </w:tabs>
        <w:sectPr w:rsidR="00265440" w:rsidSect="00005ADB">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993"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313F63C7" w14:textId="77777777">
        <w:tc>
          <w:tcPr>
            <w:tcW w:w="9655" w:type="dxa"/>
            <w:tcBorders>
              <w:top w:val="nil"/>
              <w:left w:val="nil"/>
              <w:bottom w:val="nil"/>
              <w:right w:val="nil"/>
            </w:tcBorders>
            <w:vAlign w:val="center"/>
            <w:hideMark/>
          </w:tcPr>
          <w:p w14:paraId="2D8DBAAE" w14:textId="7D71B909"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002B1E11">
              <w:rPr>
                <w:rFonts w:cs="Calibri"/>
                <w:b/>
                <w:bCs/>
                <w:color w:val="004666"/>
                <w:szCs w:val="18"/>
              </w:rPr>
              <w:t xml:space="preserve">na </w:t>
            </w:r>
            <w:r w:rsidRPr="007F1537">
              <w:rPr>
                <w:rFonts w:cs="Calibri"/>
                <w:b/>
                <w:bCs/>
                <w:color w:val="004666"/>
                <w:szCs w:val="18"/>
              </w:rPr>
              <w:t xml:space="preserve">zajištění </w:t>
            </w:r>
            <w:r w:rsidR="002B1E11">
              <w:rPr>
                <w:rFonts w:cs="Calibri"/>
                <w:b/>
                <w:bCs/>
                <w:color w:val="004666"/>
                <w:szCs w:val="18"/>
              </w:rPr>
              <w:t>rozšíření clusterů</w:t>
            </w:r>
          </w:p>
        </w:tc>
      </w:tr>
      <w:tr w:rsidR="00EE4C47" w14:paraId="211056E2" w14:textId="77777777">
        <w:tc>
          <w:tcPr>
            <w:tcW w:w="9655" w:type="dxa"/>
            <w:tcBorders>
              <w:top w:val="nil"/>
              <w:left w:val="nil"/>
              <w:bottom w:val="single" w:sz="2" w:space="0" w:color="004666"/>
              <w:right w:val="nil"/>
            </w:tcBorders>
            <w:vAlign w:val="center"/>
            <w:hideMark/>
          </w:tcPr>
          <w:p w14:paraId="67E39678" w14:textId="2D77B259" w:rsidR="00EE4C47" w:rsidRPr="00EE4C47" w:rsidRDefault="00EE4C47">
            <w:pPr>
              <w:spacing w:before="120" w:after="120" w:line="240" w:lineRule="auto"/>
              <w:rPr>
                <w:rFonts w:cs="Calibri"/>
                <w:b/>
                <w:bCs/>
                <w:color w:val="00B0F0"/>
                <w:szCs w:val="18"/>
              </w:rPr>
            </w:pPr>
            <w:r w:rsidRPr="00EE4C47">
              <w:rPr>
                <w:rFonts w:cs="Calibri"/>
                <w:b/>
                <w:bCs/>
                <w:color w:val="00B0F0"/>
                <w:szCs w:val="18"/>
              </w:rPr>
              <w:t xml:space="preserve">Příloha č. 1 – </w:t>
            </w:r>
            <w:r w:rsidR="002B1E11">
              <w:rPr>
                <w:rFonts w:cs="Calibri"/>
                <w:b/>
                <w:bCs/>
                <w:color w:val="00B0F0"/>
                <w:szCs w:val="18"/>
              </w:rPr>
              <w:t xml:space="preserve">Specifikace </w:t>
            </w:r>
            <w:r w:rsidR="002B1E11">
              <w:rPr>
                <w:b/>
                <w:bCs/>
                <w:color w:val="00B0F0"/>
              </w:rPr>
              <w:t>HW</w:t>
            </w:r>
          </w:p>
        </w:tc>
      </w:tr>
    </w:tbl>
    <w:p w14:paraId="065F5AEC" w14:textId="77777777" w:rsidR="0028658F" w:rsidRPr="0028658F" w:rsidRDefault="0028658F" w:rsidP="00265440">
      <w:pPr>
        <w:tabs>
          <w:tab w:val="left" w:pos="2309"/>
        </w:tabs>
        <w:rPr>
          <w:b/>
          <w:bCs/>
        </w:rPr>
      </w:pPr>
    </w:p>
    <w:p w14:paraId="3FEBEB2E" w14:textId="77777777" w:rsidR="00622781" w:rsidRPr="00C81079" w:rsidRDefault="00622781" w:rsidP="00622781">
      <w:pPr>
        <w:jc w:val="both"/>
        <w:rPr>
          <w:szCs w:val="18"/>
        </w:rPr>
      </w:pPr>
      <w:r>
        <w:rPr>
          <w:szCs w:val="18"/>
        </w:rPr>
        <w:t>Předmětem dodávky je c</w:t>
      </w:r>
      <w:r w:rsidRPr="00337D7A">
        <w:rPr>
          <w:szCs w:val="18"/>
        </w:rPr>
        <w:t xml:space="preserve">elkem </w:t>
      </w:r>
      <w:r>
        <w:rPr>
          <w:szCs w:val="18"/>
        </w:rPr>
        <w:t>10</w:t>
      </w:r>
      <w:r w:rsidRPr="00337D7A">
        <w:rPr>
          <w:szCs w:val="18"/>
        </w:rPr>
        <w:t xml:space="preserve"> ks IBM SVC </w:t>
      </w:r>
      <w:proofErr w:type="spellStart"/>
      <w:r w:rsidRPr="00337D7A">
        <w:rPr>
          <w:szCs w:val="18"/>
        </w:rPr>
        <w:t>nódů</w:t>
      </w:r>
      <w:proofErr w:type="spellEnd"/>
      <w:r w:rsidRPr="00337D7A">
        <w:rPr>
          <w:szCs w:val="18"/>
        </w:rPr>
        <w:t xml:space="preserve">, </w:t>
      </w:r>
      <w:r w:rsidRPr="001F58B6">
        <w:rPr>
          <w:szCs w:val="18"/>
        </w:rPr>
        <w:t>které budou konfigurovány jako dva SVC clustery</w:t>
      </w:r>
      <w:r>
        <w:rPr>
          <w:szCs w:val="18"/>
        </w:rPr>
        <w:t>.</w:t>
      </w:r>
      <w:r w:rsidRPr="001F58B6">
        <w:rPr>
          <w:szCs w:val="18"/>
        </w:rPr>
        <w:t xml:space="preserve"> </w:t>
      </w:r>
      <w:r>
        <w:rPr>
          <w:szCs w:val="18"/>
        </w:rPr>
        <w:t>K</w:t>
      </w:r>
      <w:r w:rsidRPr="001F58B6">
        <w:rPr>
          <w:szCs w:val="18"/>
        </w:rPr>
        <w:t xml:space="preserve">aždý cluster bude obsahovat 5 ks </w:t>
      </w:r>
      <w:proofErr w:type="spellStart"/>
      <w:r w:rsidRPr="001F58B6">
        <w:rPr>
          <w:szCs w:val="18"/>
        </w:rPr>
        <w:t>nódů</w:t>
      </w:r>
      <w:proofErr w:type="spellEnd"/>
      <w:r w:rsidRPr="001F58B6">
        <w:rPr>
          <w:szCs w:val="18"/>
        </w:rPr>
        <w:t xml:space="preserve">, tj. 4 produkční </w:t>
      </w:r>
      <w:proofErr w:type="spellStart"/>
      <w:r w:rsidRPr="001F58B6">
        <w:rPr>
          <w:szCs w:val="18"/>
        </w:rPr>
        <w:t>nódy</w:t>
      </w:r>
      <w:proofErr w:type="spellEnd"/>
      <w:r w:rsidRPr="001F58B6">
        <w:rPr>
          <w:szCs w:val="18"/>
        </w:rPr>
        <w:t xml:space="preserve"> a 1 </w:t>
      </w:r>
      <w:proofErr w:type="spellStart"/>
      <w:r w:rsidRPr="001F58B6">
        <w:rPr>
          <w:szCs w:val="18"/>
        </w:rPr>
        <w:t>spare</w:t>
      </w:r>
      <w:proofErr w:type="spellEnd"/>
      <w:r w:rsidRPr="001F58B6">
        <w:rPr>
          <w:szCs w:val="18"/>
        </w:rPr>
        <w:t xml:space="preserve"> </w:t>
      </w:r>
      <w:proofErr w:type="spellStart"/>
      <w:r w:rsidRPr="001F58B6">
        <w:rPr>
          <w:szCs w:val="18"/>
        </w:rPr>
        <w:t>nód</w:t>
      </w:r>
      <w:proofErr w:type="spellEnd"/>
      <w:r w:rsidRPr="001F58B6">
        <w:rPr>
          <w:szCs w:val="18"/>
        </w:rPr>
        <w:t xml:space="preserve"> ve stejné konfiguraci jako produkční </w:t>
      </w:r>
      <w:proofErr w:type="spellStart"/>
      <w:r w:rsidRPr="001F58B6">
        <w:rPr>
          <w:szCs w:val="18"/>
        </w:rPr>
        <w:t>nódy</w:t>
      </w:r>
      <w:proofErr w:type="spellEnd"/>
      <w:r w:rsidRPr="00337D7A">
        <w:rPr>
          <w:szCs w:val="18"/>
        </w:rPr>
        <w:t xml:space="preserve">. Všech </w:t>
      </w:r>
      <w:r>
        <w:rPr>
          <w:szCs w:val="18"/>
        </w:rPr>
        <w:t>10</w:t>
      </w:r>
      <w:r w:rsidRPr="00337D7A">
        <w:rPr>
          <w:szCs w:val="18"/>
        </w:rPr>
        <w:t xml:space="preserve"> </w:t>
      </w:r>
      <w:r>
        <w:rPr>
          <w:szCs w:val="18"/>
        </w:rPr>
        <w:t xml:space="preserve">ks IBM SVC </w:t>
      </w:r>
      <w:proofErr w:type="spellStart"/>
      <w:r w:rsidRPr="00337D7A">
        <w:rPr>
          <w:szCs w:val="18"/>
        </w:rPr>
        <w:t>nódů</w:t>
      </w:r>
      <w:proofErr w:type="spellEnd"/>
      <w:r w:rsidRPr="00337D7A">
        <w:rPr>
          <w:szCs w:val="18"/>
        </w:rPr>
        <w:t xml:space="preserve"> Objednatel požaduje </w:t>
      </w:r>
      <w:r>
        <w:rPr>
          <w:szCs w:val="18"/>
        </w:rPr>
        <w:t xml:space="preserve">dodat </w:t>
      </w:r>
      <w:r w:rsidRPr="00337D7A">
        <w:rPr>
          <w:szCs w:val="18"/>
        </w:rPr>
        <w:t xml:space="preserve">ve stejné konfiguraci, pokud není výslovně uvedeno jinak. Požadované </w:t>
      </w:r>
      <w:proofErr w:type="spellStart"/>
      <w:r w:rsidRPr="00337D7A">
        <w:rPr>
          <w:szCs w:val="18"/>
        </w:rPr>
        <w:t>nódy</w:t>
      </w:r>
      <w:proofErr w:type="spellEnd"/>
      <w:r w:rsidRPr="00337D7A">
        <w:rPr>
          <w:szCs w:val="18"/>
        </w:rPr>
        <w:t xml:space="preserve"> budou použity pro technologický upgrade a rozšíření funkcionality stávajících IBM SVC clusterů.</w:t>
      </w:r>
    </w:p>
    <w:p w14:paraId="15E09AC5" w14:textId="4B651DC0" w:rsidR="00B46965" w:rsidRPr="00AC1DBE" w:rsidRDefault="00C318F7" w:rsidP="00622781">
      <w:pPr>
        <w:rPr>
          <w:b/>
          <w:bCs/>
          <w:szCs w:val="18"/>
        </w:rPr>
      </w:pPr>
      <w:r w:rsidRPr="00AC1DBE">
        <w:rPr>
          <w:b/>
          <w:bCs/>
          <w:szCs w:val="18"/>
        </w:rPr>
        <w:t>Popis poskytovaného HW</w:t>
      </w:r>
    </w:p>
    <w:p w14:paraId="58AA298A" w14:textId="0E84C0AE" w:rsidR="00622781" w:rsidRPr="002B345C" w:rsidRDefault="00622781" w:rsidP="00622781">
      <w:pPr>
        <w:rPr>
          <w:szCs w:val="18"/>
          <w:u w:val="single"/>
        </w:rPr>
      </w:pPr>
      <w:r>
        <w:rPr>
          <w:szCs w:val="18"/>
          <w:u w:val="single"/>
        </w:rPr>
        <w:t>Požadují se</w:t>
      </w:r>
      <w:r w:rsidRPr="002B345C">
        <w:rPr>
          <w:szCs w:val="18"/>
          <w:u w:val="single"/>
        </w:rPr>
        <w:t xml:space="preserve"> </w:t>
      </w:r>
      <w:r w:rsidRPr="002B345C">
        <w:rPr>
          <w:b/>
          <w:bCs/>
          <w:szCs w:val="18"/>
          <w:u w:val="single"/>
        </w:rPr>
        <w:t>dva komplety</w:t>
      </w:r>
      <w:r>
        <w:rPr>
          <w:b/>
          <w:bCs/>
          <w:szCs w:val="18"/>
          <w:u w:val="single"/>
        </w:rPr>
        <w:t xml:space="preserve">, </w:t>
      </w:r>
      <w:r w:rsidRPr="00443558">
        <w:rPr>
          <w:szCs w:val="18"/>
          <w:u w:val="single"/>
        </w:rPr>
        <w:t>každý s</w:t>
      </w:r>
      <w:r w:rsidRPr="002B345C">
        <w:rPr>
          <w:szCs w:val="18"/>
          <w:u w:val="single"/>
        </w:rPr>
        <w:t xml:space="preserve"> dále uveden</w:t>
      </w:r>
      <w:r>
        <w:rPr>
          <w:szCs w:val="18"/>
          <w:u w:val="single"/>
        </w:rPr>
        <w:t>ou</w:t>
      </w:r>
      <w:r w:rsidRPr="002B345C">
        <w:rPr>
          <w:szCs w:val="18"/>
          <w:u w:val="single"/>
        </w:rPr>
        <w:t xml:space="preserve"> konfigurací:</w:t>
      </w:r>
    </w:p>
    <w:p w14:paraId="13086735" w14:textId="77777777" w:rsidR="00622781" w:rsidRPr="00FB773A" w:rsidRDefault="00622781" w:rsidP="00D977DD">
      <w:pPr>
        <w:pStyle w:val="Odstavecseseznamem"/>
        <w:numPr>
          <w:ilvl w:val="0"/>
          <w:numId w:val="6"/>
        </w:numPr>
        <w:spacing w:after="0" w:line="360" w:lineRule="auto"/>
        <w:contextualSpacing/>
        <w:jc w:val="both"/>
        <w:rPr>
          <w:szCs w:val="18"/>
        </w:rPr>
      </w:pPr>
      <w:r>
        <w:rPr>
          <w:szCs w:val="18"/>
        </w:rPr>
        <w:t>4</w:t>
      </w:r>
      <w:r w:rsidRPr="00FB773A">
        <w:rPr>
          <w:szCs w:val="18"/>
        </w:rPr>
        <w:t xml:space="preserve"> x </w:t>
      </w:r>
      <w:proofErr w:type="spellStart"/>
      <w:r w:rsidRPr="00FB773A">
        <w:rPr>
          <w:szCs w:val="18"/>
        </w:rPr>
        <w:t>nóde</w:t>
      </w:r>
      <w:proofErr w:type="spellEnd"/>
      <w:r w:rsidRPr="00FB773A">
        <w:rPr>
          <w:szCs w:val="18"/>
        </w:rPr>
        <w:t xml:space="preserve"> IBM SVC typ SV3 (produkční)</w:t>
      </w:r>
      <w:r>
        <w:rPr>
          <w:szCs w:val="18"/>
        </w:rPr>
        <w:t>;</w:t>
      </w:r>
    </w:p>
    <w:p w14:paraId="446C0816" w14:textId="77777777" w:rsidR="00622781" w:rsidRPr="00FB773A" w:rsidRDefault="00622781" w:rsidP="00D977DD">
      <w:pPr>
        <w:pStyle w:val="Odstavecseseznamem"/>
        <w:numPr>
          <w:ilvl w:val="0"/>
          <w:numId w:val="6"/>
        </w:numPr>
        <w:spacing w:after="0" w:line="360" w:lineRule="auto"/>
        <w:contextualSpacing/>
        <w:jc w:val="both"/>
        <w:rPr>
          <w:szCs w:val="18"/>
        </w:rPr>
      </w:pPr>
      <w:r w:rsidRPr="00FB773A">
        <w:rPr>
          <w:szCs w:val="18"/>
        </w:rPr>
        <w:t xml:space="preserve">1 x </w:t>
      </w:r>
      <w:proofErr w:type="spellStart"/>
      <w:r w:rsidRPr="00FB773A">
        <w:rPr>
          <w:szCs w:val="18"/>
        </w:rPr>
        <w:t>nóde</w:t>
      </w:r>
      <w:proofErr w:type="spellEnd"/>
      <w:r w:rsidRPr="00FB773A">
        <w:rPr>
          <w:szCs w:val="18"/>
        </w:rPr>
        <w:t xml:space="preserve"> IBM SVC typ SV3 (</w:t>
      </w:r>
      <w:proofErr w:type="spellStart"/>
      <w:r w:rsidRPr="00FB773A">
        <w:rPr>
          <w:szCs w:val="18"/>
        </w:rPr>
        <w:t>spare</w:t>
      </w:r>
      <w:proofErr w:type="spellEnd"/>
      <w:r w:rsidRPr="00FB773A">
        <w:rPr>
          <w:szCs w:val="18"/>
        </w:rPr>
        <w:t xml:space="preserve"> </w:t>
      </w:r>
      <w:proofErr w:type="spellStart"/>
      <w:r w:rsidRPr="00FB773A">
        <w:rPr>
          <w:szCs w:val="18"/>
        </w:rPr>
        <w:t>nóde</w:t>
      </w:r>
      <w:proofErr w:type="spellEnd"/>
      <w:r w:rsidRPr="00FB773A">
        <w:rPr>
          <w:szCs w:val="18"/>
        </w:rPr>
        <w:t xml:space="preserve">, zařazen pro případ výpadku </w:t>
      </w:r>
      <w:proofErr w:type="spellStart"/>
      <w:r w:rsidRPr="00FB773A">
        <w:rPr>
          <w:szCs w:val="18"/>
        </w:rPr>
        <w:t>nódu</w:t>
      </w:r>
      <w:proofErr w:type="spellEnd"/>
      <w:r w:rsidRPr="00FB773A">
        <w:rPr>
          <w:szCs w:val="18"/>
        </w:rPr>
        <w:t xml:space="preserve"> pro automatickou obnovu plné redundance clusteru)</w:t>
      </w:r>
      <w:r>
        <w:rPr>
          <w:szCs w:val="18"/>
        </w:rPr>
        <w:t>.</w:t>
      </w:r>
    </w:p>
    <w:p w14:paraId="7F7F17CB" w14:textId="77777777" w:rsidR="00622781" w:rsidRPr="009348FD" w:rsidRDefault="00622781" w:rsidP="00622781">
      <w:pPr>
        <w:rPr>
          <w:szCs w:val="18"/>
          <w:u w:val="single"/>
        </w:rPr>
      </w:pPr>
      <w:r w:rsidRPr="009348FD">
        <w:rPr>
          <w:szCs w:val="18"/>
          <w:u w:val="single"/>
        </w:rPr>
        <w:t xml:space="preserve">Každý </w:t>
      </w:r>
      <w:proofErr w:type="spellStart"/>
      <w:r w:rsidRPr="009348FD">
        <w:rPr>
          <w:szCs w:val="18"/>
          <w:u w:val="single"/>
        </w:rPr>
        <w:t>nód</w:t>
      </w:r>
      <w:proofErr w:type="spellEnd"/>
      <w:r w:rsidRPr="009348FD">
        <w:rPr>
          <w:szCs w:val="18"/>
          <w:u w:val="single"/>
        </w:rPr>
        <w:t xml:space="preserve"> musí být vybaven:</w:t>
      </w:r>
    </w:p>
    <w:p w14:paraId="49C0C4DA" w14:textId="77777777" w:rsidR="00622781" w:rsidRPr="00811EE1" w:rsidRDefault="00622781" w:rsidP="00D977DD">
      <w:pPr>
        <w:pStyle w:val="Odstavecseseznamem"/>
        <w:numPr>
          <w:ilvl w:val="0"/>
          <w:numId w:val="7"/>
        </w:numPr>
        <w:spacing w:after="0" w:line="360" w:lineRule="auto"/>
        <w:contextualSpacing/>
        <w:jc w:val="both"/>
        <w:rPr>
          <w:szCs w:val="18"/>
        </w:rPr>
      </w:pPr>
      <w:r w:rsidRPr="00811EE1">
        <w:rPr>
          <w:szCs w:val="18"/>
        </w:rPr>
        <w:t xml:space="preserve">4 x </w:t>
      </w:r>
      <w:proofErr w:type="gramStart"/>
      <w:r w:rsidRPr="00811EE1">
        <w:rPr>
          <w:szCs w:val="18"/>
        </w:rPr>
        <w:t>4-port</w:t>
      </w:r>
      <w:proofErr w:type="gramEnd"/>
      <w:r w:rsidRPr="00811EE1">
        <w:rPr>
          <w:szCs w:val="18"/>
        </w:rPr>
        <w:t xml:space="preserve"> 32Gb FC adaptér včetně 32 GB SW </w:t>
      </w:r>
      <w:proofErr w:type="spellStart"/>
      <w:r w:rsidRPr="00811EE1">
        <w:rPr>
          <w:szCs w:val="18"/>
        </w:rPr>
        <w:t>multimode</w:t>
      </w:r>
      <w:proofErr w:type="spellEnd"/>
      <w:r w:rsidRPr="00811EE1">
        <w:rPr>
          <w:szCs w:val="18"/>
        </w:rPr>
        <w:t xml:space="preserve"> </w:t>
      </w:r>
      <w:proofErr w:type="spellStart"/>
      <w:r w:rsidRPr="00811EE1">
        <w:rPr>
          <w:szCs w:val="18"/>
        </w:rPr>
        <w:t>SFP’s</w:t>
      </w:r>
      <w:proofErr w:type="spellEnd"/>
      <w:r w:rsidRPr="00811EE1">
        <w:rPr>
          <w:szCs w:val="18"/>
        </w:rPr>
        <w:t>;</w:t>
      </w:r>
    </w:p>
    <w:p w14:paraId="034CADA6" w14:textId="77777777" w:rsidR="00622781" w:rsidRPr="00811EE1" w:rsidRDefault="00622781" w:rsidP="00D977DD">
      <w:pPr>
        <w:pStyle w:val="Odstavecseseznamem"/>
        <w:numPr>
          <w:ilvl w:val="0"/>
          <w:numId w:val="7"/>
        </w:numPr>
        <w:spacing w:after="0" w:line="360" w:lineRule="auto"/>
        <w:contextualSpacing/>
        <w:jc w:val="both"/>
        <w:rPr>
          <w:szCs w:val="18"/>
        </w:rPr>
      </w:pPr>
      <w:r w:rsidRPr="00811EE1">
        <w:rPr>
          <w:szCs w:val="18"/>
        </w:rPr>
        <w:t xml:space="preserve">1024 GB </w:t>
      </w:r>
      <w:proofErr w:type="spellStart"/>
      <w:r w:rsidRPr="00811EE1">
        <w:rPr>
          <w:szCs w:val="18"/>
        </w:rPr>
        <w:t>cache</w:t>
      </w:r>
      <w:proofErr w:type="spellEnd"/>
      <w:r w:rsidRPr="00811EE1">
        <w:rPr>
          <w:szCs w:val="18"/>
        </w:rPr>
        <w:t>;</w:t>
      </w:r>
    </w:p>
    <w:p w14:paraId="2FAE739A" w14:textId="77777777" w:rsidR="00622781" w:rsidRPr="00811EE1" w:rsidRDefault="00622781" w:rsidP="00D977DD">
      <w:pPr>
        <w:pStyle w:val="Odstavecseseznamem"/>
        <w:numPr>
          <w:ilvl w:val="0"/>
          <w:numId w:val="7"/>
        </w:numPr>
        <w:spacing w:after="0" w:line="360" w:lineRule="auto"/>
        <w:contextualSpacing/>
        <w:jc w:val="both"/>
        <w:rPr>
          <w:szCs w:val="18"/>
        </w:rPr>
      </w:pPr>
      <w:r w:rsidRPr="00811EE1">
        <w:rPr>
          <w:szCs w:val="18"/>
        </w:rPr>
        <w:t>kompresní akcelerátor;</w:t>
      </w:r>
    </w:p>
    <w:p w14:paraId="52959A90" w14:textId="77777777" w:rsidR="00622781" w:rsidRPr="00811EE1" w:rsidRDefault="00622781" w:rsidP="00D977DD">
      <w:pPr>
        <w:pStyle w:val="Odstavecseseznamem"/>
        <w:numPr>
          <w:ilvl w:val="0"/>
          <w:numId w:val="7"/>
        </w:numPr>
        <w:spacing w:after="0" w:line="360" w:lineRule="auto"/>
        <w:contextualSpacing/>
        <w:jc w:val="both"/>
        <w:rPr>
          <w:szCs w:val="18"/>
        </w:rPr>
      </w:pPr>
      <w:r w:rsidRPr="00811EE1">
        <w:rPr>
          <w:szCs w:val="18"/>
        </w:rPr>
        <w:t>redundantní napájení;</w:t>
      </w:r>
    </w:p>
    <w:p w14:paraId="505758F5" w14:textId="77777777" w:rsidR="00622781" w:rsidRPr="00811EE1" w:rsidRDefault="00622781" w:rsidP="00D977DD">
      <w:pPr>
        <w:pStyle w:val="Odstavecseseznamem"/>
        <w:numPr>
          <w:ilvl w:val="0"/>
          <w:numId w:val="7"/>
        </w:numPr>
        <w:spacing w:after="0" w:line="360" w:lineRule="auto"/>
        <w:contextualSpacing/>
        <w:jc w:val="both"/>
        <w:rPr>
          <w:szCs w:val="18"/>
        </w:rPr>
      </w:pPr>
      <w:r>
        <w:rPr>
          <w:szCs w:val="18"/>
        </w:rPr>
        <w:t>v</w:t>
      </w:r>
      <w:r w:rsidRPr="00811EE1">
        <w:rPr>
          <w:szCs w:val="18"/>
        </w:rPr>
        <w:t xml:space="preserve">ýsuvný </w:t>
      </w:r>
      <w:proofErr w:type="spellStart"/>
      <w:r w:rsidRPr="00811EE1">
        <w:rPr>
          <w:szCs w:val="18"/>
        </w:rPr>
        <w:t>rackmount</w:t>
      </w:r>
      <w:proofErr w:type="spellEnd"/>
      <w:r w:rsidRPr="00811EE1">
        <w:rPr>
          <w:szCs w:val="18"/>
        </w:rPr>
        <w:t xml:space="preserve"> </w:t>
      </w:r>
      <w:proofErr w:type="spellStart"/>
      <w:r w:rsidRPr="00811EE1">
        <w:rPr>
          <w:szCs w:val="18"/>
        </w:rPr>
        <w:t>kit</w:t>
      </w:r>
      <w:proofErr w:type="spellEnd"/>
      <w:r w:rsidRPr="00811EE1">
        <w:rPr>
          <w:szCs w:val="18"/>
        </w:rPr>
        <w:t xml:space="preserve"> s pantografem pro uložení kabeláže pro vysunutí zařízení; </w:t>
      </w:r>
    </w:p>
    <w:p w14:paraId="41FC9641" w14:textId="3CD57CCF" w:rsidR="00622781" w:rsidRDefault="00622781" w:rsidP="00D977DD">
      <w:pPr>
        <w:pStyle w:val="Odstavecseseznamem"/>
        <w:widowControl w:val="0"/>
        <w:numPr>
          <w:ilvl w:val="0"/>
          <w:numId w:val="7"/>
        </w:numPr>
        <w:spacing w:after="0" w:line="360" w:lineRule="auto"/>
        <w:contextualSpacing/>
        <w:jc w:val="both"/>
        <w:rPr>
          <w:szCs w:val="18"/>
        </w:rPr>
      </w:pPr>
      <w:r w:rsidRPr="00811EE1">
        <w:rPr>
          <w:szCs w:val="18"/>
        </w:rPr>
        <w:t>adaptéry pro připojení SAS expanzí nejsou požadovány.</w:t>
      </w:r>
    </w:p>
    <w:p w14:paraId="121D20FF" w14:textId="77777777" w:rsidR="00622781" w:rsidRPr="00443558" w:rsidRDefault="00622781" w:rsidP="00AC1DBE">
      <w:pPr>
        <w:keepNext/>
        <w:keepLines/>
        <w:rPr>
          <w:szCs w:val="18"/>
        </w:rPr>
      </w:pPr>
      <w:r>
        <w:rPr>
          <w:szCs w:val="18"/>
        </w:rPr>
        <w:t>V tabulce je uveden p</w:t>
      </w:r>
      <w:r w:rsidRPr="00443558">
        <w:rPr>
          <w:szCs w:val="18"/>
        </w:rPr>
        <w:t xml:space="preserve">odrobný rozpis součástí dodávky HW a SW včetně part </w:t>
      </w:r>
      <w:proofErr w:type="spellStart"/>
      <w:r w:rsidRPr="00443558">
        <w:rPr>
          <w:szCs w:val="18"/>
        </w:rPr>
        <w:t>numbers</w:t>
      </w:r>
      <w:proofErr w:type="spellEnd"/>
      <w:r>
        <w:rPr>
          <w:szCs w:val="18"/>
        </w:rPr>
        <w:t xml:space="preserve"> pro jeden </w:t>
      </w:r>
      <w:proofErr w:type="spellStart"/>
      <w:r>
        <w:rPr>
          <w:szCs w:val="18"/>
        </w:rPr>
        <w:t>nód</w:t>
      </w:r>
      <w:proofErr w:type="spellEnd"/>
      <w:r w:rsidRPr="00443558">
        <w:rPr>
          <w:szCs w:val="18"/>
        </w:rPr>
        <w:t xml:space="preserve">: </w:t>
      </w:r>
    </w:p>
    <w:tbl>
      <w:tblPr>
        <w:tblStyle w:val="Mkatabulky"/>
        <w:tblW w:w="0" w:type="auto"/>
        <w:tblLook w:val="04A0" w:firstRow="1" w:lastRow="0" w:firstColumn="1" w:lastColumn="0" w:noHBand="0" w:noVBand="1"/>
      </w:tblPr>
      <w:tblGrid>
        <w:gridCol w:w="988"/>
        <w:gridCol w:w="1701"/>
        <w:gridCol w:w="4719"/>
        <w:gridCol w:w="1652"/>
      </w:tblGrid>
      <w:tr w:rsidR="00622781" w14:paraId="17D8B949" w14:textId="77777777" w:rsidTr="007E5A80">
        <w:tc>
          <w:tcPr>
            <w:tcW w:w="988" w:type="dxa"/>
            <w:shd w:val="clear" w:color="auto" w:fill="D9D9D9" w:themeFill="background1" w:themeFillShade="D9"/>
          </w:tcPr>
          <w:p w14:paraId="028780E6" w14:textId="77777777" w:rsidR="00622781" w:rsidRPr="004B26ED" w:rsidRDefault="00622781" w:rsidP="007E5A80">
            <w:pPr>
              <w:keepNext/>
              <w:keepLines/>
              <w:jc w:val="center"/>
              <w:rPr>
                <w:b/>
                <w:bCs/>
                <w:szCs w:val="18"/>
              </w:rPr>
            </w:pPr>
            <w:proofErr w:type="spellStart"/>
            <w:r>
              <w:rPr>
                <w:b/>
                <w:bCs/>
                <w:szCs w:val="18"/>
              </w:rPr>
              <w:t>Poř</w:t>
            </w:r>
            <w:proofErr w:type="spellEnd"/>
            <w:r>
              <w:rPr>
                <w:b/>
                <w:bCs/>
                <w:szCs w:val="18"/>
              </w:rPr>
              <w:t xml:space="preserve">. č. </w:t>
            </w:r>
          </w:p>
        </w:tc>
        <w:tc>
          <w:tcPr>
            <w:tcW w:w="1701" w:type="dxa"/>
            <w:shd w:val="clear" w:color="auto" w:fill="D9D9D9" w:themeFill="background1" w:themeFillShade="D9"/>
            <w:vAlign w:val="center"/>
          </w:tcPr>
          <w:p w14:paraId="2368BC1E" w14:textId="77777777" w:rsidR="00622781" w:rsidRPr="004B26ED" w:rsidRDefault="00622781" w:rsidP="007E5A80">
            <w:pPr>
              <w:keepNext/>
              <w:keepLines/>
              <w:jc w:val="center"/>
              <w:rPr>
                <w:b/>
                <w:bCs/>
                <w:szCs w:val="18"/>
              </w:rPr>
            </w:pPr>
            <w:r w:rsidRPr="004B26ED">
              <w:rPr>
                <w:b/>
                <w:bCs/>
                <w:szCs w:val="18"/>
              </w:rPr>
              <w:t>Produkt</w:t>
            </w:r>
          </w:p>
        </w:tc>
        <w:tc>
          <w:tcPr>
            <w:tcW w:w="4719" w:type="dxa"/>
            <w:shd w:val="clear" w:color="auto" w:fill="D9D9D9" w:themeFill="background1" w:themeFillShade="D9"/>
            <w:vAlign w:val="center"/>
          </w:tcPr>
          <w:p w14:paraId="04058619" w14:textId="77777777" w:rsidR="00622781" w:rsidRPr="004B26ED" w:rsidRDefault="00622781" w:rsidP="007E5A80">
            <w:pPr>
              <w:keepNext/>
              <w:keepLines/>
              <w:jc w:val="center"/>
              <w:rPr>
                <w:b/>
                <w:bCs/>
                <w:szCs w:val="18"/>
              </w:rPr>
            </w:pPr>
            <w:r w:rsidRPr="004B26ED">
              <w:rPr>
                <w:b/>
                <w:bCs/>
                <w:szCs w:val="18"/>
              </w:rPr>
              <w:t>Popis</w:t>
            </w:r>
          </w:p>
        </w:tc>
        <w:tc>
          <w:tcPr>
            <w:tcW w:w="1652" w:type="dxa"/>
            <w:shd w:val="clear" w:color="auto" w:fill="D9D9D9" w:themeFill="background1" w:themeFillShade="D9"/>
            <w:vAlign w:val="center"/>
          </w:tcPr>
          <w:p w14:paraId="62F6243A" w14:textId="77777777" w:rsidR="00622781" w:rsidRPr="004B26ED" w:rsidRDefault="00622781" w:rsidP="007E5A80">
            <w:pPr>
              <w:keepNext/>
              <w:keepLines/>
              <w:jc w:val="center"/>
              <w:rPr>
                <w:b/>
                <w:bCs/>
                <w:szCs w:val="18"/>
              </w:rPr>
            </w:pPr>
            <w:r w:rsidRPr="004B26ED">
              <w:rPr>
                <w:b/>
                <w:bCs/>
                <w:szCs w:val="18"/>
              </w:rPr>
              <w:t>Množství</w:t>
            </w:r>
          </w:p>
        </w:tc>
      </w:tr>
      <w:tr w:rsidR="00622781" w14:paraId="2BDA97AC" w14:textId="77777777" w:rsidTr="007E5A80">
        <w:tc>
          <w:tcPr>
            <w:tcW w:w="988" w:type="dxa"/>
            <w:shd w:val="clear" w:color="auto" w:fill="D9D9D9" w:themeFill="background1" w:themeFillShade="D9"/>
            <w:vAlign w:val="center"/>
          </w:tcPr>
          <w:p w14:paraId="7048F4CB" w14:textId="77777777" w:rsidR="00622781" w:rsidRPr="0065013C" w:rsidRDefault="00622781" w:rsidP="007E5A80">
            <w:pPr>
              <w:keepNext/>
              <w:keepLines/>
              <w:jc w:val="center"/>
              <w:rPr>
                <w:b/>
                <w:bCs/>
                <w:szCs w:val="18"/>
              </w:rPr>
            </w:pPr>
            <w:r w:rsidRPr="0065013C">
              <w:rPr>
                <w:b/>
                <w:bCs/>
                <w:szCs w:val="18"/>
              </w:rPr>
              <w:t>1</w:t>
            </w:r>
          </w:p>
        </w:tc>
        <w:tc>
          <w:tcPr>
            <w:tcW w:w="1701" w:type="dxa"/>
            <w:shd w:val="clear" w:color="auto" w:fill="D9D9D9" w:themeFill="background1" w:themeFillShade="D9"/>
            <w:vAlign w:val="center"/>
          </w:tcPr>
          <w:p w14:paraId="39E3F054" w14:textId="77777777" w:rsidR="00622781" w:rsidRPr="0065013C" w:rsidRDefault="00622781" w:rsidP="007E5A80">
            <w:pPr>
              <w:keepNext/>
              <w:keepLines/>
              <w:rPr>
                <w:b/>
                <w:bCs/>
                <w:szCs w:val="18"/>
              </w:rPr>
            </w:pPr>
            <w:proofErr w:type="gramStart"/>
            <w:r w:rsidRPr="0065013C">
              <w:rPr>
                <w:b/>
                <w:bCs/>
                <w:szCs w:val="18"/>
              </w:rPr>
              <w:t>2145-SV3</w:t>
            </w:r>
            <w:proofErr w:type="gramEnd"/>
          </w:p>
        </w:tc>
        <w:tc>
          <w:tcPr>
            <w:tcW w:w="4719" w:type="dxa"/>
            <w:shd w:val="clear" w:color="auto" w:fill="D9D9D9" w:themeFill="background1" w:themeFillShade="D9"/>
            <w:vAlign w:val="center"/>
          </w:tcPr>
          <w:p w14:paraId="7887A599" w14:textId="77777777" w:rsidR="00622781" w:rsidRPr="0065013C" w:rsidRDefault="00622781" w:rsidP="007E5A80">
            <w:pPr>
              <w:keepNext/>
              <w:keepLines/>
              <w:rPr>
                <w:b/>
                <w:bCs/>
                <w:szCs w:val="18"/>
              </w:rPr>
            </w:pPr>
            <w:r w:rsidRPr="0065013C">
              <w:rPr>
                <w:b/>
                <w:bCs/>
                <w:szCs w:val="18"/>
              </w:rPr>
              <w:t xml:space="preserve">IBM </w:t>
            </w:r>
            <w:proofErr w:type="spellStart"/>
            <w:r w:rsidRPr="0065013C">
              <w:rPr>
                <w:b/>
                <w:bCs/>
                <w:szCs w:val="18"/>
              </w:rPr>
              <w:t>System</w:t>
            </w:r>
            <w:proofErr w:type="spellEnd"/>
            <w:r w:rsidRPr="0065013C">
              <w:rPr>
                <w:b/>
                <w:bCs/>
                <w:szCs w:val="18"/>
              </w:rPr>
              <w:t xml:space="preserve"> </w:t>
            </w:r>
            <w:proofErr w:type="spellStart"/>
            <w:r w:rsidRPr="0065013C">
              <w:rPr>
                <w:b/>
                <w:bCs/>
                <w:szCs w:val="18"/>
              </w:rPr>
              <w:t>Storage</w:t>
            </w:r>
            <w:proofErr w:type="spellEnd"/>
            <w:r w:rsidRPr="0065013C">
              <w:rPr>
                <w:b/>
                <w:bCs/>
                <w:szCs w:val="18"/>
              </w:rPr>
              <w:t xml:space="preserve"> SVC </w:t>
            </w:r>
            <w:proofErr w:type="spellStart"/>
            <w:r w:rsidRPr="0065013C">
              <w:rPr>
                <w:b/>
                <w:bCs/>
                <w:szCs w:val="18"/>
              </w:rPr>
              <w:t>Storage</w:t>
            </w:r>
            <w:proofErr w:type="spellEnd"/>
            <w:r w:rsidRPr="0065013C">
              <w:rPr>
                <w:b/>
                <w:bCs/>
                <w:szCs w:val="18"/>
              </w:rPr>
              <w:t xml:space="preserve"> </w:t>
            </w:r>
            <w:proofErr w:type="spellStart"/>
            <w:r w:rsidRPr="0065013C">
              <w:rPr>
                <w:b/>
                <w:bCs/>
                <w:szCs w:val="18"/>
              </w:rPr>
              <w:t>Engine</w:t>
            </w:r>
            <w:proofErr w:type="spellEnd"/>
          </w:p>
        </w:tc>
        <w:tc>
          <w:tcPr>
            <w:tcW w:w="1652" w:type="dxa"/>
            <w:shd w:val="clear" w:color="auto" w:fill="D9D9D9" w:themeFill="background1" w:themeFillShade="D9"/>
            <w:vAlign w:val="center"/>
          </w:tcPr>
          <w:p w14:paraId="06E8CBAE" w14:textId="77777777" w:rsidR="00622781" w:rsidRPr="0065013C" w:rsidRDefault="00622781" w:rsidP="007E5A80">
            <w:pPr>
              <w:keepNext/>
              <w:keepLines/>
              <w:jc w:val="center"/>
              <w:rPr>
                <w:b/>
                <w:bCs/>
                <w:szCs w:val="18"/>
              </w:rPr>
            </w:pPr>
            <w:r w:rsidRPr="0065013C">
              <w:rPr>
                <w:b/>
                <w:bCs/>
                <w:szCs w:val="18"/>
              </w:rPr>
              <w:t>1</w:t>
            </w:r>
          </w:p>
        </w:tc>
      </w:tr>
      <w:tr w:rsidR="00622781" w14:paraId="4C9C1C61" w14:textId="77777777" w:rsidTr="007E5A80">
        <w:tc>
          <w:tcPr>
            <w:tcW w:w="988" w:type="dxa"/>
            <w:vAlign w:val="center"/>
          </w:tcPr>
          <w:p w14:paraId="7BF96391" w14:textId="77777777" w:rsidR="00622781" w:rsidRPr="00337D7A" w:rsidRDefault="00622781" w:rsidP="007E5A80">
            <w:pPr>
              <w:keepNext/>
              <w:keepLines/>
              <w:jc w:val="center"/>
              <w:rPr>
                <w:szCs w:val="18"/>
              </w:rPr>
            </w:pPr>
            <w:r>
              <w:rPr>
                <w:szCs w:val="18"/>
              </w:rPr>
              <w:t>1.1</w:t>
            </w:r>
          </w:p>
        </w:tc>
        <w:tc>
          <w:tcPr>
            <w:tcW w:w="1701" w:type="dxa"/>
            <w:vAlign w:val="center"/>
          </w:tcPr>
          <w:p w14:paraId="296DB9D2" w14:textId="77777777" w:rsidR="00622781" w:rsidRDefault="00622781" w:rsidP="007E5A80">
            <w:pPr>
              <w:keepNext/>
              <w:keepLines/>
              <w:rPr>
                <w:szCs w:val="18"/>
              </w:rPr>
            </w:pPr>
            <w:r>
              <w:rPr>
                <w:szCs w:val="18"/>
              </w:rPr>
              <w:t>18</w:t>
            </w:r>
          </w:p>
        </w:tc>
        <w:tc>
          <w:tcPr>
            <w:tcW w:w="4719" w:type="dxa"/>
            <w:vAlign w:val="center"/>
          </w:tcPr>
          <w:p w14:paraId="717E88C6" w14:textId="77777777" w:rsidR="00622781" w:rsidRDefault="00622781" w:rsidP="007E5A80">
            <w:pPr>
              <w:keepNext/>
              <w:keepLines/>
              <w:rPr>
                <w:szCs w:val="18"/>
              </w:rPr>
            </w:pPr>
            <w:r w:rsidRPr="007A1600">
              <w:rPr>
                <w:szCs w:val="18"/>
              </w:rPr>
              <w:t xml:space="preserve">AAS Software </w:t>
            </w:r>
            <w:proofErr w:type="spellStart"/>
            <w:r w:rsidRPr="007A1600">
              <w:rPr>
                <w:szCs w:val="18"/>
              </w:rPr>
              <w:t>Order</w:t>
            </w:r>
            <w:proofErr w:type="spellEnd"/>
            <w:r w:rsidRPr="007A1600">
              <w:rPr>
                <w:szCs w:val="18"/>
              </w:rPr>
              <w:t xml:space="preserve"> </w:t>
            </w:r>
            <w:proofErr w:type="spellStart"/>
            <w:r w:rsidRPr="007A1600">
              <w:rPr>
                <w:szCs w:val="18"/>
              </w:rPr>
              <w:t>Indicator</w:t>
            </w:r>
            <w:proofErr w:type="spellEnd"/>
          </w:p>
        </w:tc>
        <w:tc>
          <w:tcPr>
            <w:tcW w:w="1652" w:type="dxa"/>
            <w:vAlign w:val="center"/>
          </w:tcPr>
          <w:p w14:paraId="1E520BD1" w14:textId="77777777" w:rsidR="00622781" w:rsidRDefault="00622781" w:rsidP="007E5A80">
            <w:pPr>
              <w:keepNext/>
              <w:keepLines/>
              <w:jc w:val="center"/>
              <w:rPr>
                <w:szCs w:val="18"/>
              </w:rPr>
            </w:pPr>
            <w:r>
              <w:rPr>
                <w:szCs w:val="18"/>
              </w:rPr>
              <w:t>1</w:t>
            </w:r>
          </w:p>
        </w:tc>
      </w:tr>
      <w:tr w:rsidR="00622781" w14:paraId="01DD4E6D" w14:textId="77777777" w:rsidTr="007E5A80">
        <w:tc>
          <w:tcPr>
            <w:tcW w:w="988" w:type="dxa"/>
            <w:vAlign w:val="center"/>
          </w:tcPr>
          <w:p w14:paraId="1BF98BB5" w14:textId="77777777" w:rsidR="00622781" w:rsidRPr="00337D7A" w:rsidRDefault="00622781" w:rsidP="007E5A80">
            <w:pPr>
              <w:keepNext/>
              <w:keepLines/>
              <w:jc w:val="center"/>
              <w:rPr>
                <w:szCs w:val="18"/>
              </w:rPr>
            </w:pPr>
            <w:r>
              <w:rPr>
                <w:szCs w:val="18"/>
              </w:rPr>
              <w:t>1.2</w:t>
            </w:r>
          </w:p>
        </w:tc>
        <w:tc>
          <w:tcPr>
            <w:tcW w:w="1701" w:type="dxa"/>
            <w:vAlign w:val="center"/>
          </w:tcPr>
          <w:p w14:paraId="4F7169C2" w14:textId="77777777" w:rsidR="00622781" w:rsidRDefault="00622781" w:rsidP="007E5A80">
            <w:pPr>
              <w:keepNext/>
              <w:keepLines/>
              <w:rPr>
                <w:szCs w:val="18"/>
              </w:rPr>
            </w:pPr>
            <w:r w:rsidRPr="00337D7A">
              <w:rPr>
                <w:szCs w:val="18"/>
              </w:rPr>
              <w:t>3001</w:t>
            </w:r>
          </w:p>
        </w:tc>
        <w:tc>
          <w:tcPr>
            <w:tcW w:w="4719" w:type="dxa"/>
            <w:vAlign w:val="center"/>
          </w:tcPr>
          <w:p w14:paraId="4CF30A7F" w14:textId="18568023" w:rsidR="00622781" w:rsidRDefault="00622781" w:rsidP="007E5A80">
            <w:pPr>
              <w:keepNext/>
              <w:keepLines/>
              <w:rPr>
                <w:szCs w:val="18"/>
              </w:rPr>
            </w:pPr>
            <w:proofErr w:type="spellStart"/>
            <w:r w:rsidRPr="00337D7A">
              <w:rPr>
                <w:szCs w:val="18"/>
              </w:rPr>
              <w:t>Initial</w:t>
            </w:r>
            <w:proofErr w:type="spellEnd"/>
            <w:r w:rsidRPr="00337D7A">
              <w:rPr>
                <w:szCs w:val="18"/>
              </w:rPr>
              <w:t xml:space="preserve"> </w:t>
            </w:r>
            <w:proofErr w:type="spellStart"/>
            <w:r w:rsidRPr="00337D7A">
              <w:rPr>
                <w:szCs w:val="18"/>
              </w:rPr>
              <w:t>Storage</w:t>
            </w:r>
            <w:proofErr w:type="spellEnd"/>
            <w:r w:rsidRPr="00337D7A">
              <w:rPr>
                <w:szCs w:val="18"/>
              </w:rPr>
              <w:t xml:space="preserve"> </w:t>
            </w:r>
            <w:proofErr w:type="spellStart"/>
            <w:r w:rsidRPr="00337D7A">
              <w:rPr>
                <w:szCs w:val="18"/>
              </w:rPr>
              <w:t>Engine</w:t>
            </w:r>
            <w:proofErr w:type="spellEnd"/>
          </w:p>
        </w:tc>
        <w:tc>
          <w:tcPr>
            <w:tcW w:w="1652" w:type="dxa"/>
            <w:vAlign w:val="center"/>
          </w:tcPr>
          <w:p w14:paraId="22E68DDE" w14:textId="77777777" w:rsidR="00622781" w:rsidRDefault="00622781" w:rsidP="007E5A80">
            <w:pPr>
              <w:keepNext/>
              <w:keepLines/>
              <w:jc w:val="center"/>
              <w:rPr>
                <w:szCs w:val="18"/>
              </w:rPr>
            </w:pPr>
            <w:r>
              <w:rPr>
                <w:szCs w:val="18"/>
              </w:rPr>
              <w:t>1</w:t>
            </w:r>
          </w:p>
        </w:tc>
      </w:tr>
      <w:tr w:rsidR="00622781" w14:paraId="5D971C7B" w14:textId="77777777" w:rsidTr="007E5A80">
        <w:tc>
          <w:tcPr>
            <w:tcW w:w="988" w:type="dxa"/>
            <w:vAlign w:val="center"/>
          </w:tcPr>
          <w:p w14:paraId="221657BC" w14:textId="77777777" w:rsidR="00622781" w:rsidRPr="00337D7A" w:rsidRDefault="00622781" w:rsidP="007E5A80">
            <w:pPr>
              <w:keepNext/>
              <w:keepLines/>
              <w:jc w:val="center"/>
              <w:rPr>
                <w:szCs w:val="18"/>
              </w:rPr>
            </w:pPr>
            <w:r>
              <w:rPr>
                <w:szCs w:val="18"/>
              </w:rPr>
              <w:t>1.3</w:t>
            </w:r>
          </w:p>
        </w:tc>
        <w:tc>
          <w:tcPr>
            <w:tcW w:w="1701" w:type="dxa"/>
            <w:vAlign w:val="center"/>
          </w:tcPr>
          <w:p w14:paraId="4E307A40" w14:textId="77777777" w:rsidR="00622781" w:rsidRDefault="00622781" w:rsidP="007E5A80">
            <w:pPr>
              <w:keepNext/>
              <w:keepLines/>
              <w:rPr>
                <w:szCs w:val="18"/>
              </w:rPr>
            </w:pPr>
            <w:r w:rsidRPr="00337D7A">
              <w:rPr>
                <w:szCs w:val="18"/>
              </w:rPr>
              <w:t>9730</w:t>
            </w:r>
          </w:p>
        </w:tc>
        <w:tc>
          <w:tcPr>
            <w:tcW w:w="4719" w:type="dxa"/>
            <w:vAlign w:val="center"/>
          </w:tcPr>
          <w:p w14:paraId="34CEC783" w14:textId="77777777" w:rsidR="00622781" w:rsidRDefault="00622781" w:rsidP="007E5A80">
            <w:pPr>
              <w:keepNext/>
              <w:keepLines/>
              <w:rPr>
                <w:szCs w:val="18"/>
              </w:rPr>
            </w:pPr>
            <w:proofErr w:type="spellStart"/>
            <w:r w:rsidRPr="00337D7A">
              <w:rPr>
                <w:szCs w:val="18"/>
              </w:rPr>
              <w:t>Power</w:t>
            </w:r>
            <w:proofErr w:type="spellEnd"/>
            <w:r w:rsidRPr="00337D7A">
              <w:rPr>
                <w:szCs w:val="18"/>
              </w:rPr>
              <w:t xml:space="preserve"> </w:t>
            </w:r>
            <w:proofErr w:type="spellStart"/>
            <w:r w:rsidRPr="00337D7A">
              <w:rPr>
                <w:szCs w:val="18"/>
              </w:rPr>
              <w:t>Cord</w:t>
            </w:r>
            <w:proofErr w:type="spellEnd"/>
            <w:r w:rsidRPr="00337D7A">
              <w:rPr>
                <w:szCs w:val="18"/>
              </w:rPr>
              <w:t xml:space="preserve"> – PDU </w:t>
            </w:r>
            <w:proofErr w:type="spellStart"/>
            <w:r w:rsidRPr="00337D7A">
              <w:rPr>
                <w:szCs w:val="18"/>
              </w:rPr>
              <w:t>connection</w:t>
            </w:r>
            <w:proofErr w:type="spellEnd"/>
          </w:p>
        </w:tc>
        <w:tc>
          <w:tcPr>
            <w:tcW w:w="1652" w:type="dxa"/>
            <w:vAlign w:val="center"/>
          </w:tcPr>
          <w:p w14:paraId="7BC8B365" w14:textId="77777777" w:rsidR="00622781" w:rsidRDefault="00622781" w:rsidP="007E5A80">
            <w:pPr>
              <w:keepNext/>
              <w:keepLines/>
              <w:jc w:val="center"/>
              <w:rPr>
                <w:szCs w:val="18"/>
              </w:rPr>
            </w:pPr>
            <w:r>
              <w:rPr>
                <w:szCs w:val="18"/>
              </w:rPr>
              <w:t>1</w:t>
            </w:r>
          </w:p>
        </w:tc>
      </w:tr>
      <w:tr w:rsidR="00622781" w14:paraId="043721C2" w14:textId="77777777" w:rsidTr="007E5A80">
        <w:tc>
          <w:tcPr>
            <w:tcW w:w="988" w:type="dxa"/>
            <w:vAlign w:val="center"/>
          </w:tcPr>
          <w:p w14:paraId="092C7F04" w14:textId="77777777" w:rsidR="00622781" w:rsidRPr="00337D7A" w:rsidRDefault="00622781" w:rsidP="007E5A80">
            <w:pPr>
              <w:keepNext/>
              <w:keepLines/>
              <w:jc w:val="center"/>
              <w:rPr>
                <w:szCs w:val="18"/>
              </w:rPr>
            </w:pPr>
            <w:r>
              <w:rPr>
                <w:szCs w:val="18"/>
              </w:rPr>
              <w:t>1.4</w:t>
            </w:r>
          </w:p>
        </w:tc>
        <w:tc>
          <w:tcPr>
            <w:tcW w:w="1701" w:type="dxa"/>
            <w:vAlign w:val="center"/>
          </w:tcPr>
          <w:p w14:paraId="0B117840" w14:textId="77777777" w:rsidR="00622781" w:rsidRDefault="00622781" w:rsidP="007E5A80">
            <w:pPr>
              <w:keepNext/>
              <w:keepLines/>
              <w:rPr>
                <w:szCs w:val="18"/>
              </w:rPr>
            </w:pPr>
            <w:r w:rsidRPr="00337D7A">
              <w:rPr>
                <w:szCs w:val="18"/>
              </w:rPr>
              <w:t>ACGU</w:t>
            </w:r>
          </w:p>
        </w:tc>
        <w:tc>
          <w:tcPr>
            <w:tcW w:w="4719" w:type="dxa"/>
            <w:vAlign w:val="center"/>
          </w:tcPr>
          <w:p w14:paraId="383EE0C7" w14:textId="67B996BD" w:rsidR="00622781" w:rsidRDefault="00622781" w:rsidP="007E5A80">
            <w:pPr>
              <w:keepNext/>
              <w:keepLines/>
              <w:rPr>
                <w:szCs w:val="18"/>
              </w:rPr>
            </w:pPr>
            <w:r w:rsidRPr="00337D7A">
              <w:rPr>
                <w:szCs w:val="18"/>
              </w:rPr>
              <w:t xml:space="preserve">480 GB M.2 </w:t>
            </w:r>
            <w:proofErr w:type="spellStart"/>
            <w:r w:rsidRPr="00337D7A">
              <w:rPr>
                <w:szCs w:val="18"/>
              </w:rPr>
              <w:t>Boot</w:t>
            </w:r>
            <w:proofErr w:type="spellEnd"/>
            <w:r w:rsidRPr="00337D7A">
              <w:rPr>
                <w:szCs w:val="18"/>
              </w:rPr>
              <w:t xml:space="preserve"> Drive Pair</w:t>
            </w:r>
          </w:p>
        </w:tc>
        <w:tc>
          <w:tcPr>
            <w:tcW w:w="1652" w:type="dxa"/>
            <w:vAlign w:val="center"/>
          </w:tcPr>
          <w:p w14:paraId="5F420E9A" w14:textId="77777777" w:rsidR="00622781" w:rsidRDefault="00622781" w:rsidP="007E5A80">
            <w:pPr>
              <w:keepNext/>
              <w:keepLines/>
              <w:jc w:val="center"/>
              <w:rPr>
                <w:szCs w:val="18"/>
              </w:rPr>
            </w:pPr>
            <w:r>
              <w:rPr>
                <w:szCs w:val="18"/>
              </w:rPr>
              <w:t>1</w:t>
            </w:r>
          </w:p>
        </w:tc>
      </w:tr>
      <w:tr w:rsidR="00622781" w14:paraId="66789CA9" w14:textId="77777777" w:rsidTr="007E5A80">
        <w:tc>
          <w:tcPr>
            <w:tcW w:w="988" w:type="dxa"/>
            <w:vAlign w:val="center"/>
          </w:tcPr>
          <w:p w14:paraId="5216D3F6" w14:textId="77777777" w:rsidR="00622781" w:rsidRPr="00337D7A" w:rsidRDefault="00622781" w:rsidP="007E5A80">
            <w:pPr>
              <w:keepNext/>
              <w:keepLines/>
              <w:jc w:val="center"/>
              <w:rPr>
                <w:szCs w:val="18"/>
              </w:rPr>
            </w:pPr>
            <w:r>
              <w:rPr>
                <w:szCs w:val="18"/>
              </w:rPr>
              <w:t>1.5</w:t>
            </w:r>
          </w:p>
        </w:tc>
        <w:tc>
          <w:tcPr>
            <w:tcW w:w="1701" w:type="dxa"/>
            <w:vAlign w:val="center"/>
          </w:tcPr>
          <w:p w14:paraId="50CE5EF4" w14:textId="77777777" w:rsidR="00622781" w:rsidRDefault="00622781" w:rsidP="007E5A80">
            <w:pPr>
              <w:keepNext/>
              <w:keepLines/>
              <w:rPr>
                <w:szCs w:val="18"/>
              </w:rPr>
            </w:pPr>
            <w:r w:rsidRPr="00337D7A">
              <w:rPr>
                <w:szCs w:val="18"/>
              </w:rPr>
              <w:t>ACHA</w:t>
            </w:r>
          </w:p>
        </w:tc>
        <w:tc>
          <w:tcPr>
            <w:tcW w:w="4719" w:type="dxa"/>
            <w:vAlign w:val="center"/>
          </w:tcPr>
          <w:p w14:paraId="181DA7A3" w14:textId="7650A84E" w:rsidR="00622781" w:rsidRDefault="00622781" w:rsidP="007E5A80">
            <w:pPr>
              <w:keepNext/>
              <w:keepLines/>
              <w:rPr>
                <w:szCs w:val="18"/>
              </w:rPr>
            </w:pPr>
            <w:r w:rsidRPr="00337D7A">
              <w:rPr>
                <w:szCs w:val="18"/>
              </w:rPr>
              <w:t>512</w:t>
            </w:r>
            <w:r>
              <w:rPr>
                <w:szCs w:val="18"/>
              </w:rPr>
              <w:t xml:space="preserve"> </w:t>
            </w:r>
            <w:r w:rsidRPr="00337D7A">
              <w:rPr>
                <w:szCs w:val="18"/>
              </w:rPr>
              <w:t xml:space="preserve">GB </w:t>
            </w:r>
            <w:proofErr w:type="spellStart"/>
            <w:r w:rsidRPr="00337D7A">
              <w:rPr>
                <w:szCs w:val="18"/>
              </w:rPr>
              <w:t>Cache</w:t>
            </w:r>
            <w:proofErr w:type="spellEnd"/>
            <w:r w:rsidRPr="00337D7A">
              <w:rPr>
                <w:szCs w:val="18"/>
              </w:rPr>
              <w:t xml:space="preserve"> Upgrade</w:t>
            </w:r>
          </w:p>
        </w:tc>
        <w:tc>
          <w:tcPr>
            <w:tcW w:w="1652" w:type="dxa"/>
            <w:vAlign w:val="center"/>
          </w:tcPr>
          <w:p w14:paraId="44B4C865" w14:textId="77777777" w:rsidR="00622781" w:rsidRDefault="00622781" w:rsidP="007E5A80">
            <w:pPr>
              <w:keepNext/>
              <w:keepLines/>
              <w:jc w:val="center"/>
              <w:rPr>
                <w:szCs w:val="18"/>
              </w:rPr>
            </w:pPr>
            <w:r>
              <w:rPr>
                <w:szCs w:val="18"/>
              </w:rPr>
              <w:t>1</w:t>
            </w:r>
          </w:p>
        </w:tc>
      </w:tr>
      <w:tr w:rsidR="00622781" w14:paraId="7E5EB5BB" w14:textId="77777777" w:rsidTr="007E5A80">
        <w:tc>
          <w:tcPr>
            <w:tcW w:w="988" w:type="dxa"/>
            <w:vAlign w:val="center"/>
          </w:tcPr>
          <w:p w14:paraId="3C1EF4A8" w14:textId="77777777" w:rsidR="00622781" w:rsidRDefault="00622781" w:rsidP="007E5A80">
            <w:pPr>
              <w:keepNext/>
              <w:keepLines/>
              <w:jc w:val="center"/>
              <w:rPr>
                <w:szCs w:val="18"/>
              </w:rPr>
            </w:pPr>
            <w:r>
              <w:rPr>
                <w:szCs w:val="18"/>
              </w:rPr>
              <w:t>1.6</w:t>
            </w:r>
          </w:p>
        </w:tc>
        <w:tc>
          <w:tcPr>
            <w:tcW w:w="1701" w:type="dxa"/>
            <w:vAlign w:val="center"/>
          </w:tcPr>
          <w:p w14:paraId="0A9CB524" w14:textId="77777777" w:rsidR="00622781" w:rsidRPr="00337D7A" w:rsidRDefault="00622781" w:rsidP="007E5A80">
            <w:pPr>
              <w:keepNext/>
              <w:keepLines/>
              <w:rPr>
                <w:szCs w:val="18"/>
              </w:rPr>
            </w:pPr>
            <w:r w:rsidRPr="00793513">
              <w:rPr>
                <w:szCs w:val="18"/>
              </w:rPr>
              <w:t>ACHC</w:t>
            </w:r>
          </w:p>
        </w:tc>
        <w:tc>
          <w:tcPr>
            <w:tcW w:w="4719" w:type="dxa"/>
            <w:vAlign w:val="center"/>
          </w:tcPr>
          <w:p w14:paraId="38DDCCF7" w14:textId="77777777" w:rsidR="00622781" w:rsidRPr="00337D7A" w:rsidRDefault="00622781" w:rsidP="007E5A80">
            <w:pPr>
              <w:keepNext/>
              <w:keepLines/>
              <w:rPr>
                <w:szCs w:val="18"/>
              </w:rPr>
            </w:pPr>
            <w:proofErr w:type="spellStart"/>
            <w:r w:rsidRPr="00793513">
              <w:rPr>
                <w:szCs w:val="18"/>
              </w:rPr>
              <w:t>Additional</w:t>
            </w:r>
            <w:proofErr w:type="spellEnd"/>
            <w:r w:rsidRPr="00793513">
              <w:rPr>
                <w:szCs w:val="18"/>
              </w:rPr>
              <w:t xml:space="preserve"> </w:t>
            </w:r>
            <w:proofErr w:type="gramStart"/>
            <w:r w:rsidRPr="00793513">
              <w:rPr>
                <w:szCs w:val="18"/>
              </w:rPr>
              <w:t>512GB</w:t>
            </w:r>
            <w:proofErr w:type="gramEnd"/>
            <w:r w:rsidRPr="00793513">
              <w:rPr>
                <w:szCs w:val="18"/>
              </w:rPr>
              <w:t xml:space="preserve"> </w:t>
            </w:r>
            <w:proofErr w:type="spellStart"/>
            <w:r w:rsidRPr="00793513">
              <w:rPr>
                <w:szCs w:val="18"/>
              </w:rPr>
              <w:t>Cache</w:t>
            </w:r>
            <w:proofErr w:type="spellEnd"/>
            <w:r w:rsidRPr="00793513">
              <w:rPr>
                <w:szCs w:val="18"/>
              </w:rPr>
              <w:t xml:space="preserve"> Upgrade</w:t>
            </w:r>
          </w:p>
        </w:tc>
        <w:tc>
          <w:tcPr>
            <w:tcW w:w="1652" w:type="dxa"/>
            <w:vAlign w:val="center"/>
          </w:tcPr>
          <w:p w14:paraId="300D03FC" w14:textId="77777777" w:rsidR="00622781" w:rsidRDefault="00622781" w:rsidP="007E5A80">
            <w:pPr>
              <w:keepNext/>
              <w:keepLines/>
              <w:jc w:val="center"/>
              <w:rPr>
                <w:szCs w:val="18"/>
              </w:rPr>
            </w:pPr>
            <w:r>
              <w:rPr>
                <w:szCs w:val="18"/>
              </w:rPr>
              <w:t>1</w:t>
            </w:r>
          </w:p>
        </w:tc>
      </w:tr>
      <w:tr w:rsidR="00622781" w14:paraId="3CFC5CF9" w14:textId="77777777" w:rsidTr="007E5A80">
        <w:tc>
          <w:tcPr>
            <w:tcW w:w="988" w:type="dxa"/>
          </w:tcPr>
          <w:p w14:paraId="126EC950" w14:textId="77777777" w:rsidR="00622781" w:rsidRPr="00337D7A" w:rsidRDefault="00622781" w:rsidP="007E5A80">
            <w:pPr>
              <w:keepNext/>
              <w:keepLines/>
              <w:jc w:val="center"/>
              <w:rPr>
                <w:szCs w:val="18"/>
              </w:rPr>
            </w:pPr>
            <w:r>
              <w:rPr>
                <w:szCs w:val="18"/>
              </w:rPr>
              <w:t>1.7</w:t>
            </w:r>
          </w:p>
        </w:tc>
        <w:tc>
          <w:tcPr>
            <w:tcW w:w="1701" w:type="dxa"/>
            <w:vAlign w:val="center"/>
          </w:tcPr>
          <w:p w14:paraId="3F2DB7A3" w14:textId="77777777" w:rsidR="00622781" w:rsidRDefault="00622781" w:rsidP="007E5A80">
            <w:pPr>
              <w:keepNext/>
              <w:keepLines/>
              <w:rPr>
                <w:szCs w:val="18"/>
              </w:rPr>
            </w:pPr>
            <w:r w:rsidRPr="00337D7A">
              <w:rPr>
                <w:szCs w:val="18"/>
              </w:rPr>
              <w:t>ADN1</w:t>
            </w:r>
          </w:p>
        </w:tc>
        <w:tc>
          <w:tcPr>
            <w:tcW w:w="4719" w:type="dxa"/>
            <w:vAlign w:val="center"/>
          </w:tcPr>
          <w:p w14:paraId="57EABD2F" w14:textId="77777777" w:rsidR="00622781" w:rsidRDefault="00622781" w:rsidP="007E5A80">
            <w:pPr>
              <w:keepNext/>
              <w:keepLines/>
              <w:rPr>
                <w:szCs w:val="18"/>
              </w:rPr>
            </w:pPr>
            <w:proofErr w:type="spellStart"/>
            <w:r w:rsidRPr="00337D7A">
              <w:rPr>
                <w:szCs w:val="18"/>
              </w:rPr>
              <w:t>Order</w:t>
            </w:r>
            <w:proofErr w:type="spellEnd"/>
            <w:r w:rsidRPr="00337D7A">
              <w:rPr>
                <w:szCs w:val="18"/>
              </w:rPr>
              <w:t xml:space="preserve"> Type 1 - CTO</w:t>
            </w:r>
          </w:p>
        </w:tc>
        <w:tc>
          <w:tcPr>
            <w:tcW w:w="1652" w:type="dxa"/>
            <w:vAlign w:val="center"/>
          </w:tcPr>
          <w:p w14:paraId="63688D2A" w14:textId="77777777" w:rsidR="00622781" w:rsidRDefault="00622781" w:rsidP="007E5A80">
            <w:pPr>
              <w:keepNext/>
              <w:keepLines/>
              <w:jc w:val="center"/>
              <w:rPr>
                <w:szCs w:val="18"/>
              </w:rPr>
            </w:pPr>
            <w:r>
              <w:rPr>
                <w:szCs w:val="18"/>
              </w:rPr>
              <w:t>1</w:t>
            </w:r>
          </w:p>
        </w:tc>
      </w:tr>
      <w:tr w:rsidR="00622781" w14:paraId="3819828E" w14:textId="77777777" w:rsidTr="007E5A80">
        <w:tc>
          <w:tcPr>
            <w:tcW w:w="988" w:type="dxa"/>
          </w:tcPr>
          <w:p w14:paraId="388798B2" w14:textId="77777777" w:rsidR="00622781" w:rsidRPr="00337D7A" w:rsidRDefault="00622781" w:rsidP="007E5A80">
            <w:pPr>
              <w:keepNext/>
              <w:keepLines/>
              <w:jc w:val="center"/>
              <w:rPr>
                <w:szCs w:val="18"/>
              </w:rPr>
            </w:pPr>
            <w:r>
              <w:rPr>
                <w:szCs w:val="18"/>
              </w:rPr>
              <w:t>1.8</w:t>
            </w:r>
          </w:p>
        </w:tc>
        <w:tc>
          <w:tcPr>
            <w:tcW w:w="1701" w:type="dxa"/>
            <w:vAlign w:val="center"/>
          </w:tcPr>
          <w:p w14:paraId="44F9AF25" w14:textId="77777777" w:rsidR="00622781" w:rsidRDefault="00622781" w:rsidP="007E5A80">
            <w:pPr>
              <w:keepNext/>
              <w:keepLines/>
              <w:rPr>
                <w:szCs w:val="18"/>
              </w:rPr>
            </w:pPr>
            <w:r w:rsidRPr="00337D7A">
              <w:rPr>
                <w:szCs w:val="18"/>
              </w:rPr>
              <w:t>AH1E</w:t>
            </w:r>
          </w:p>
        </w:tc>
        <w:tc>
          <w:tcPr>
            <w:tcW w:w="4719" w:type="dxa"/>
            <w:vAlign w:val="center"/>
          </w:tcPr>
          <w:p w14:paraId="39C0E70C" w14:textId="77777777" w:rsidR="00622781" w:rsidRDefault="00622781" w:rsidP="007E5A80">
            <w:pPr>
              <w:keepNext/>
              <w:keepLines/>
              <w:rPr>
                <w:szCs w:val="18"/>
              </w:rPr>
            </w:pPr>
            <w:r w:rsidRPr="00337D7A">
              <w:rPr>
                <w:szCs w:val="18"/>
              </w:rPr>
              <w:t xml:space="preserve">32 </w:t>
            </w:r>
            <w:proofErr w:type="spellStart"/>
            <w:r w:rsidRPr="00337D7A">
              <w:rPr>
                <w:szCs w:val="18"/>
              </w:rPr>
              <w:t>Gb</w:t>
            </w:r>
            <w:proofErr w:type="spellEnd"/>
            <w:r w:rsidRPr="00337D7A">
              <w:rPr>
                <w:szCs w:val="18"/>
              </w:rPr>
              <w:t xml:space="preserve"> FC 4 Port Adapter </w:t>
            </w:r>
            <w:proofErr w:type="spellStart"/>
            <w:r w:rsidRPr="00337D7A">
              <w:rPr>
                <w:szCs w:val="18"/>
              </w:rPr>
              <w:t>Cards</w:t>
            </w:r>
            <w:proofErr w:type="spellEnd"/>
          </w:p>
        </w:tc>
        <w:tc>
          <w:tcPr>
            <w:tcW w:w="1652" w:type="dxa"/>
            <w:vAlign w:val="center"/>
          </w:tcPr>
          <w:p w14:paraId="386C9193" w14:textId="77777777" w:rsidR="00622781" w:rsidRDefault="00622781" w:rsidP="007E5A80">
            <w:pPr>
              <w:keepNext/>
              <w:keepLines/>
              <w:jc w:val="center"/>
              <w:rPr>
                <w:szCs w:val="18"/>
              </w:rPr>
            </w:pPr>
            <w:r>
              <w:rPr>
                <w:szCs w:val="18"/>
              </w:rPr>
              <w:t>4</w:t>
            </w:r>
          </w:p>
        </w:tc>
      </w:tr>
      <w:tr w:rsidR="00622781" w14:paraId="5F4D66FF" w14:textId="77777777" w:rsidTr="007E5A80">
        <w:tc>
          <w:tcPr>
            <w:tcW w:w="988" w:type="dxa"/>
          </w:tcPr>
          <w:p w14:paraId="45B2465F" w14:textId="77777777" w:rsidR="00622781" w:rsidRPr="00337D7A" w:rsidRDefault="00622781" w:rsidP="007E5A80">
            <w:pPr>
              <w:keepNext/>
              <w:keepLines/>
              <w:jc w:val="center"/>
              <w:rPr>
                <w:szCs w:val="18"/>
              </w:rPr>
            </w:pPr>
            <w:r>
              <w:rPr>
                <w:szCs w:val="18"/>
              </w:rPr>
              <w:t>1.9</w:t>
            </w:r>
          </w:p>
        </w:tc>
        <w:tc>
          <w:tcPr>
            <w:tcW w:w="1701" w:type="dxa"/>
            <w:vAlign w:val="center"/>
          </w:tcPr>
          <w:p w14:paraId="63427A9C" w14:textId="77777777" w:rsidR="00622781" w:rsidRDefault="00622781" w:rsidP="007E5A80">
            <w:pPr>
              <w:keepNext/>
              <w:keepLines/>
              <w:rPr>
                <w:szCs w:val="18"/>
              </w:rPr>
            </w:pPr>
            <w:r w:rsidRPr="00337D7A">
              <w:rPr>
                <w:szCs w:val="18"/>
              </w:rPr>
              <w:t>AH91</w:t>
            </w:r>
          </w:p>
        </w:tc>
        <w:tc>
          <w:tcPr>
            <w:tcW w:w="4719" w:type="dxa"/>
            <w:vAlign w:val="center"/>
          </w:tcPr>
          <w:p w14:paraId="0866932F" w14:textId="77777777" w:rsidR="00622781" w:rsidRDefault="00622781" w:rsidP="007E5A80">
            <w:pPr>
              <w:keepNext/>
              <w:keepLines/>
              <w:rPr>
                <w:szCs w:val="18"/>
              </w:rPr>
            </w:pPr>
            <w:proofErr w:type="spellStart"/>
            <w:r w:rsidRPr="00337D7A">
              <w:rPr>
                <w:szCs w:val="18"/>
              </w:rPr>
              <w:t>N</w:t>
            </w:r>
            <w:r>
              <w:rPr>
                <w:szCs w:val="18"/>
              </w:rPr>
              <w:t>ó</w:t>
            </w:r>
            <w:r w:rsidRPr="00337D7A">
              <w:rPr>
                <w:szCs w:val="18"/>
              </w:rPr>
              <w:t>de</w:t>
            </w:r>
            <w:proofErr w:type="spellEnd"/>
            <w:r w:rsidRPr="00337D7A">
              <w:rPr>
                <w:szCs w:val="18"/>
              </w:rPr>
              <w:t xml:space="preserve"> Pair 1 </w:t>
            </w:r>
            <w:proofErr w:type="spellStart"/>
            <w:r w:rsidRPr="00337D7A">
              <w:rPr>
                <w:szCs w:val="18"/>
              </w:rPr>
              <w:t>Engine</w:t>
            </w:r>
            <w:proofErr w:type="spellEnd"/>
          </w:p>
        </w:tc>
        <w:tc>
          <w:tcPr>
            <w:tcW w:w="1652" w:type="dxa"/>
            <w:vAlign w:val="center"/>
          </w:tcPr>
          <w:p w14:paraId="622923C0" w14:textId="77777777" w:rsidR="00622781" w:rsidRDefault="00622781" w:rsidP="007E5A80">
            <w:pPr>
              <w:keepNext/>
              <w:keepLines/>
              <w:jc w:val="center"/>
              <w:rPr>
                <w:szCs w:val="18"/>
              </w:rPr>
            </w:pPr>
            <w:r>
              <w:rPr>
                <w:szCs w:val="18"/>
              </w:rPr>
              <w:t>1</w:t>
            </w:r>
          </w:p>
        </w:tc>
      </w:tr>
      <w:tr w:rsidR="00622781" w14:paraId="04A93F50" w14:textId="77777777" w:rsidTr="007E5A80">
        <w:tc>
          <w:tcPr>
            <w:tcW w:w="988" w:type="dxa"/>
          </w:tcPr>
          <w:p w14:paraId="37753435" w14:textId="77777777" w:rsidR="00622781" w:rsidRPr="00337D7A" w:rsidRDefault="00622781" w:rsidP="007E5A80">
            <w:pPr>
              <w:keepNext/>
              <w:keepLines/>
              <w:jc w:val="center"/>
              <w:rPr>
                <w:szCs w:val="18"/>
              </w:rPr>
            </w:pPr>
            <w:r>
              <w:rPr>
                <w:szCs w:val="18"/>
              </w:rPr>
              <w:t>1.10</w:t>
            </w:r>
          </w:p>
        </w:tc>
        <w:tc>
          <w:tcPr>
            <w:tcW w:w="1701" w:type="dxa"/>
            <w:vAlign w:val="center"/>
          </w:tcPr>
          <w:p w14:paraId="26609A7D" w14:textId="77777777" w:rsidR="00622781" w:rsidRDefault="00622781" w:rsidP="007E5A80">
            <w:pPr>
              <w:keepNext/>
              <w:keepLines/>
              <w:rPr>
                <w:szCs w:val="18"/>
              </w:rPr>
            </w:pPr>
            <w:r w:rsidRPr="00337D7A">
              <w:rPr>
                <w:szCs w:val="18"/>
              </w:rPr>
              <w:t>AKCH</w:t>
            </w:r>
          </w:p>
        </w:tc>
        <w:tc>
          <w:tcPr>
            <w:tcW w:w="4719" w:type="dxa"/>
            <w:vAlign w:val="center"/>
          </w:tcPr>
          <w:p w14:paraId="631380F4" w14:textId="55527CAF" w:rsidR="00622781" w:rsidRDefault="00622781" w:rsidP="007E5A80">
            <w:pPr>
              <w:keepNext/>
              <w:keepLines/>
              <w:rPr>
                <w:szCs w:val="18"/>
              </w:rPr>
            </w:pPr>
            <w:r w:rsidRPr="00337D7A">
              <w:rPr>
                <w:szCs w:val="18"/>
              </w:rPr>
              <w:t xml:space="preserve">Standard S&amp;H </w:t>
            </w:r>
            <w:proofErr w:type="spellStart"/>
            <w:r w:rsidRPr="00337D7A">
              <w:rPr>
                <w:szCs w:val="18"/>
              </w:rPr>
              <w:t>Indicator</w:t>
            </w:r>
            <w:proofErr w:type="spellEnd"/>
          </w:p>
        </w:tc>
        <w:tc>
          <w:tcPr>
            <w:tcW w:w="1652" w:type="dxa"/>
            <w:vAlign w:val="center"/>
          </w:tcPr>
          <w:p w14:paraId="7E46FEC8" w14:textId="77777777" w:rsidR="00622781" w:rsidRDefault="00622781" w:rsidP="007E5A80">
            <w:pPr>
              <w:keepNext/>
              <w:keepLines/>
              <w:jc w:val="center"/>
              <w:rPr>
                <w:szCs w:val="18"/>
              </w:rPr>
            </w:pPr>
            <w:r>
              <w:rPr>
                <w:szCs w:val="18"/>
              </w:rPr>
              <w:t>1</w:t>
            </w:r>
          </w:p>
        </w:tc>
      </w:tr>
    </w:tbl>
    <w:p w14:paraId="6BEE8EE4" w14:textId="77777777" w:rsidR="00622781" w:rsidRDefault="00622781" w:rsidP="00622781">
      <w:pPr>
        <w:widowControl w:val="0"/>
        <w:rPr>
          <w:szCs w:val="18"/>
        </w:rPr>
      </w:pPr>
    </w:p>
    <w:p w14:paraId="70E4FD01" w14:textId="73372F32" w:rsidR="00392D86" w:rsidRPr="00F950CE" w:rsidRDefault="00842BD2" w:rsidP="00392D86">
      <w:pPr>
        <w:rPr>
          <w:b/>
          <w:bCs/>
          <w:szCs w:val="18"/>
        </w:rPr>
      </w:pPr>
      <w:r>
        <w:rPr>
          <w:b/>
          <w:bCs/>
          <w:szCs w:val="18"/>
        </w:rPr>
        <w:t>Maintena</w:t>
      </w:r>
      <w:r w:rsidR="00BF2E32">
        <w:rPr>
          <w:b/>
          <w:bCs/>
          <w:szCs w:val="18"/>
        </w:rPr>
        <w:t>n</w:t>
      </w:r>
      <w:r>
        <w:rPr>
          <w:b/>
          <w:bCs/>
          <w:szCs w:val="18"/>
        </w:rPr>
        <w:t>ce pro poskytovaný HW</w:t>
      </w:r>
    </w:p>
    <w:p w14:paraId="39ECAED3" w14:textId="733230F8" w:rsidR="00622781" w:rsidRPr="00443558" w:rsidRDefault="00622781" w:rsidP="00622781">
      <w:pPr>
        <w:widowControl w:val="0"/>
        <w:rPr>
          <w:szCs w:val="18"/>
        </w:rPr>
      </w:pPr>
      <w:r w:rsidRPr="00443558">
        <w:rPr>
          <w:szCs w:val="18"/>
        </w:rPr>
        <w:t xml:space="preserve">Součástí dodávky je zajištění </w:t>
      </w:r>
      <w:r w:rsidR="00FF28D2" w:rsidRPr="00FF28D2">
        <w:rPr>
          <w:szCs w:val="18"/>
        </w:rPr>
        <w:t xml:space="preserve">Maintenance (HWMA) výrobce zařízení včetně Technické podpory zařízení </w:t>
      </w:r>
      <w:r w:rsidRPr="00443558">
        <w:rPr>
          <w:szCs w:val="18"/>
        </w:rPr>
        <w:t xml:space="preserve">na dobu </w:t>
      </w:r>
      <w:proofErr w:type="gramStart"/>
      <w:r w:rsidRPr="00443558">
        <w:rPr>
          <w:szCs w:val="18"/>
        </w:rPr>
        <w:t>5-ti</w:t>
      </w:r>
      <w:proofErr w:type="gramEnd"/>
      <w:r w:rsidRPr="00443558">
        <w:rPr>
          <w:szCs w:val="18"/>
        </w:rPr>
        <w:t xml:space="preserve"> let v režimu HWMA 5yr 7x24x24hr fix</w:t>
      </w:r>
      <w:r w:rsidR="007C4E70">
        <w:rPr>
          <w:szCs w:val="18"/>
        </w:rPr>
        <w:t xml:space="preserve">, tj. </w:t>
      </w:r>
      <w:r w:rsidR="007C4E70" w:rsidRPr="007C4E70">
        <w:rPr>
          <w:szCs w:val="18"/>
        </w:rPr>
        <w:t>oprav</w:t>
      </w:r>
      <w:r w:rsidR="005D0C8D">
        <w:rPr>
          <w:szCs w:val="18"/>
        </w:rPr>
        <w:t>a</w:t>
      </w:r>
      <w:r w:rsidR="007C4E70" w:rsidRPr="007C4E70">
        <w:rPr>
          <w:szCs w:val="18"/>
        </w:rPr>
        <w:t xml:space="preserve"> závady do 24 hodin od okamžiku nahlášení závady Objednatelem Poskytovateli v místě instalace HW</w:t>
      </w:r>
      <w:r>
        <w:rPr>
          <w:szCs w:val="18"/>
        </w:rPr>
        <w:t>.</w:t>
      </w:r>
    </w:p>
    <w:p w14:paraId="12642959" w14:textId="12E1F504" w:rsidR="00DF7344" w:rsidRPr="00F950CE" w:rsidRDefault="00B16131" w:rsidP="00DF7344">
      <w:pPr>
        <w:rPr>
          <w:b/>
          <w:bCs/>
          <w:szCs w:val="18"/>
        </w:rPr>
      </w:pPr>
      <w:r>
        <w:rPr>
          <w:b/>
          <w:bCs/>
          <w:szCs w:val="18"/>
        </w:rPr>
        <w:t>Další součásti</w:t>
      </w:r>
      <w:r w:rsidR="00DF7344">
        <w:rPr>
          <w:b/>
          <w:bCs/>
          <w:szCs w:val="18"/>
        </w:rPr>
        <w:t xml:space="preserve"> poskytovan</w:t>
      </w:r>
      <w:r>
        <w:rPr>
          <w:b/>
          <w:bCs/>
          <w:szCs w:val="18"/>
        </w:rPr>
        <w:t>ého</w:t>
      </w:r>
      <w:r w:rsidR="00DF7344">
        <w:rPr>
          <w:b/>
          <w:bCs/>
          <w:szCs w:val="18"/>
        </w:rPr>
        <w:t xml:space="preserve"> HW</w:t>
      </w:r>
    </w:p>
    <w:p w14:paraId="47FBA101" w14:textId="68949323" w:rsidR="00622781" w:rsidRPr="006677B7" w:rsidRDefault="00622781" w:rsidP="00622781">
      <w:pPr>
        <w:widowControl w:val="0"/>
        <w:rPr>
          <w:szCs w:val="18"/>
        </w:rPr>
      </w:pPr>
      <w:r w:rsidRPr="006677B7">
        <w:rPr>
          <w:szCs w:val="18"/>
        </w:rPr>
        <w:t>Dále je součástí dodávky:</w:t>
      </w:r>
    </w:p>
    <w:p w14:paraId="1B5C80BA" w14:textId="4BD116E3" w:rsidR="00622781" w:rsidRPr="00443558" w:rsidRDefault="00622781" w:rsidP="00D977DD">
      <w:pPr>
        <w:pStyle w:val="Odstavecseseznamem"/>
        <w:widowControl w:val="0"/>
        <w:numPr>
          <w:ilvl w:val="0"/>
          <w:numId w:val="8"/>
        </w:numPr>
        <w:rPr>
          <w:szCs w:val="18"/>
        </w:rPr>
      </w:pPr>
      <w:r w:rsidRPr="00443558">
        <w:rPr>
          <w:szCs w:val="18"/>
        </w:rPr>
        <w:t xml:space="preserve">Zajištění </w:t>
      </w:r>
      <w:r w:rsidR="00876615">
        <w:rPr>
          <w:szCs w:val="18"/>
        </w:rPr>
        <w:t>instalace</w:t>
      </w:r>
      <w:r w:rsidR="00960CFF">
        <w:rPr>
          <w:szCs w:val="18"/>
        </w:rPr>
        <w:t>, konfigurace</w:t>
      </w:r>
      <w:r w:rsidR="0085115A">
        <w:rPr>
          <w:szCs w:val="18"/>
        </w:rPr>
        <w:t xml:space="preserve"> a</w:t>
      </w:r>
      <w:r w:rsidRPr="00443558">
        <w:rPr>
          <w:szCs w:val="18"/>
        </w:rPr>
        <w:t xml:space="preserve"> migrace nového HW, nejlépe s provedením bez výpadku </w:t>
      </w:r>
      <w:r w:rsidRPr="00443558">
        <w:rPr>
          <w:szCs w:val="18"/>
        </w:rPr>
        <w:lastRenderedPageBreak/>
        <w:t>IS</w:t>
      </w:r>
      <w:r w:rsidR="00224B81">
        <w:rPr>
          <w:szCs w:val="18"/>
        </w:rPr>
        <w:t xml:space="preserve"> – detaily </w:t>
      </w:r>
      <w:r w:rsidR="00982403">
        <w:rPr>
          <w:szCs w:val="18"/>
        </w:rPr>
        <w:t>v Příloze č.2</w:t>
      </w:r>
      <w:r>
        <w:rPr>
          <w:szCs w:val="18"/>
        </w:rPr>
        <w:t>;</w:t>
      </w:r>
    </w:p>
    <w:p w14:paraId="46C31F7C" w14:textId="77777777" w:rsidR="00622781" w:rsidRPr="00832F06" w:rsidRDefault="00622781" w:rsidP="00D977DD">
      <w:pPr>
        <w:pStyle w:val="Odstavecseseznamem"/>
        <w:widowControl w:val="0"/>
        <w:numPr>
          <w:ilvl w:val="0"/>
          <w:numId w:val="8"/>
        </w:numPr>
        <w:rPr>
          <w:szCs w:val="18"/>
        </w:rPr>
      </w:pPr>
      <w:r w:rsidRPr="00443558">
        <w:rPr>
          <w:szCs w:val="18"/>
        </w:rPr>
        <w:t>A</w:t>
      </w:r>
      <w:r w:rsidRPr="00832F06">
        <w:rPr>
          <w:szCs w:val="18"/>
        </w:rPr>
        <w:t>ktualizace příslušné technické dokumentace.</w:t>
      </w:r>
    </w:p>
    <w:p w14:paraId="716C9DB5" w14:textId="77777777" w:rsidR="002B1E11" w:rsidRPr="002B1E11" w:rsidRDefault="002B1E11" w:rsidP="002B1E11">
      <w:pPr>
        <w:rPr>
          <w:highlight w:val="yellow"/>
        </w:rPr>
        <w:sectPr w:rsidR="002B1E11" w:rsidRPr="002B1E11" w:rsidSect="002A590A">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EE4C47" w14:paraId="2A2F619A" w14:textId="77777777" w:rsidTr="00962BEF">
        <w:tc>
          <w:tcPr>
            <w:tcW w:w="9088" w:type="dxa"/>
            <w:tcBorders>
              <w:top w:val="nil"/>
              <w:left w:val="nil"/>
              <w:bottom w:val="nil"/>
              <w:right w:val="nil"/>
            </w:tcBorders>
            <w:vAlign w:val="center"/>
            <w:hideMark/>
          </w:tcPr>
          <w:p w14:paraId="06D54F4D"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00962BEF">
              <w:rPr>
                <w:rFonts w:cs="Calibri"/>
                <w:b/>
                <w:bCs/>
                <w:color w:val="004666"/>
                <w:szCs w:val="18"/>
              </w:rPr>
              <w:t xml:space="preserve">na </w:t>
            </w:r>
            <w:r w:rsidR="00962BEF" w:rsidRPr="007F1537">
              <w:rPr>
                <w:rFonts w:cs="Calibri"/>
                <w:b/>
                <w:bCs/>
                <w:color w:val="004666"/>
                <w:szCs w:val="18"/>
              </w:rPr>
              <w:t xml:space="preserve">zajištění </w:t>
            </w:r>
            <w:r w:rsidR="00962BEF">
              <w:rPr>
                <w:rFonts w:cs="Calibri"/>
                <w:b/>
                <w:bCs/>
                <w:color w:val="004666"/>
                <w:szCs w:val="18"/>
              </w:rPr>
              <w:t>rozšíření clusterů</w:t>
            </w:r>
            <w:r w:rsidR="00962BEF" w:rsidRPr="007F1537">
              <w:rPr>
                <w:rFonts w:cs="Calibri"/>
                <w:b/>
                <w:bCs/>
                <w:color w:val="004666"/>
                <w:szCs w:val="18"/>
              </w:rPr>
              <w:t xml:space="preserve"> </w:t>
            </w:r>
          </w:p>
          <w:tbl>
            <w:tblPr>
              <w:tblW w:w="5009" w:type="pct"/>
              <w:tblBorders>
                <w:bottom w:val="single" w:sz="2" w:space="0" w:color="004666"/>
              </w:tblBorders>
              <w:tblLook w:val="04A0" w:firstRow="1" w:lastRow="0" w:firstColumn="1" w:lastColumn="0" w:noHBand="0" w:noVBand="1"/>
            </w:tblPr>
            <w:tblGrid>
              <w:gridCol w:w="2081"/>
              <w:gridCol w:w="7375"/>
            </w:tblGrid>
            <w:tr w:rsidR="0087134F" w14:paraId="75C25965" w14:textId="77777777" w:rsidTr="007E5A80">
              <w:tc>
                <w:tcPr>
                  <w:tcW w:w="2113" w:type="dxa"/>
                  <w:tcBorders>
                    <w:top w:val="nil"/>
                    <w:left w:val="nil"/>
                    <w:bottom w:val="single" w:sz="2" w:space="0" w:color="004666"/>
                    <w:right w:val="nil"/>
                  </w:tcBorders>
                  <w:vAlign w:val="center"/>
                  <w:hideMark/>
                </w:tcPr>
                <w:p w14:paraId="7E7288A9" w14:textId="77777777" w:rsidR="0087134F" w:rsidRPr="00AB63F4" w:rsidRDefault="0087134F" w:rsidP="0087134F">
                  <w:pPr>
                    <w:spacing w:before="120" w:after="120" w:line="240" w:lineRule="auto"/>
                    <w:rPr>
                      <w:rFonts w:cs="Calibri"/>
                      <w:b/>
                      <w:bCs/>
                      <w:color w:val="009EE0"/>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0AF1B53B" w14:textId="688B5D9C" w:rsidR="0087134F" w:rsidRPr="00AB63F4" w:rsidRDefault="0087134F" w:rsidP="0087134F">
                  <w:pPr>
                    <w:spacing w:before="120" w:after="120" w:line="240" w:lineRule="auto"/>
                    <w:rPr>
                      <w:rFonts w:cs="Calibri"/>
                      <w:b/>
                      <w:bCs/>
                      <w:color w:val="009EE0"/>
                      <w:szCs w:val="18"/>
                    </w:rPr>
                  </w:pPr>
                  <w:r>
                    <w:rPr>
                      <w:rFonts w:cs="Calibri"/>
                      <w:b/>
                      <w:bCs/>
                      <w:color w:val="009EE0"/>
                      <w:szCs w:val="18"/>
                    </w:rPr>
                    <w:t>Instalace</w:t>
                  </w:r>
                  <w:r w:rsidR="00272CA5">
                    <w:rPr>
                      <w:rFonts w:cs="Calibri"/>
                      <w:b/>
                      <w:bCs/>
                      <w:color w:val="009EE0"/>
                      <w:szCs w:val="18"/>
                    </w:rPr>
                    <w:t>,</w:t>
                  </w:r>
                  <w:r>
                    <w:rPr>
                      <w:rFonts w:cs="Calibri"/>
                      <w:b/>
                      <w:bCs/>
                      <w:color w:val="009EE0"/>
                      <w:szCs w:val="18"/>
                    </w:rPr>
                    <w:t xml:space="preserve"> konfigurace</w:t>
                  </w:r>
                  <w:r w:rsidR="00272CA5">
                    <w:rPr>
                      <w:rFonts w:cs="Calibri"/>
                      <w:b/>
                      <w:bCs/>
                      <w:color w:val="009EE0"/>
                      <w:szCs w:val="18"/>
                    </w:rPr>
                    <w:t xml:space="preserve"> a migrace</w:t>
                  </w:r>
                </w:p>
              </w:tc>
            </w:tr>
          </w:tbl>
          <w:p w14:paraId="3C0F1898" w14:textId="59F46B7A" w:rsidR="005224E7" w:rsidRDefault="005224E7">
            <w:pPr>
              <w:spacing w:before="120" w:after="120" w:line="240" w:lineRule="auto"/>
              <w:rPr>
                <w:rFonts w:cs="Calibri"/>
                <w:b/>
                <w:bCs/>
                <w:color w:val="004666"/>
                <w:szCs w:val="18"/>
              </w:rPr>
            </w:pPr>
          </w:p>
        </w:tc>
      </w:tr>
    </w:tbl>
    <w:p w14:paraId="0DE9E0E8" w14:textId="77777777" w:rsidR="002D6613" w:rsidRDefault="002D6613" w:rsidP="005224E7">
      <w:pPr>
        <w:rPr>
          <w:u w:val="single"/>
        </w:rPr>
      </w:pPr>
    </w:p>
    <w:p w14:paraId="2B18C871" w14:textId="491A382D" w:rsidR="005224E7" w:rsidRPr="0097531B" w:rsidRDefault="005224E7" w:rsidP="005224E7">
      <w:pPr>
        <w:rPr>
          <w:u w:val="single"/>
        </w:rPr>
      </w:pPr>
      <w:r w:rsidRPr="0097531B">
        <w:rPr>
          <w:u w:val="single"/>
        </w:rPr>
        <w:t>Minimální požadavky na instalaci</w:t>
      </w:r>
      <w:r>
        <w:rPr>
          <w:u w:val="single"/>
        </w:rPr>
        <w:t>,</w:t>
      </w:r>
      <w:r w:rsidRPr="0097531B">
        <w:rPr>
          <w:u w:val="single"/>
        </w:rPr>
        <w:t xml:space="preserve"> konfiguraci</w:t>
      </w:r>
      <w:r>
        <w:rPr>
          <w:u w:val="single"/>
        </w:rPr>
        <w:t xml:space="preserve"> a migraci</w:t>
      </w:r>
      <w:r w:rsidRPr="0097531B">
        <w:rPr>
          <w:u w:val="single"/>
        </w:rPr>
        <w:t>:</w:t>
      </w:r>
    </w:p>
    <w:p w14:paraId="70CE529E" w14:textId="77777777" w:rsidR="005224E7" w:rsidRPr="002242C4" w:rsidRDefault="005224E7" w:rsidP="00D977DD">
      <w:pPr>
        <w:pStyle w:val="Odstavecseseznamem"/>
        <w:numPr>
          <w:ilvl w:val="0"/>
          <w:numId w:val="7"/>
        </w:numPr>
        <w:spacing w:before="60" w:after="0"/>
        <w:ind w:left="714" w:hanging="357"/>
        <w:jc w:val="both"/>
        <w:rPr>
          <w:rFonts w:eastAsiaTheme="majorEastAsia" w:cstheme="majorBidi"/>
          <w:bCs/>
          <w:szCs w:val="18"/>
        </w:rPr>
      </w:pPr>
      <w:r>
        <w:rPr>
          <w:rFonts w:eastAsiaTheme="majorEastAsia" w:cstheme="majorBidi"/>
          <w:bCs/>
          <w:szCs w:val="18"/>
        </w:rPr>
        <w:t>d</w:t>
      </w:r>
      <w:r w:rsidRPr="002242C4">
        <w:rPr>
          <w:rFonts w:eastAsiaTheme="majorEastAsia" w:cstheme="majorBidi"/>
          <w:bCs/>
          <w:szCs w:val="18"/>
        </w:rPr>
        <w:t xml:space="preserve">oprava </w:t>
      </w:r>
      <w:r>
        <w:rPr>
          <w:rFonts w:eastAsiaTheme="majorEastAsia" w:cstheme="majorBidi"/>
          <w:bCs/>
          <w:szCs w:val="18"/>
        </w:rPr>
        <w:t>4</w:t>
      </w:r>
      <w:r w:rsidRPr="002242C4">
        <w:rPr>
          <w:rFonts w:eastAsiaTheme="majorEastAsia" w:cstheme="majorBidi"/>
          <w:bCs/>
          <w:szCs w:val="18"/>
        </w:rPr>
        <w:t xml:space="preserve"> ks provozních a 1 ks </w:t>
      </w:r>
      <w:proofErr w:type="spellStart"/>
      <w:r w:rsidRPr="002242C4">
        <w:rPr>
          <w:rFonts w:eastAsiaTheme="majorEastAsia" w:cstheme="majorBidi"/>
          <w:bCs/>
          <w:szCs w:val="18"/>
        </w:rPr>
        <w:t>spare</w:t>
      </w:r>
      <w:proofErr w:type="spellEnd"/>
      <w:r w:rsidRPr="002242C4">
        <w:rPr>
          <w:rFonts w:eastAsiaTheme="majorEastAsia" w:cstheme="majorBidi"/>
          <w:bCs/>
          <w:szCs w:val="18"/>
        </w:rPr>
        <w:t xml:space="preserve">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de</w:t>
      </w:r>
      <w:proofErr w:type="spellEnd"/>
      <w:r w:rsidRPr="002242C4">
        <w:rPr>
          <w:rFonts w:eastAsiaTheme="majorEastAsia" w:cstheme="majorBidi"/>
          <w:bCs/>
          <w:szCs w:val="18"/>
        </w:rPr>
        <w:t xml:space="preserve"> SV3 do lokality </w:t>
      </w:r>
      <w:r>
        <w:rPr>
          <w:rFonts w:eastAsiaTheme="majorEastAsia" w:cstheme="majorBidi"/>
          <w:bCs/>
          <w:szCs w:val="18"/>
        </w:rPr>
        <w:t xml:space="preserve">DC </w:t>
      </w:r>
      <w:r w:rsidRPr="002242C4">
        <w:rPr>
          <w:rFonts w:eastAsiaTheme="majorEastAsia" w:cstheme="majorBidi"/>
          <w:bCs/>
          <w:szCs w:val="18"/>
        </w:rPr>
        <w:t>Vápenka</w:t>
      </w:r>
      <w:r>
        <w:rPr>
          <w:rFonts w:eastAsiaTheme="majorEastAsia" w:cstheme="majorBidi"/>
          <w:bCs/>
          <w:szCs w:val="18"/>
        </w:rPr>
        <w:t>;</w:t>
      </w:r>
    </w:p>
    <w:p w14:paraId="364460C0" w14:textId="77777777" w:rsidR="005224E7" w:rsidRPr="00604215"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d</w:t>
      </w:r>
      <w:r w:rsidRPr="002242C4">
        <w:rPr>
          <w:rFonts w:eastAsiaTheme="majorEastAsia" w:cstheme="majorBidi"/>
          <w:bCs/>
          <w:szCs w:val="18"/>
        </w:rPr>
        <w:t xml:space="preserve">oprava </w:t>
      </w:r>
      <w:r>
        <w:rPr>
          <w:rFonts w:eastAsiaTheme="majorEastAsia" w:cstheme="majorBidi"/>
          <w:bCs/>
          <w:szCs w:val="18"/>
        </w:rPr>
        <w:t>4</w:t>
      </w:r>
      <w:r w:rsidRPr="002242C4">
        <w:rPr>
          <w:rFonts w:eastAsiaTheme="majorEastAsia" w:cstheme="majorBidi"/>
          <w:bCs/>
          <w:szCs w:val="18"/>
        </w:rPr>
        <w:t xml:space="preserve"> ks provozních a 1 ks </w:t>
      </w:r>
      <w:proofErr w:type="spellStart"/>
      <w:r w:rsidRPr="002242C4">
        <w:rPr>
          <w:rFonts w:eastAsiaTheme="majorEastAsia" w:cstheme="majorBidi"/>
          <w:bCs/>
          <w:szCs w:val="18"/>
        </w:rPr>
        <w:t>spare</w:t>
      </w:r>
      <w:proofErr w:type="spellEnd"/>
      <w:r w:rsidRPr="002242C4">
        <w:rPr>
          <w:rFonts w:eastAsiaTheme="majorEastAsia" w:cstheme="majorBidi"/>
          <w:bCs/>
          <w:szCs w:val="18"/>
        </w:rPr>
        <w:t xml:space="preserve">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de</w:t>
      </w:r>
      <w:proofErr w:type="spellEnd"/>
      <w:r w:rsidRPr="002242C4">
        <w:rPr>
          <w:rFonts w:eastAsiaTheme="majorEastAsia" w:cstheme="majorBidi"/>
          <w:bCs/>
          <w:szCs w:val="18"/>
        </w:rPr>
        <w:t xml:space="preserve"> SV3 do lokality </w:t>
      </w:r>
      <w:r>
        <w:rPr>
          <w:rFonts w:eastAsiaTheme="majorEastAsia" w:cstheme="majorBidi"/>
          <w:bCs/>
          <w:szCs w:val="18"/>
        </w:rPr>
        <w:t xml:space="preserve">DC </w:t>
      </w:r>
      <w:r w:rsidRPr="002242C4">
        <w:rPr>
          <w:rFonts w:eastAsiaTheme="majorEastAsia" w:cstheme="majorBidi"/>
          <w:bCs/>
          <w:szCs w:val="18"/>
        </w:rPr>
        <w:t>Zeleneč</w:t>
      </w:r>
      <w:r>
        <w:rPr>
          <w:rFonts w:eastAsiaTheme="majorEastAsia" w:cstheme="majorBidi"/>
          <w:bCs/>
          <w:szCs w:val="18"/>
        </w:rPr>
        <w:t>;</w:t>
      </w:r>
    </w:p>
    <w:p w14:paraId="78406835"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sidRPr="00604215">
        <w:rPr>
          <w:rFonts w:eastAsiaTheme="majorEastAsia" w:cstheme="majorBidi"/>
          <w:bCs/>
          <w:szCs w:val="18"/>
        </w:rPr>
        <w:t xml:space="preserve">provedení upgradu firmwaru na všech dodaných SVC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w:t>
      </w:r>
      <w:r w:rsidRPr="00604215">
        <w:rPr>
          <w:rFonts w:eastAsiaTheme="majorEastAsia" w:cstheme="majorBidi"/>
          <w:bCs/>
          <w:szCs w:val="18"/>
        </w:rPr>
        <w:t>ech</w:t>
      </w:r>
      <w:proofErr w:type="spellEnd"/>
      <w:r w:rsidRPr="00604215">
        <w:rPr>
          <w:rFonts w:eastAsiaTheme="majorEastAsia" w:cstheme="majorBidi"/>
          <w:bCs/>
          <w:szCs w:val="18"/>
        </w:rPr>
        <w:t xml:space="preserve"> na úroveň dohodnutou s</w:t>
      </w:r>
      <w:r w:rsidRPr="002242C4">
        <w:rPr>
          <w:rFonts w:eastAsiaTheme="majorEastAsia" w:cstheme="majorBidi"/>
          <w:bCs/>
          <w:szCs w:val="18"/>
        </w:rPr>
        <w:t> </w:t>
      </w:r>
      <w:r>
        <w:rPr>
          <w:rFonts w:eastAsiaTheme="majorEastAsia" w:cstheme="majorBidi"/>
          <w:bCs/>
          <w:szCs w:val="18"/>
        </w:rPr>
        <w:t>Objednatelem;</w:t>
      </w:r>
    </w:p>
    <w:p w14:paraId="59EABDE0"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f</w:t>
      </w:r>
      <w:r w:rsidRPr="002242C4">
        <w:rPr>
          <w:rFonts w:eastAsiaTheme="majorEastAsia" w:cstheme="majorBidi"/>
          <w:bCs/>
          <w:szCs w:val="18"/>
        </w:rPr>
        <w:t xml:space="preserve">yzická instalace </w:t>
      </w:r>
      <w:r>
        <w:rPr>
          <w:rFonts w:eastAsiaTheme="majorEastAsia" w:cstheme="majorBidi"/>
          <w:bCs/>
          <w:szCs w:val="18"/>
        </w:rPr>
        <w:t>4</w:t>
      </w:r>
      <w:r w:rsidRPr="002242C4">
        <w:rPr>
          <w:rFonts w:eastAsiaTheme="majorEastAsia" w:cstheme="majorBidi"/>
          <w:bCs/>
          <w:szCs w:val="18"/>
        </w:rPr>
        <w:t xml:space="preserve"> ks provozních a 1 ks </w:t>
      </w:r>
      <w:proofErr w:type="spellStart"/>
      <w:r w:rsidRPr="002242C4">
        <w:rPr>
          <w:rFonts w:eastAsiaTheme="majorEastAsia" w:cstheme="majorBidi"/>
          <w:bCs/>
          <w:szCs w:val="18"/>
        </w:rPr>
        <w:t>spare</w:t>
      </w:r>
      <w:proofErr w:type="spellEnd"/>
      <w:r w:rsidRPr="002242C4">
        <w:rPr>
          <w:rFonts w:eastAsiaTheme="majorEastAsia" w:cstheme="majorBidi"/>
          <w:bCs/>
          <w:szCs w:val="18"/>
        </w:rPr>
        <w:t xml:space="preserve">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de</w:t>
      </w:r>
      <w:proofErr w:type="spellEnd"/>
      <w:r w:rsidRPr="002242C4">
        <w:rPr>
          <w:rFonts w:eastAsiaTheme="majorEastAsia" w:cstheme="majorBidi"/>
          <w:bCs/>
          <w:szCs w:val="18"/>
        </w:rPr>
        <w:t xml:space="preserve"> do racku určeného </w:t>
      </w:r>
      <w:r>
        <w:rPr>
          <w:rFonts w:eastAsiaTheme="majorEastAsia" w:cstheme="majorBidi"/>
          <w:bCs/>
          <w:szCs w:val="18"/>
        </w:rPr>
        <w:t>Objednatelem</w:t>
      </w:r>
      <w:r w:rsidRPr="002242C4">
        <w:rPr>
          <w:rFonts w:eastAsiaTheme="majorEastAsia" w:cstheme="majorBidi"/>
          <w:bCs/>
          <w:szCs w:val="18"/>
        </w:rPr>
        <w:t xml:space="preserve"> v lokalitě </w:t>
      </w:r>
      <w:r>
        <w:rPr>
          <w:rFonts w:eastAsiaTheme="majorEastAsia" w:cstheme="majorBidi"/>
          <w:bCs/>
          <w:szCs w:val="18"/>
        </w:rPr>
        <w:t xml:space="preserve">DC </w:t>
      </w:r>
      <w:r w:rsidRPr="002242C4">
        <w:rPr>
          <w:rFonts w:eastAsiaTheme="majorEastAsia" w:cstheme="majorBidi"/>
          <w:bCs/>
          <w:szCs w:val="18"/>
        </w:rPr>
        <w:t>Vápenka</w:t>
      </w:r>
      <w:r>
        <w:rPr>
          <w:rFonts w:eastAsiaTheme="majorEastAsia" w:cstheme="majorBidi"/>
          <w:bCs/>
          <w:szCs w:val="18"/>
        </w:rPr>
        <w:t>;</w:t>
      </w:r>
    </w:p>
    <w:p w14:paraId="1D8327B3"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proofErr w:type="spellStart"/>
      <w:r>
        <w:rPr>
          <w:rFonts w:eastAsiaTheme="majorEastAsia" w:cstheme="majorBidi"/>
          <w:bCs/>
          <w:szCs w:val="18"/>
        </w:rPr>
        <w:t>z</w:t>
      </w:r>
      <w:r w:rsidRPr="002242C4">
        <w:rPr>
          <w:rFonts w:eastAsiaTheme="majorEastAsia" w:cstheme="majorBidi"/>
          <w:bCs/>
          <w:szCs w:val="18"/>
        </w:rPr>
        <w:t>akabelování</w:t>
      </w:r>
      <w:proofErr w:type="spellEnd"/>
      <w:r w:rsidRPr="002242C4">
        <w:rPr>
          <w:rFonts w:eastAsiaTheme="majorEastAsia" w:cstheme="majorBidi"/>
          <w:bCs/>
          <w:szCs w:val="18"/>
        </w:rPr>
        <w:t xml:space="preserve"> napájení, SAN, lan management</w:t>
      </w:r>
      <w:r>
        <w:rPr>
          <w:rFonts w:eastAsiaTheme="majorEastAsia" w:cstheme="majorBidi"/>
          <w:bCs/>
          <w:szCs w:val="18"/>
        </w:rPr>
        <w:t>;</w:t>
      </w:r>
    </w:p>
    <w:p w14:paraId="4B96B207"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m</w:t>
      </w:r>
      <w:r w:rsidRPr="002242C4">
        <w:rPr>
          <w:rFonts w:eastAsiaTheme="majorEastAsia" w:cstheme="majorBidi"/>
          <w:bCs/>
          <w:szCs w:val="18"/>
        </w:rPr>
        <w:t xml:space="preserve">igrace provozu ze stávajících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dů</w:t>
      </w:r>
      <w:proofErr w:type="spellEnd"/>
      <w:r w:rsidRPr="002242C4">
        <w:rPr>
          <w:rFonts w:eastAsiaTheme="majorEastAsia" w:cstheme="majorBidi"/>
          <w:bCs/>
          <w:szCs w:val="18"/>
        </w:rPr>
        <w:t xml:space="preserve"> na dodané </w:t>
      </w:r>
      <w:proofErr w:type="spellStart"/>
      <w:r w:rsidRPr="002242C4">
        <w:rPr>
          <w:rFonts w:eastAsiaTheme="majorEastAsia" w:cstheme="majorBidi"/>
          <w:bCs/>
          <w:szCs w:val="18"/>
        </w:rPr>
        <w:t>nódy</w:t>
      </w:r>
      <w:proofErr w:type="spellEnd"/>
      <w:r w:rsidRPr="002242C4">
        <w:rPr>
          <w:rFonts w:eastAsiaTheme="majorEastAsia" w:cstheme="majorBidi"/>
          <w:bCs/>
          <w:szCs w:val="18"/>
        </w:rPr>
        <w:t xml:space="preserve"> SV3</w:t>
      </w:r>
      <w:r>
        <w:rPr>
          <w:rFonts w:eastAsiaTheme="majorEastAsia" w:cstheme="majorBidi"/>
          <w:bCs/>
          <w:szCs w:val="18"/>
        </w:rPr>
        <w:t>;</w:t>
      </w:r>
    </w:p>
    <w:p w14:paraId="6F3892A1" w14:textId="76E2048D"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d</w:t>
      </w:r>
      <w:r w:rsidRPr="002242C4">
        <w:rPr>
          <w:rFonts w:eastAsiaTheme="majorEastAsia" w:cstheme="majorBidi"/>
          <w:bCs/>
          <w:szCs w:val="18"/>
        </w:rPr>
        <w:t xml:space="preserve">emontáž </w:t>
      </w:r>
      <w:r>
        <w:rPr>
          <w:rFonts w:eastAsiaTheme="majorEastAsia" w:cstheme="majorBidi"/>
          <w:bCs/>
          <w:szCs w:val="18"/>
        </w:rPr>
        <w:t xml:space="preserve">stávajících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dů</w:t>
      </w:r>
      <w:proofErr w:type="spellEnd"/>
      <w:r>
        <w:rPr>
          <w:rFonts w:eastAsiaTheme="majorEastAsia" w:cstheme="majorBidi"/>
          <w:bCs/>
          <w:szCs w:val="18"/>
        </w:rPr>
        <w:t>;</w:t>
      </w:r>
    </w:p>
    <w:p w14:paraId="685E0D64"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f</w:t>
      </w:r>
      <w:r w:rsidRPr="002242C4">
        <w:rPr>
          <w:rFonts w:eastAsiaTheme="majorEastAsia" w:cstheme="majorBidi"/>
          <w:bCs/>
          <w:szCs w:val="18"/>
        </w:rPr>
        <w:t xml:space="preserve">yzická instalace </w:t>
      </w:r>
      <w:r>
        <w:rPr>
          <w:rFonts w:eastAsiaTheme="majorEastAsia" w:cstheme="majorBidi"/>
          <w:bCs/>
          <w:szCs w:val="18"/>
        </w:rPr>
        <w:t>4</w:t>
      </w:r>
      <w:r w:rsidRPr="002242C4">
        <w:rPr>
          <w:rFonts w:eastAsiaTheme="majorEastAsia" w:cstheme="majorBidi"/>
          <w:bCs/>
          <w:szCs w:val="18"/>
        </w:rPr>
        <w:t xml:space="preserve"> ks provozních a 1 ks </w:t>
      </w:r>
      <w:proofErr w:type="spellStart"/>
      <w:r w:rsidRPr="002242C4">
        <w:rPr>
          <w:rFonts w:eastAsiaTheme="majorEastAsia" w:cstheme="majorBidi"/>
          <w:bCs/>
          <w:szCs w:val="18"/>
        </w:rPr>
        <w:t>spare</w:t>
      </w:r>
      <w:proofErr w:type="spellEnd"/>
      <w:r w:rsidRPr="002242C4">
        <w:rPr>
          <w:rFonts w:eastAsiaTheme="majorEastAsia" w:cstheme="majorBidi"/>
          <w:bCs/>
          <w:szCs w:val="18"/>
        </w:rPr>
        <w:t xml:space="preserve">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de</w:t>
      </w:r>
      <w:proofErr w:type="spellEnd"/>
      <w:r w:rsidRPr="002242C4">
        <w:rPr>
          <w:rFonts w:eastAsiaTheme="majorEastAsia" w:cstheme="majorBidi"/>
          <w:bCs/>
          <w:szCs w:val="18"/>
        </w:rPr>
        <w:t xml:space="preserve"> do racku určeného </w:t>
      </w:r>
      <w:r>
        <w:rPr>
          <w:rFonts w:eastAsiaTheme="majorEastAsia" w:cstheme="majorBidi"/>
          <w:bCs/>
          <w:szCs w:val="18"/>
        </w:rPr>
        <w:t>Objednatelem</w:t>
      </w:r>
      <w:r w:rsidRPr="002242C4">
        <w:rPr>
          <w:rFonts w:eastAsiaTheme="majorEastAsia" w:cstheme="majorBidi"/>
          <w:bCs/>
          <w:szCs w:val="18"/>
        </w:rPr>
        <w:t xml:space="preserve"> v lokalitě </w:t>
      </w:r>
      <w:r>
        <w:rPr>
          <w:rFonts w:eastAsiaTheme="majorEastAsia" w:cstheme="majorBidi"/>
          <w:bCs/>
          <w:szCs w:val="18"/>
        </w:rPr>
        <w:t xml:space="preserve">DC </w:t>
      </w:r>
      <w:r w:rsidRPr="002242C4">
        <w:rPr>
          <w:rFonts w:eastAsiaTheme="majorEastAsia" w:cstheme="majorBidi"/>
          <w:bCs/>
          <w:szCs w:val="18"/>
        </w:rPr>
        <w:t>Zeleneč</w:t>
      </w:r>
      <w:r>
        <w:rPr>
          <w:rFonts w:eastAsiaTheme="majorEastAsia" w:cstheme="majorBidi"/>
          <w:bCs/>
          <w:szCs w:val="18"/>
        </w:rPr>
        <w:t>;</w:t>
      </w:r>
    </w:p>
    <w:p w14:paraId="7B34AC89"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proofErr w:type="spellStart"/>
      <w:r>
        <w:rPr>
          <w:rFonts w:eastAsiaTheme="majorEastAsia" w:cstheme="majorBidi"/>
          <w:bCs/>
          <w:szCs w:val="18"/>
        </w:rPr>
        <w:t>z</w:t>
      </w:r>
      <w:r w:rsidRPr="002242C4">
        <w:rPr>
          <w:rFonts w:eastAsiaTheme="majorEastAsia" w:cstheme="majorBidi"/>
          <w:bCs/>
          <w:szCs w:val="18"/>
        </w:rPr>
        <w:t>akabelování</w:t>
      </w:r>
      <w:proofErr w:type="spellEnd"/>
      <w:r w:rsidRPr="002242C4">
        <w:rPr>
          <w:rFonts w:eastAsiaTheme="majorEastAsia" w:cstheme="majorBidi"/>
          <w:bCs/>
          <w:szCs w:val="18"/>
        </w:rPr>
        <w:t xml:space="preserve"> napájení, SAN, </w:t>
      </w:r>
      <w:r>
        <w:rPr>
          <w:rFonts w:eastAsiaTheme="majorEastAsia" w:cstheme="majorBidi"/>
          <w:bCs/>
          <w:szCs w:val="18"/>
        </w:rPr>
        <w:t>LAN</w:t>
      </w:r>
      <w:r w:rsidRPr="002242C4">
        <w:rPr>
          <w:rFonts w:eastAsiaTheme="majorEastAsia" w:cstheme="majorBidi"/>
          <w:bCs/>
          <w:szCs w:val="18"/>
        </w:rPr>
        <w:t xml:space="preserve"> management</w:t>
      </w:r>
      <w:r>
        <w:rPr>
          <w:rFonts w:eastAsiaTheme="majorEastAsia" w:cstheme="majorBidi"/>
          <w:bCs/>
          <w:szCs w:val="18"/>
        </w:rPr>
        <w:t>;</w:t>
      </w:r>
    </w:p>
    <w:p w14:paraId="2ECC0399"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m</w:t>
      </w:r>
      <w:r w:rsidRPr="002242C4">
        <w:rPr>
          <w:rFonts w:eastAsiaTheme="majorEastAsia" w:cstheme="majorBidi"/>
          <w:bCs/>
          <w:szCs w:val="18"/>
        </w:rPr>
        <w:t xml:space="preserve">igrace provozu ze stávajících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dů</w:t>
      </w:r>
      <w:proofErr w:type="spellEnd"/>
      <w:r w:rsidRPr="002242C4">
        <w:rPr>
          <w:rFonts w:eastAsiaTheme="majorEastAsia" w:cstheme="majorBidi"/>
          <w:bCs/>
          <w:szCs w:val="18"/>
        </w:rPr>
        <w:t xml:space="preserve"> na dodané </w:t>
      </w:r>
      <w:proofErr w:type="spellStart"/>
      <w:r w:rsidRPr="002242C4">
        <w:rPr>
          <w:rFonts w:eastAsiaTheme="majorEastAsia" w:cstheme="majorBidi"/>
          <w:bCs/>
          <w:szCs w:val="18"/>
        </w:rPr>
        <w:t>nódy</w:t>
      </w:r>
      <w:proofErr w:type="spellEnd"/>
      <w:r w:rsidRPr="002242C4">
        <w:rPr>
          <w:rFonts w:eastAsiaTheme="majorEastAsia" w:cstheme="majorBidi"/>
          <w:bCs/>
          <w:szCs w:val="18"/>
        </w:rPr>
        <w:t xml:space="preserve"> SV3</w:t>
      </w:r>
      <w:r>
        <w:rPr>
          <w:rFonts w:eastAsiaTheme="majorEastAsia" w:cstheme="majorBidi"/>
          <w:bCs/>
          <w:szCs w:val="18"/>
        </w:rPr>
        <w:t>;</w:t>
      </w:r>
    </w:p>
    <w:p w14:paraId="63B2D9EC"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d</w:t>
      </w:r>
      <w:r w:rsidRPr="002242C4">
        <w:rPr>
          <w:rFonts w:eastAsiaTheme="majorEastAsia" w:cstheme="majorBidi"/>
          <w:bCs/>
          <w:szCs w:val="18"/>
        </w:rPr>
        <w:t xml:space="preserve">emontáž </w:t>
      </w:r>
      <w:r>
        <w:rPr>
          <w:rFonts w:eastAsiaTheme="majorEastAsia" w:cstheme="majorBidi"/>
          <w:bCs/>
          <w:szCs w:val="18"/>
        </w:rPr>
        <w:t>stávajících</w:t>
      </w:r>
      <w:r w:rsidRPr="002242C4">
        <w:rPr>
          <w:rFonts w:eastAsiaTheme="majorEastAsia" w:cstheme="majorBidi"/>
          <w:bCs/>
          <w:szCs w:val="18"/>
        </w:rPr>
        <w:t xml:space="preserve"> </w:t>
      </w:r>
      <w:proofErr w:type="spellStart"/>
      <w:r w:rsidRPr="002242C4">
        <w:rPr>
          <w:rFonts w:eastAsiaTheme="majorEastAsia" w:cstheme="majorBidi"/>
          <w:bCs/>
          <w:szCs w:val="18"/>
        </w:rPr>
        <w:t>n</w:t>
      </w:r>
      <w:r>
        <w:rPr>
          <w:rFonts w:eastAsiaTheme="majorEastAsia" w:cstheme="majorBidi"/>
          <w:bCs/>
          <w:szCs w:val="18"/>
        </w:rPr>
        <w:t>ó</w:t>
      </w:r>
      <w:r w:rsidRPr="002242C4">
        <w:rPr>
          <w:rFonts w:eastAsiaTheme="majorEastAsia" w:cstheme="majorBidi"/>
          <w:bCs/>
          <w:szCs w:val="18"/>
        </w:rPr>
        <w:t>dů</w:t>
      </w:r>
      <w:proofErr w:type="spellEnd"/>
      <w:r>
        <w:rPr>
          <w:rFonts w:eastAsiaTheme="majorEastAsia" w:cstheme="majorBidi"/>
          <w:bCs/>
          <w:szCs w:val="18"/>
        </w:rPr>
        <w:t>;</w:t>
      </w:r>
    </w:p>
    <w:p w14:paraId="5F5F2EAA" w14:textId="77777777" w:rsidR="005224E7" w:rsidRPr="002242C4" w:rsidRDefault="005224E7" w:rsidP="00D977DD">
      <w:pPr>
        <w:numPr>
          <w:ilvl w:val="0"/>
          <w:numId w:val="9"/>
        </w:numPr>
        <w:spacing w:before="60" w:after="0"/>
        <w:ind w:left="714" w:hanging="357"/>
        <w:jc w:val="both"/>
        <w:rPr>
          <w:rFonts w:eastAsiaTheme="majorEastAsia" w:cstheme="majorBidi"/>
          <w:bCs/>
          <w:szCs w:val="18"/>
        </w:rPr>
      </w:pPr>
      <w:r>
        <w:rPr>
          <w:rFonts w:eastAsiaTheme="majorEastAsia" w:cstheme="majorBidi"/>
          <w:bCs/>
          <w:szCs w:val="18"/>
        </w:rPr>
        <w:t>d</w:t>
      </w:r>
      <w:r w:rsidRPr="002242C4">
        <w:rPr>
          <w:rFonts w:eastAsiaTheme="majorEastAsia" w:cstheme="majorBidi"/>
          <w:bCs/>
          <w:szCs w:val="18"/>
        </w:rPr>
        <w:t>alší konfigurační práce, které vyplynou během výše uvedených činností</w:t>
      </w:r>
      <w:r>
        <w:rPr>
          <w:rFonts w:eastAsiaTheme="majorEastAsia" w:cstheme="majorBidi"/>
          <w:bCs/>
          <w:szCs w:val="18"/>
        </w:rPr>
        <w:t>.</w:t>
      </w:r>
    </w:p>
    <w:p w14:paraId="23671F35" w14:textId="77777777" w:rsidR="0034593E" w:rsidRDefault="0034593E" w:rsidP="0034593E">
      <w:pPr>
        <w:rPr>
          <w:highlight w:val="yellow"/>
        </w:rPr>
      </w:pPr>
    </w:p>
    <w:p w14:paraId="15AECB00" w14:textId="77139A8C" w:rsidR="00697A32" w:rsidRDefault="00697A32">
      <w:pPr>
        <w:rPr>
          <w:highlight w:val="yellow"/>
        </w:rPr>
      </w:pPr>
      <w:r>
        <w:rPr>
          <w:highlight w:val="yellow"/>
        </w:rPr>
        <w:br w:type="page"/>
      </w:r>
    </w:p>
    <w:p w14:paraId="733C08AA" w14:textId="5E0508E8" w:rsidR="00147B11" w:rsidRDefault="00147B11" w:rsidP="00147B11">
      <w:pPr>
        <w:rPr>
          <w:rFonts w:cs="Calibri"/>
          <w:b/>
          <w:bCs/>
          <w:color w:val="004666"/>
          <w:szCs w:val="18"/>
        </w:rPr>
      </w:pPr>
      <w:r w:rsidRPr="007C0992">
        <w:rPr>
          <w:rFonts w:cs="Calibri"/>
          <w:b/>
          <w:bCs/>
          <w:color w:val="004666"/>
          <w:szCs w:val="18"/>
        </w:rPr>
        <w:lastRenderedPageBreak/>
        <w:t xml:space="preserve">Smlouva </w:t>
      </w:r>
      <w:r w:rsidR="006A5D78">
        <w:rPr>
          <w:rFonts w:cs="Calibri"/>
          <w:b/>
          <w:bCs/>
          <w:color w:val="004666"/>
          <w:szCs w:val="18"/>
        </w:rPr>
        <w:t xml:space="preserve">na </w:t>
      </w:r>
      <w:r w:rsidRPr="007F1537">
        <w:rPr>
          <w:rFonts w:cs="Calibri"/>
          <w:b/>
          <w:bCs/>
          <w:color w:val="004666"/>
          <w:szCs w:val="18"/>
        </w:rPr>
        <w:t xml:space="preserve">zajištění </w:t>
      </w:r>
      <w:r w:rsidR="006A5D78">
        <w:rPr>
          <w:rFonts w:cs="Calibri"/>
          <w:b/>
          <w:bCs/>
          <w:color w:val="004666"/>
          <w:szCs w:val="18"/>
        </w:rPr>
        <w:t>rozšíření clusterů</w:t>
      </w:r>
    </w:p>
    <w:tbl>
      <w:tblPr>
        <w:tblW w:w="5009" w:type="pct"/>
        <w:tblBorders>
          <w:bottom w:val="single" w:sz="2" w:space="0" w:color="004666"/>
        </w:tblBorders>
        <w:tblLook w:val="04A0" w:firstRow="1" w:lastRow="0" w:firstColumn="1" w:lastColumn="0" w:noHBand="0" w:noVBand="1"/>
      </w:tblPr>
      <w:tblGrid>
        <w:gridCol w:w="2113"/>
        <w:gridCol w:w="7542"/>
      </w:tblGrid>
      <w:tr w:rsidR="0054345B" w14:paraId="66517B3B" w14:textId="77777777" w:rsidTr="007E5A80">
        <w:tc>
          <w:tcPr>
            <w:tcW w:w="2113" w:type="dxa"/>
            <w:tcBorders>
              <w:top w:val="nil"/>
              <w:left w:val="nil"/>
              <w:bottom w:val="single" w:sz="2" w:space="0" w:color="004666"/>
              <w:right w:val="nil"/>
            </w:tcBorders>
            <w:vAlign w:val="center"/>
            <w:hideMark/>
          </w:tcPr>
          <w:p w14:paraId="51F7D524" w14:textId="77777777" w:rsidR="0054345B" w:rsidRPr="00AB63F4" w:rsidRDefault="0054345B" w:rsidP="007E5A80">
            <w:pPr>
              <w:spacing w:before="120" w:after="120" w:line="240" w:lineRule="auto"/>
              <w:rPr>
                <w:rFonts w:cs="Calibri"/>
                <w:b/>
                <w:bCs/>
                <w:color w:val="009EE0"/>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2BB8A9A9" w14:textId="77777777" w:rsidR="0054345B" w:rsidRPr="00AB63F4" w:rsidRDefault="0054345B" w:rsidP="007E5A80">
            <w:pPr>
              <w:spacing w:before="120" w:after="120" w:line="240" w:lineRule="auto"/>
              <w:rPr>
                <w:rFonts w:cs="Calibri"/>
                <w:b/>
                <w:bCs/>
                <w:color w:val="009EE0"/>
                <w:szCs w:val="18"/>
              </w:rPr>
            </w:pPr>
            <w:r>
              <w:rPr>
                <w:rFonts w:cs="Calibri"/>
                <w:b/>
                <w:bCs/>
                <w:color w:val="009EE0"/>
                <w:szCs w:val="18"/>
              </w:rPr>
              <w:t>Vzory dokumentů</w:t>
            </w:r>
          </w:p>
        </w:tc>
      </w:tr>
    </w:tbl>
    <w:p w14:paraId="5EF1612C" w14:textId="77777777" w:rsidR="0054345B" w:rsidRDefault="0054345B" w:rsidP="0054345B">
      <w:pPr>
        <w:rPr>
          <w:b/>
          <w:sz w:val="22"/>
        </w:rPr>
      </w:pPr>
    </w:p>
    <w:p w14:paraId="6D29AD8C" w14:textId="77777777" w:rsidR="0054345B" w:rsidRDefault="0054345B" w:rsidP="0054345B">
      <w:pPr>
        <w:ind w:left="680" w:hanging="680"/>
        <w:jc w:val="center"/>
        <w:rPr>
          <w:b/>
          <w:sz w:val="22"/>
        </w:rPr>
      </w:pPr>
      <w:r>
        <w:rPr>
          <w:b/>
          <w:sz w:val="22"/>
        </w:rPr>
        <w:t>AKCEPTAČNÍ</w:t>
      </w:r>
      <w:r w:rsidRPr="00A43998">
        <w:rPr>
          <w:b/>
          <w:sz w:val="22"/>
        </w:rPr>
        <w:t xml:space="preserve"> PROTOKOL</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58"/>
        <w:gridCol w:w="440"/>
        <w:gridCol w:w="783"/>
        <w:gridCol w:w="19"/>
        <w:gridCol w:w="934"/>
        <w:gridCol w:w="271"/>
        <w:gridCol w:w="1557"/>
        <w:gridCol w:w="314"/>
        <w:gridCol w:w="1475"/>
        <w:gridCol w:w="133"/>
        <w:gridCol w:w="1206"/>
        <w:gridCol w:w="444"/>
        <w:gridCol w:w="1694"/>
      </w:tblGrid>
      <w:tr w:rsidR="0054345B" w:rsidRPr="002153CC" w14:paraId="4C6D0A38" w14:textId="77777777" w:rsidTr="007E5A80">
        <w:trPr>
          <w:jc w:val="center"/>
        </w:trPr>
        <w:tc>
          <w:tcPr>
            <w:tcW w:w="4106" w:type="dxa"/>
            <w:gridSpan w:val="7"/>
            <w:shd w:val="clear" w:color="auto" w:fill="D9D9D9" w:themeFill="background1" w:themeFillShade="D9"/>
            <w:vAlign w:val="center"/>
          </w:tcPr>
          <w:p w14:paraId="72F3C885"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eastAsia="Times New Roman" w:hAnsi="Verdana"/>
                <w:b/>
                <w:sz w:val="18"/>
                <w:szCs w:val="18"/>
              </w:rPr>
              <w:t>Předávající</w:t>
            </w:r>
            <w:r w:rsidRPr="002153CC">
              <w:rPr>
                <w:rFonts w:ascii="Verdana" w:eastAsia="Times New Roman" w:hAnsi="Verdana"/>
                <w:b/>
                <w:sz w:val="18"/>
                <w:szCs w:val="18"/>
              </w:rPr>
              <w:tab/>
            </w:r>
          </w:p>
        </w:tc>
        <w:tc>
          <w:tcPr>
            <w:tcW w:w="4956" w:type="dxa"/>
            <w:gridSpan w:val="6"/>
            <w:shd w:val="clear" w:color="auto" w:fill="D9D9D9" w:themeFill="background1" w:themeFillShade="D9"/>
            <w:vAlign w:val="center"/>
          </w:tcPr>
          <w:p w14:paraId="0D608F7B" w14:textId="77777777" w:rsidR="0054345B" w:rsidRPr="002153CC" w:rsidRDefault="0054345B" w:rsidP="007E5A80">
            <w:pPr>
              <w:pStyle w:val="Nadpis1"/>
              <w:numPr>
                <w:ilvl w:val="0"/>
                <w:numId w:val="0"/>
              </w:numPr>
              <w:spacing w:before="120" w:line="240" w:lineRule="auto"/>
              <w:jc w:val="left"/>
              <w:rPr>
                <w:caps w:val="0"/>
                <w:sz w:val="18"/>
                <w:szCs w:val="18"/>
              </w:rPr>
            </w:pPr>
            <w:r>
              <w:rPr>
                <w:rFonts w:ascii="ZWAdobeF" w:hAnsi="ZWAdobeF" w:cs="ZWAdobeF"/>
                <w:b w:val="0"/>
                <w:caps w:val="0"/>
                <w:sz w:val="2"/>
                <w:szCs w:val="2"/>
              </w:rPr>
              <w:t>0B</w:t>
            </w:r>
            <w:r w:rsidRPr="002153CC">
              <w:rPr>
                <w:caps w:val="0"/>
                <w:sz w:val="18"/>
                <w:szCs w:val="18"/>
              </w:rPr>
              <w:t>Přebírající</w:t>
            </w:r>
          </w:p>
        </w:tc>
      </w:tr>
      <w:tr w:rsidR="0054345B" w:rsidRPr="002153CC" w14:paraId="3C22D2B3" w14:textId="77777777" w:rsidTr="007E5A80">
        <w:trPr>
          <w:jc w:val="center"/>
        </w:trPr>
        <w:tc>
          <w:tcPr>
            <w:tcW w:w="4106" w:type="dxa"/>
            <w:gridSpan w:val="7"/>
            <w:vAlign w:val="center"/>
          </w:tcPr>
          <w:p w14:paraId="0E2DEA74"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hAnsi="Verdana"/>
                <w:sz w:val="18"/>
                <w:szCs w:val="18"/>
                <w:highlight w:val="cyan"/>
              </w:rPr>
              <w:t>[BUDE DOPLNĚNO]</w:t>
            </w:r>
          </w:p>
        </w:tc>
        <w:tc>
          <w:tcPr>
            <w:tcW w:w="4956" w:type="dxa"/>
            <w:gridSpan w:val="6"/>
            <w:vAlign w:val="center"/>
          </w:tcPr>
          <w:p w14:paraId="12880B08" w14:textId="77777777" w:rsidR="0054345B" w:rsidRPr="002153CC" w:rsidRDefault="0054345B" w:rsidP="007E5A80">
            <w:pPr>
              <w:tabs>
                <w:tab w:val="left" w:pos="709"/>
                <w:tab w:val="left" w:pos="1388"/>
                <w:tab w:val="left" w:pos="2060"/>
              </w:tabs>
              <w:spacing w:before="60" w:after="60" w:line="240" w:lineRule="auto"/>
              <w:ind w:right="-142"/>
              <w:outlineLvl w:val="0"/>
              <w:rPr>
                <w:rFonts w:eastAsia="Calibri"/>
                <w:b/>
                <w:szCs w:val="18"/>
              </w:rPr>
            </w:pPr>
            <w:r w:rsidRPr="002153CC">
              <w:rPr>
                <w:rFonts w:eastAsia="Calibri"/>
                <w:b/>
                <w:szCs w:val="18"/>
              </w:rPr>
              <w:t>Státní pokladna Centrum sdílených služeb, s. p.</w:t>
            </w:r>
          </w:p>
          <w:p w14:paraId="081BEFCD" w14:textId="77777777" w:rsidR="0054345B" w:rsidRPr="002153CC" w:rsidRDefault="0054345B" w:rsidP="007E5A80">
            <w:pPr>
              <w:tabs>
                <w:tab w:val="left" w:pos="709"/>
              </w:tabs>
              <w:spacing w:before="60" w:after="60" w:line="240" w:lineRule="auto"/>
              <w:ind w:right="-142"/>
              <w:rPr>
                <w:rFonts w:eastAsia="Calibri"/>
                <w:szCs w:val="18"/>
              </w:rPr>
            </w:pPr>
            <w:r w:rsidRPr="002153CC">
              <w:rPr>
                <w:rFonts w:eastAsia="Calibri"/>
                <w:szCs w:val="18"/>
              </w:rPr>
              <w:t>Na Vápence 915</w:t>
            </w:r>
            <w:r w:rsidRPr="007C5C6B">
              <w:rPr>
                <w:rFonts w:eastAsia="Calibri"/>
                <w:szCs w:val="18"/>
                <w:lang w:val="pl-PL"/>
              </w:rPr>
              <w:t>/</w:t>
            </w:r>
            <w:r w:rsidRPr="002153CC">
              <w:rPr>
                <w:rFonts w:eastAsia="Calibri"/>
                <w:szCs w:val="18"/>
              </w:rPr>
              <w:t>14, 130 00 Praha 3</w:t>
            </w:r>
          </w:p>
          <w:p w14:paraId="32CB404C" w14:textId="77777777" w:rsidR="0054345B" w:rsidRPr="002153CC" w:rsidRDefault="0054345B" w:rsidP="007E5A80">
            <w:pPr>
              <w:tabs>
                <w:tab w:val="left" w:pos="709"/>
              </w:tabs>
              <w:spacing w:before="60" w:after="60" w:line="240" w:lineRule="auto"/>
              <w:ind w:right="-142"/>
              <w:rPr>
                <w:rFonts w:eastAsia="Calibri"/>
                <w:szCs w:val="18"/>
              </w:rPr>
            </w:pPr>
            <w:r w:rsidRPr="002153CC">
              <w:rPr>
                <w:rFonts w:eastAsia="Calibri"/>
                <w:szCs w:val="18"/>
              </w:rPr>
              <w:t>IČO: 03630919</w:t>
            </w:r>
            <w:r w:rsidRPr="002153CC">
              <w:rPr>
                <w:rFonts w:eastAsia="Calibri"/>
                <w:szCs w:val="18"/>
              </w:rPr>
              <w:tab/>
            </w:r>
          </w:p>
          <w:p w14:paraId="3A6E7F9F" w14:textId="77777777" w:rsidR="0054345B" w:rsidRPr="002153CC" w:rsidRDefault="0054345B" w:rsidP="007E5A80">
            <w:pPr>
              <w:pStyle w:val="Nadpis1"/>
              <w:numPr>
                <w:ilvl w:val="0"/>
                <w:numId w:val="0"/>
              </w:numPr>
              <w:spacing w:before="60" w:after="60" w:line="240" w:lineRule="auto"/>
              <w:jc w:val="left"/>
              <w:rPr>
                <w:b w:val="0"/>
                <w:caps w:val="0"/>
                <w:sz w:val="18"/>
                <w:szCs w:val="18"/>
              </w:rPr>
            </w:pPr>
            <w:r>
              <w:rPr>
                <w:rFonts w:ascii="ZWAdobeF" w:eastAsia="Calibri" w:hAnsi="ZWAdobeF" w:cs="ZWAdobeF"/>
                <w:b w:val="0"/>
                <w:sz w:val="2"/>
                <w:szCs w:val="2"/>
              </w:rPr>
              <w:t>1B</w:t>
            </w:r>
            <w:r w:rsidRPr="002153CC">
              <w:rPr>
                <w:rFonts w:eastAsia="Calibri"/>
                <w:b w:val="0"/>
                <w:sz w:val="18"/>
                <w:szCs w:val="18"/>
              </w:rPr>
              <w:t>DIČ: CZ03630919</w:t>
            </w:r>
          </w:p>
        </w:tc>
      </w:tr>
      <w:tr w:rsidR="0054345B" w:rsidRPr="002153CC" w14:paraId="391A6449" w14:textId="77777777" w:rsidTr="007E5A80">
        <w:trPr>
          <w:jc w:val="center"/>
        </w:trPr>
        <w:tc>
          <w:tcPr>
            <w:tcW w:w="1489" w:type="dxa"/>
            <w:gridSpan w:val="3"/>
            <w:vAlign w:val="center"/>
          </w:tcPr>
          <w:p w14:paraId="1EF9F200" w14:textId="77777777" w:rsidR="0054345B" w:rsidRPr="002153CC" w:rsidRDefault="0054345B" w:rsidP="007E5A80">
            <w:pPr>
              <w:pStyle w:val="4DNormln"/>
              <w:tabs>
                <w:tab w:val="left" w:pos="567"/>
              </w:tabs>
              <w:spacing w:before="120" w:after="120"/>
              <w:jc w:val="both"/>
              <w:rPr>
                <w:rFonts w:ascii="Verdana" w:hAnsi="Verdana"/>
                <w:sz w:val="18"/>
                <w:szCs w:val="18"/>
              </w:rPr>
            </w:pPr>
            <w:r w:rsidRPr="002153CC">
              <w:rPr>
                <w:rFonts w:ascii="Verdana" w:hAnsi="Verdana"/>
                <w:b/>
                <w:bCs/>
                <w:sz w:val="18"/>
                <w:szCs w:val="18"/>
              </w:rPr>
              <w:t>Předmět</w:t>
            </w:r>
          </w:p>
        </w:tc>
        <w:tc>
          <w:tcPr>
            <w:tcW w:w="7573" w:type="dxa"/>
            <w:gridSpan w:val="10"/>
            <w:vAlign w:val="center"/>
          </w:tcPr>
          <w:p w14:paraId="75C59CB9" w14:textId="77777777" w:rsidR="0054345B" w:rsidRPr="002153CC" w:rsidRDefault="0054345B" w:rsidP="007E5A80">
            <w:pPr>
              <w:pStyle w:val="Nadpis1"/>
              <w:numPr>
                <w:ilvl w:val="0"/>
                <w:numId w:val="0"/>
              </w:numPr>
              <w:spacing w:before="120" w:line="240" w:lineRule="auto"/>
              <w:jc w:val="left"/>
              <w:rPr>
                <w:b w:val="0"/>
                <w:sz w:val="18"/>
                <w:szCs w:val="18"/>
              </w:rPr>
            </w:pPr>
            <w:r>
              <w:rPr>
                <w:rFonts w:ascii="ZWAdobeF" w:hAnsi="ZWAdobeF" w:cs="ZWAdobeF"/>
                <w:b w:val="0"/>
                <w:caps w:val="0"/>
                <w:sz w:val="2"/>
                <w:szCs w:val="2"/>
              </w:rPr>
              <w:t>2B</w:t>
            </w:r>
            <w:r w:rsidRPr="002153CC">
              <w:rPr>
                <w:b w:val="0"/>
                <w:caps w:val="0"/>
                <w:sz w:val="18"/>
                <w:szCs w:val="18"/>
              </w:rPr>
              <w:t xml:space="preserve">Předmětem předání je </w:t>
            </w:r>
            <w:r w:rsidRPr="002153CC">
              <w:rPr>
                <w:b w:val="0"/>
                <w:sz w:val="18"/>
                <w:szCs w:val="18"/>
                <w:highlight w:val="cyan"/>
              </w:rPr>
              <w:t>[BUDE DOPLNĚNO]</w:t>
            </w:r>
            <w:r w:rsidRPr="002153CC">
              <w:rPr>
                <w:b w:val="0"/>
                <w:caps w:val="0"/>
                <w:sz w:val="18"/>
                <w:szCs w:val="18"/>
              </w:rPr>
              <w:t xml:space="preserve"> podle čl. </w:t>
            </w:r>
            <w:r w:rsidRPr="002153CC">
              <w:rPr>
                <w:b w:val="0"/>
                <w:sz w:val="18"/>
                <w:szCs w:val="18"/>
                <w:highlight w:val="cyan"/>
              </w:rPr>
              <w:t>[BUDE DOPLNĚNO]</w:t>
            </w:r>
          </w:p>
        </w:tc>
      </w:tr>
      <w:tr w:rsidR="0054345B" w:rsidRPr="002153CC" w14:paraId="62FD8B9C" w14:textId="77777777" w:rsidTr="007E5A80">
        <w:trPr>
          <w:jc w:val="center"/>
        </w:trPr>
        <w:tc>
          <w:tcPr>
            <w:tcW w:w="1489" w:type="dxa"/>
            <w:gridSpan w:val="3"/>
            <w:vAlign w:val="center"/>
          </w:tcPr>
          <w:p w14:paraId="448620C2"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Smlouva číslo</w:t>
            </w:r>
          </w:p>
        </w:tc>
        <w:tc>
          <w:tcPr>
            <w:tcW w:w="7573" w:type="dxa"/>
            <w:gridSpan w:val="10"/>
            <w:vAlign w:val="center"/>
          </w:tcPr>
          <w:p w14:paraId="68A37CF4" w14:textId="77777777" w:rsidR="0054345B" w:rsidRPr="002153CC" w:rsidRDefault="0054345B" w:rsidP="007E5A80">
            <w:pPr>
              <w:pStyle w:val="4DNormln"/>
              <w:spacing w:before="120" w:after="120"/>
              <w:rPr>
                <w:rFonts w:ascii="Verdana" w:hAnsi="Verdana"/>
                <w:sz w:val="18"/>
                <w:szCs w:val="18"/>
              </w:rPr>
            </w:pPr>
            <w:r w:rsidRPr="002153CC">
              <w:rPr>
                <w:rFonts w:ascii="Verdana" w:hAnsi="Verdana"/>
                <w:sz w:val="18"/>
                <w:szCs w:val="18"/>
                <w:highlight w:val="cyan"/>
              </w:rPr>
              <w:t>[BUDE DOPLNĚNO]</w:t>
            </w:r>
          </w:p>
        </w:tc>
      </w:tr>
      <w:tr w:rsidR="0054345B" w:rsidRPr="002153CC" w14:paraId="284A6C3C" w14:textId="77777777" w:rsidTr="007E5A80">
        <w:trPr>
          <w:jc w:val="center"/>
        </w:trPr>
        <w:tc>
          <w:tcPr>
            <w:tcW w:w="1489" w:type="dxa"/>
            <w:gridSpan w:val="3"/>
            <w:vAlign w:val="center"/>
          </w:tcPr>
          <w:p w14:paraId="33E1B9E3"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Vypracoval</w:t>
            </w:r>
          </w:p>
        </w:tc>
        <w:tc>
          <w:tcPr>
            <w:tcW w:w="4426" w:type="dxa"/>
            <w:gridSpan w:val="7"/>
            <w:vAlign w:val="center"/>
          </w:tcPr>
          <w:p w14:paraId="75A5079D" w14:textId="77777777" w:rsidR="0054345B" w:rsidRPr="00616987" w:rsidRDefault="0054345B" w:rsidP="007E5A80">
            <w:pPr>
              <w:pStyle w:val="4DNormln"/>
              <w:spacing w:before="120" w:after="120"/>
              <w:rPr>
                <w:rFonts w:ascii="Verdana" w:hAnsi="Verdana"/>
                <w:sz w:val="18"/>
                <w:szCs w:val="18"/>
              </w:rPr>
            </w:pPr>
            <w:r w:rsidRPr="00616987">
              <w:rPr>
                <w:rFonts w:ascii="Verdana" w:hAnsi="Verdana"/>
                <w:sz w:val="18"/>
                <w:szCs w:val="18"/>
                <w:highlight w:val="cyan"/>
              </w:rPr>
              <w:t>[BUDE DOPLNĚNO]</w:t>
            </w:r>
          </w:p>
        </w:tc>
        <w:tc>
          <w:tcPr>
            <w:tcW w:w="1135" w:type="dxa"/>
            <w:tcMar>
              <w:top w:w="28" w:type="dxa"/>
              <w:bottom w:w="28" w:type="dxa"/>
            </w:tcMar>
            <w:vAlign w:val="center"/>
          </w:tcPr>
          <w:p w14:paraId="5721FD2E"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c>
          <w:tcPr>
            <w:tcW w:w="2012" w:type="dxa"/>
            <w:gridSpan w:val="2"/>
            <w:vAlign w:val="center"/>
          </w:tcPr>
          <w:p w14:paraId="4DFAC452" w14:textId="77777777" w:rsidR="0054345B" w:rsidRPr="002153CC" w:rsidRDefault="0054345B" w:rsidP="007E5A80">
            <w:pPr>
              <w:pStyle w:val="4DNormln"/>
              <w:tabs>
                <w:tab w:val="left" w:pos="567"/>
              </w:tabs>
              <w:spacing w:before="120" w:after="120"/>
              <w:jc w:val="both"/>
              <w:rPr>
                <w:rFonts w:ascii="Verdana" w:hAnsi="Verdana"/>
                <w:sz w:val="18"/>
                <w:szCs w:val="18"/>
              </w:rPr>
            </w:pPr>
          </w:p>
        </w:tc>
      </w:tr>
      <w:tr w:rsidR="0054345B" w:rsidRPr="002153CC" w14:paraId="56A7F737" w14:textId="77777777" w:rsidTr="007E5A80">
        <w:trPr>
          <w:jc w:val="center"/>
        </w:trPr>
        <w:tc>
          <w:tcPr>
            <w:tcW w:w="9062" w:type="dxa"/>
            <w:gridSpan w:val="13"/>
            <w:shd w:val="clear" w:color="auto" w:fill="D9D9D9" w:themeFill="background1" w:themeFillShade="D9"/>
            <w:vAlign w:val="center"/>
          </w:tcPr>
          <w:p w14:paraId="4A270998"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 xml:space="preserve">Závěry předání </w:t>
            </w:r>
            <w:r w:rsidRPr="002153CC">
              <w:rPr>
                <w:rFonts w:ascii="Verdana" w:eastAsia="Times New Roman" w:hAnsi="Verdana"/>
                <w:i/>
                <w:sz w:val="18"/>
                <w:szCs w:val="18"/>
              </w:rPr>
              <w:t>(variantu výsledku označte křížkem)</w:t>
            </w:r>
          </w:p>
        </w:tc>
      </w:tr>
      <w:tr w:rsidR="0054345B" w:rsidRPr="002153CC" w14:paraId="78D13053" w14:textId="77777777" w:rsidTr="007E5A80">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EndPr/>
          <w:sdtContent>
            <w:tc>
              <w:tcPr>
                <w:tcW w:w="1507" w:type="dxa"/>
                <w:gridSpan w:val="4"/>
                <w:vAlign w:val="center"/>
              </w:tcPr>
              <w:p w14:paraId="04C3E182" w14:textId="77777777" w:rsidR="0054345B" w:rsidRPr="002153CC" w:rsidRDefault="0054345B" w:rsidP="007E5A80">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69AEFA9C" w14:textId="77777777" w:rsidR="0054345B" w:rsidRPr="002153CC" w:rsidRDefault="0054345B" w:rsidP="007E5A80">
            <w:pPr>
              <w:pStyle w:val="4DNormln"/>
              <w:spacing w:before="120" w:after="120"/>
              <w:rPr>
                <w:rFonts w:ascii="Verdana" w:hAnsi="Verdana"/>
                <w:b/>
                <w:bCs/>
                <w:color w:val="000000"/>
                <w:sz w:val="18"/>
                <w:szCs w:val="18"/>
              </w:rPr>
            </w:pPr>
            <w:r w:rsidRPr="002153CC">
              <w:rPr>
                <w:rFonts w:ascii="Verdana" w:hAnsi="Verdana"/>
                <w:sz w:val="18"/>
                <w:szCs w:val="18"/>
              </w:rPr>
              <w:t>akceptováno</w:t>
            </w:r>
          </w:p>
        </w:tc>
      </w:tr>
      <w:tr w:rsidR="0054345B" w:rsidRPr="002153CC" w14:paraId="207F9315" w14:textId="77777777" w:rsidTr="007E5A80">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EndPr/>
          <w:sdtContent>
            <w:tc>
              <w:tcPr>
                <w:tcW w:w="1507" w:type="dxa"/>
                <w:gridSpan w:val="4"/>
                <w:vAlign w:val="center"/>
              </w:tcPr>
              <w:p w14:paraId="0C37D173" w14:textId="77777777" w:rsidR="0054345B" w:rsidRPr="002153CC" w:rsidRDefault="0054345B" w:rsidP="007E5A80">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546ACE77" w14:textId="77777777" w:rsidR="0054345B" w:rsidRPr="002153CC" w:rsidRDefault="0054345B" w:rsidP="007E5A80">
            <w:pPr>
              <w:pStyle w:val="4DNormln"/>
              <w:spacing w:before="120" w:after="120"/>
              <w:rPr>
                <w:rFonts w:ascii="Verdana" w:hAnsi="Verdana"/>
                <w:b/>
                <w:bCs/>
                <w:color w:val="000000"/>
                <w:sz w:val="18"/>
                <w:szCs w:val="18"/>
              </w:rPr>
            </w:pPr>
            <w:r w:rsidRPr="002153CC">
              <w:rPr>
                <w:rFonts w:ascii="Verdana" w:hAnsi="Verdana"/>
                <w:sz w:val="18"/>
                <w:szCs w:val="18"/>
              </w:rPr>
              <w:t>akceptováno s výhradami</w:t>
            </w:r>
          </w:p>
        </w:tc>
      </w:tr>
      <w:tr w:rsidR="0054345B" w:rsidRPr="002153CC" w14:paraId="07357ADF" w14:textId="77777777" w:rsidTr="007E5A80">
        <w:trPr>
          <w:jc w:val="center"/>
        </w:trPr>
        <w:sdt>
          <w:sdtPr>
            <w:rPr>
              <w:rFonts w:ascii="Verdana" w:hAnsi="Verdana"/>
              <w:b/>
              <w:bCs/>
              <w:color w:val="000000"/>
              <w:sz w:val="18"/>
              <w:szCs w:val="18"/>
            </w:rPr>
            <w:id w:val="-460954503"/>
            <w14:checkbox>
              <w14:checked w14:val="0"/>
              <w14:checkedState w14:val="2612" w14:font="MS Gothic"/>
              <w14:uncheckedState w14:val="2610" w14:font="MS Gothic"/>
            </w14:checkbox>
          </w:sdtPr>
          <w:sdtEndPr/>
          <w:sdtContent>
            <w:tc>
              <w:tcPr>
                <w:tcW w:w="1507" w:type="dxa"/>
                <w:gridSpan w:val="4"/>
                <w:vAlign w:val="center"/>
              </w:tcPr>
              <w:p w14:paraId="593A5D07" w14:textId="77777777" w:rsidR="0054345B" w:rsidRPr="002153CC" w:rsidRDefault="0054345B" w:rsidP="007E5A80">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2F0FAB90" w14:textId="77777777" w:rsidR="0054345B" w:rsidRPr="002153CC" w:rsidRDefault="0054345B" w:rsidP="007E5A80">
            <w:pPr>
              <w:pStyle w:val="4DNormln"/>
              <w:spacing w:before="120" w:after="120"/>
              <w:rPr>
                <w:rFonts w:ascii="Verdana" w:hAnsi="Verdana"/>
                <w:sz w:val="18"/>
                <w:szCs w:val="18"/>
              </w:rPr>
            </w:pPr>
            <w:r w:rsidRPr="002153CC">
              <w:rPr>
                <w:rFonts w:ascii="Verdana" w:hAnsi="Verdana"/>
                <w:sz w:val="18"/>
                <w:szCs w:val="18"/>
              </w:rPr>
              <w:t>neakceptováno</w:t>
            </w:r>
          </w:p>
        </w:tc>
      </w:tr>
      <w:tr w:rsidR="0054345B" w:rsidRPr="002153CC" w14:paraId="00123E2D" w14:textId="77777777" w:rsidTr="007E5A80">
        <w:trPr>
          <w:jc w:val="center"/>
        </w:trPr>
        <w:tc>
          <w:tcPr>
            <w:tcW w:w="9062" w:type="dxa"/>
            <w:gridSpan w:val="13"/>
            <w:shd w:val="clear" w:color="auto" w:fill="D9D9D9" w:themeFill="background1" w:themeFillShade="D9"/>
            <w:vAlign w:val="center"/>
          </w:tcPr>
          <w:p w14:paraId="29B78266"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Popis výhrad</w:t>
            </w:r>
          </w:p>
        </w:tc>
      </w:tr>
      <w:tr w:rsidR="0054345B" w:rsidRPr="002153CC" w14:paraId="11167057" w14:textId="77777777" w:rsidTr="007E5A80">
        <w:trPr>
          <w:jc w:val="center"/>
        </w:trPr>
        <w:tc>
          <w:tcPr>
            <w:tcW w:w="338" w:type="dxa"/>
            <w:vAlign w:val="center"/>
          </w:tcPr>
          <w:p w14:paraId="56E803E3"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Č.</w:t>
            </w:r>
          </w:p>
        </w:tc>
        <w:tc>
          <w:tcPr>
            <w:tcW w:w="2303" w:type="dxa"/>
            <w:gridSpan w:val="5"/>
            <w:vAlign w:val="center"/>
          </w:tcPr>
          <w:p w14:paraId="1DE9F682"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Popis výhrady</w:t>
            </w:r>
          </w:p>
        </w:tc>
        <w:tc>
          <w:tcPr>
            <w:tcW w:w="3149" w:type="dxa"/>
            <w:gridSpan w:val="3"/>
            <w:vAlign w:val="center"/>
          </w:tcPr>
          <w:p w14:paraId="33A28E94"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Způsob odstranění</w:t>
            </w:r>
          </w:p>
        </w:tc>
        <w:tc>
          <w:tcPr>
            <w:tcW w:w="1678" w:type="dxa"/>
            <w:gridSpan w:val="3"/>
            <w:vAlign w:val="center"/>
          </w:tcPr>
          <w:p w14:paraId="7E4483D3"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Termín odstranění</w:t>
            </w:r>
          </w:p>
        </w:tc>
        <w:tc>
          <w:tcPr>
            <w:tcW w:w="1594" w:type="dxa"/>
            <w:vAlign w:val="center"/>
          </w:tcPr>
          <w:p w14:paraId="25824178"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Zodpovědná osoba</w:t>
            </w:r>
          </w:p>
        </w:tc>
      </w:tr>
      <w:tr w:rsidR="0054345B" w:rsidRPr="002153CC" w14:paraId="056460C4" w14:textId="77777777" w:rsidTr="007E5A80">
        <w:trPr>
          <w:jc w:val="center"/>
        </w:trPr>
        <w:tc>
          <w:tcPr>
            <w:tcW w:w="338" w:type="dxa"/>
            <w:vAlign w:val="center"/>
          </w:tcPr>
          <w:p w14:paraId="24E0619F" w14:textId="77777777" w:rsidR="0054345B" w:rsidRPr="002153CC" w:rsidRDefault="0054345B" w:rsidP="007E5A80">
            <w:pPr>
              <w:pStyle w:val="4DNormln"/>
              <w:spacing w:before="120" w:after="120"/>
              <w:jc w:val="center"/>
              <w:rPr>
                <w:rFonts w:ascii="Verdana" w:hAnsi="Verdana"/>
                <w:b/>
                <w:bCs/>
                <w:color w:val="000000"/>
                <w:sz w:val="18"/>
                <w:szCs w:val="18"/>
              </w:rPr>
            </w:pPr>
            <w:r w:rsidRPr="002153CC">
              <w:rPr>
                <w:rFonts w:ascii="Verdana" w:hAnsi="Verdana"/>
                <w:b/>
                <w:bCs/>
                <w:color w:val="000000"/>
                <w:sz w:val="18"/>
                <w:szCs w:val="18"/>
              </w:rPr>
              <w:t>1</w:t>
            </w:r>
          </w:p>
        </w:tc>
        <w:tc>
          <w:tcPr>
            <w:tcW w:w="2303" w:type="dxa"/>
            <w:gridSpan w:val="5"/>
            <w:vAlign w:val="center"/>
          </w:tcPr>
          <w:p w14:paraId="4F0DC416" w14:textId="77777777" w:rsidR="0054345B" w:rsidRPr="002153CC" w:rsidRDefault="0054345B" w:rsidP="007E5A80">
            <w:pPr>
              <w:pStyle w:val="4DNormln"/>
              <w:spacing w:before="120" w:after="120"/>
              <w:rPr>
                <w:rFonts w:ascii="Verdana" w:hAnsi="Verdana"/>
                <w:b/>
                <w:bCs/>
                <w:color w:val="000000"/>
                <w:sz w:val="18"/>
                <w:szCs w:val="18"/>
              </w:rPr>
            </w:pPr>
          </w:p>
        </w:tc>
        <w:tc>
          <w:tcPr>
            <w:tcW w:w="3149" w:type="dxa"/>
            <w:gridSpan w:val="3"/>
            <w:vAlign w:val="center"/>
          </w:tcPr>
          <w:p w14:paraId="5E286A17" w14:textId="77777777" w:rsidR="0054345B" w:rsidRPr="002153CC" w:rsidRDefault="0054345B" w:rsidP="007E5A80">
            <w:pPr>
              <w:pStyle w:val="4DNormln"/>
              <w:spacing w:before="120" w:after="120"/>
              <w:rPr>
                <w:rFonts w:ascii="Verdana" w:hAnsi="Verdana"/>
                <w:b/>
                <w:bCs/>
                <w:color w:val="000000"/>
                <w:sz w:val="18"/>
                <w:szCs w:val="18"/>
              </w:rPr>
            </w:pPr>
          </w:p>
        </w:tc>
        <w:tc>
          <w:tcPr>
            <w:tcW w:w="1678" w:type="dxa"/>
            <w:gridSpan w:val="3"/>
            <w:vAlign w:val="center"/>
          </w:tcPr>
          <w:p w14:paraId="4F7AD5FD" w14:textId="77777777" w:rsidR="0054345B" w:rsidRPr="002153CC" w:rsidRDefault="0054345B" w:rsidP="007E5A80">
            <w:pPr>
              <w:pStyle w:val="4DNormln"/>
              <w:tabs>
                <w:tab w:val="left" w:pos="567"/>
              </w:tabs>
              <w:spacing w:before="120" w:after="120"/>
              <w:jc w:val="both"/>
              <w:rPr>
                <w:rFonts w:ascii="Verdana" w:hAnsi="Verdana"/>
                <w:b/>
                <w:bCs/>
                <w:color w:val="000000"/>
                <w:sz w:val="18"/>
                <w:szCs w:val="18"/>
              </w:rPr>
            </w:pPr>
          </w:p>
        </w:tc>
        <w:tc>
          <w:tcPr>
            <w:tcW w:w="1594" w:type="dxa"/>
            <w:vAlign w:val="center"/>
          </w:tcPr>
          <w:p w14:paraId="36701863" w14:textId="77777777" w:rsidR="0054345B" w:rsidRPr="002153CC" w:rsidRDefault="0054345B" w:rsidP="007E5A80">
            <w:pPr>
              <w:pStyle w:val="4DNormln"/>
              <w:tabs>
                <w:tab w:val="left" w:pos="567"/>
              </w:tabs>
              <w:spacing w:before="120" w:after="120"/>
              <w:jc w:val="both"/>
              <w:rPr>
                <w:rFonts w:ascii="Verdana" w:hAnsi="Verdana"/>
                <w:b/>
                <w:bCs/>
                <w:color w:val="000000"/>
                <w:sz w:val="18"/>
                <w:szCs w:val="18"/>
              </w:rPr>
            </w:pPr>
          </w:p>
        </w:tc>
      </w:tr>
      <w:tr w:rsidR="0054345B" w:rsidRPr="002153CC" w14:paraId="2D2441E5" w14:textId="77777777" w:rsidTr="007E5A80">
        <w:trPr>
          <w:jc w:val="center"/>
        </w:trPr>
        <w:tc>
          <w:tcPr>
            <w:tcW w:w="9062" w:type="dxa"/>
            <w:gridSpan w:val="13"/>
            <w:shd w:val="clear" w:color="auto" w:fill="D9D9D9" w:themeFill="background1" w:themeFillShade="D9"/>
            <w:vAlign w:val="center"/>
          </w:tcPr>
          <w:p w14:paraId="76E0E7A9"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 xml:space="preserve">Seznam příloh </w:t>
            </w:r>
          </w:p>
        </w:tc>
      </w:tr>
      <w:tr w:rsidR="0054345B" w:rsidRPr="002153CC" w14:paraId="4C492F66" w14:textId="77777777" w:rsidTr="007E5A80">
        <w:trPr>
          <w:jc w:val="center"/>
        </w:trPr>
        <w:tc>
          <w:tcPr>
            <w:tcW w:w="752" w:type="dxa"/>
            <w:gridSpan w:val="2"/>
            <w:vAlign w:val="center"/>
          </w:tcPr>
          <w:p w14:paraId="6300BFA3"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Číslo:</w:t>
            </w:r>
          </w:p>
        </w:tc>
        <w:tc>
          <w:tcPr>
            <w:tcW w:w="8310" w:type="dxa"/>
            <w:gridSpan w:val="11"/>
            <w:vAlign w:val="center"/>
          </w:tcPr>
          <w:p w14:paraId="2EC4BB10"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Název přílohy</w:t>
            </w:r>
          </w:p>
        </w:tc>
      </w:tr>
      <w:tr w:rsidR="0054345B" w:rsidRPr="002153CC" w14:paraId="68ADBEE3" w14:textId="77777777" w:rsidTr="007E5A80">
        <w:trPr>
          <w:jc w:val="center"/>
        </w:trPr>
        <w:tc>
          <w:tcPr>
            <w:tcW w:w="752" w:type="dxa"/>
            <w:gridSpan w:val="2"/>
            <w:vAlign w:val="center"/>
          </w:tcPr>
          <w:p w14:paraId="2EAC4D0C" w14:textId="77777777" w:rsidR="0054345B" w:rsidRPr="002153CC" w:rsidRDefault="0054345B" w:rsidP="007E5A80">
            <w:pPr>
              <w:pStyle w:val="4DNormln"/>
              <w:spacing w:before="120" w:after="120"/>
              <w:jc w:val="center"/>
              <w:rPr>
                <w:rFonts w:ascii="Verdana" w:hAnsi="Verdana"/>
                <w:b/>
                <w:bCs/>
                <w:sz w:val="18"/>
                <w:szCs w:val="18"/>
              </w:rPr>
            </w:pPr>
            <w:r w:rsidRPr="002153CC">
              <w:rPr>
                <w:rFonts w:ascii="Verdana" w:hAnsi="Verdana"/>
                <w:b/>
                <w:bCs/>
                <w:sz w:val="18"/>
                <w:szCs w:val="18"/>
              </w:rPr>
              <w:t>1</w:t>
            </w:r>
          </w:p>
        </w:tc>
        <w:tc>
          <w:tcPr>
            <w:tcW w:w="8310" w:type="dxa"/>
            <w:gridSpan w:val="11"/>
            <w:vAlign w:val="center"/>
          </w:tcPr>
          <w:p w14:paraId="23149BE7" w14:textId="77777777" w:rsidR="0054345B" w:rsidRPr="002153CC" w:rsidRDefault="0054345B" w:rsidP="007E5A80">
            <w:pPr>
              <w:pStyle w:val="4DNormln"/>
              <w:spacing w:before="120" w:after="120"/>
              <w:rPr>
                <w:rFonts w:ascii="Verdana" w:hAnsi="Verdana"/>
                <w:sz w:val="18"/>
                <w:szCs w:val="18"/>
              </w:rPr>
            </w:pPr>
          </w:p>
        </w:tc>
      </w:tr>
      <w:tr w:rsidR="0054345B" w:rsidRPr="002153CC" w14:paraId="2BDF66AD" w14:textId="77777777" w:rsidTr="007E5A80">
        <w:trPr>
          <w:jc w:val="center"/>
        </w:trPr>
        <w:tc>
          <w:tcPr>
            <w:tcW w:w="9062" w:type="dxa"/>
            <w:gridSpan w:val="13"/>
            <w:shd w:val="clear" w:color="auto" w:fill="D9D9D9" w:themeFill="background1" w:themeFillShade="D9"/>
            <w:vAlign w:val="center"/>
          </w:tcPr>
          <w:p w14:paraId="6C80FFBA"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Schvalovací doložka</w:t>
            </w:r>
          </w:p>
        </w:tc>
      </w:tr>
      <w:tr w:rsidR="0054345B" w:rsidRPr="002153CC" w14:paraId="3A196C65" w14:textId="77777777" w:rsidTr="007E5A80">
        <w:trPr>
          <w:jc w:val="center"/>
        </w:trPr>
        <w:tc>
          <w:tcPr>
            <w:tcW w:w="2386" w:type="dxa"/>
            <w:gridSpan w:val="5"/>
            <w:vAlign w:val="center"/>
          </w:tcPr>
          <w:p w14:paraId="3472C81A"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Jméno a příjmení</w:t>
            </w:r>
          </w:p>
        </w:tc>
        <w:tc>
          <w:tcPr>
            <w:tcW w:w="2016" w:type="dxa"/>
            <w:gridSpan w:val="3"/>
            <w:vAlign w:val="center"/>
          </w:tcPr>
          <w:p w14:paraId="32734B56" w14:textId="77777777" w:rsidR="0054345B" w:rsidRPr="002153CC" w:rsidRDefault="0054345B" w:rsidP="007E5A80">
            <w:pPr>
              <w:pStyle w:val="4DNormln"/>
              <w:spacing w:before="120" w:after="120"/>
              <w:rPr>
                <w:rFonts w:ascii="Verdana" w:hAnsi="Verdana"/>
                <w:b/>
                <w:bCs/>
                <w:sz w:val="18"/>
                <w:szCs w:val="18"/>
              </w:rPr>
            </w:pPr>
            <w:r w:rsidRPr="002153CC">
              <w:rPr>
                <w:rFonts w:ascii="Verdana" w:hAnsi="Verdana"/>
                <w:b/>
                <w:bCs/>
                <w:sz w:val="18"/>
                <w:szCs w:val="18"/>
              </w:rPr>
              <w:t>Organizace</w:t>
            </w:r>
          </w:p>
        </w:tc>
        <w:tc>
          <w:tcPr>
            <w:tcW w:w="2648" w:type="dxa"/>
            <w:gridSpan w:val="3"/>
            <w:vAlign w:val="center"/>
          </w:tcPr>
          <w:p w14:paraId="0C1DFD6F"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Podpis</w:t>
            </w:r>
          </w:p>
        </w:tc>
        <w:tc>
          <w:tcPr>
            <w:tcW w:w="2012" w:type="dxa"/>
            <w:gridSpan w:val="2"/>
            <w:vAlign w:val="center"/>
          </w:tcPr>
          <w:p w14:paraId="759040F8" w14:textId="77777777" w:rsidR="0054345B" w:rsidRPr="002153CC" w:rsidRDefault="0054345B" w:rsidP="007E5A80">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r>
      <w:tr w:rsidR="0054345B" w:rsidRPr="002153CC" w14:paraId="2AF829E5" w14:textId="77777777" w:rsidTr="007E5A80">
        <w:trPr>
          <w:jc w:val="center"/>
        </w:trPr>
        <w:tc>
          <w:tcPr>
            <w:tcW w:w="2386" w:type="dxa"/>
            <w:gridSpan w:val="5"/>
            <w:vAlign w:val="center"/>
          </w:tcPr>
          <w:p w14:paraId="7C6033BB" w14:textId="77777777" w:rsidR="0054345B" w:rsidRPr="002153CC" w:rsidRDefault="0054345B" w:rsidP="007E5A80">
            <w:pPr>
              <w:pStyle w:val="4DNormln"/>
              <w:spacing w:before="120" w:after="120"/>
              <w:rPr>
                <w:rFonts w:ascii="Verdana" w:hAnsi="Verdana"/>
                <w:sz w:val="18"/>
                <w:szCs w:val="18"/>
              </w:rPr>
            </w:pPr>
          </w:p>
        </w:tc>
        <w:tc>
          <w:tcPr>
            <w:tcW w:w="2016" w:type="dxa"/>
            <w:gridSpan w:val="3"/>
            <w:vAlign w:val="center"/>
          </w:tcPr>
          <w:p w14:paraId="11AD935C" w14:textId="77777777" w:rsidR="0054345B" w:rsidRPr="002153CC" w:rsidRDefault="0054345B" w:rsidP="007E5A80">
            <w:pPr>
              <w:pStyle w:val="4DNormln"/>
              <w:tabs>
                <w:tab w:val="left" w:pos="567"/>
              </w:tabs>
              <w:spacing w:before="120" w:after="120"/>
              <w:jc w:val="both"/>
              <w:rPr>
                <w:rFonts w:ascii="Verdana" w:hAnsi="Verdana"/>
                <w:sz w:val="18"/>
                <w:szCs w:val="18"/>
              </w:rPr>
            </w:pPr>
            <w:r w:rsidRPr="002153CC">
              <w:rPr>
                <w:rFonts w:ascii="Verdana" w:hAnsi="Verdana"/>
                <w:sz w:val="18"/>
                <w:szCs w:val="18"/>
              </w:rPr>
              <w:t>SPCSS</w:t>
            </w:r>
          </w:p>
        </w:tc>
        <w:tc>
          <w:tcPr>
            <w:tcW w:w="2648" w:type="dxa"/>
            <w:gridSpan w:val="3"/>
            <w:vAlign w:val="center"/>
          </w:tcPr>
          <w:p w14:paraId="4AFADECD" w14:textId="77777777" w:rsidR="0054345B" w:rsidRPr="002153CC" w:rsidRDefault="0054345B" w:rsidP="007E5A80">
            <w:pPr>
              <w:pStyle w:val="4DNormln"/>
              <w:tabs>
                <w:tab w:val="left" w:pos="567"/>
              </w:tabs>
              <w:spacing w:before="120" w:after="120"/>
              <w:jc w:val="both"/>
              <w:rPr>
                <w:rFonts w:ascii="Verdana" w:hAnsi="Verdana"/>
                <w:sz w:val="18"/>
                <w:szCs w:val="18"/>
              </w:rPr>
            </w:pPr>
          </w:p>
        </w:tc>
        <w:tc>
          <w:tcPr>
            <w:tcW w:w="2012" w:type="dxa"/>
            <w:gridSpan w:val="2"/>
            <w:vAlign w:val="center"/>
          </w:tcPr>
          <w:p w14:paraId="15424906" w14:textId="77777777" w:rsidR="0054345B" w:rsidRPr="002153CC" w:rsidRDefault="0054345B" w:rsidP="007E5A80">
            <w:pPr>
              <w:pStyle w:val="4DNormln"/>
              <w:tabs>
                <w:tab w:val="left" w:pos="567"/>
              </w:tabs>
              <w:spacing w:before="120" w:after="120"/>
              <w:jc w:val="both"/>
              <w:rPr>
                <w:rFonts w:ascii="Verdana" w:hAnsi="Verdana"/>
                <w:sz w:val="18"/>
                <w:szCs w:val="18"/>
              </w:rPr>
            </w:pPr>
          </w:p>
        </w:tc>
      </w:tr>
      <w:tr w:rsidR="0054345B" w:rsidRPr="002153CC" w14:paraId="45AEEA81" w14:textId="77777777" w:rsidTr="007E5A80">
        <w:trPr>
          <w:jc w:val="center"/>
        </w:trPr>
        <w:tc>
          <w:tcPr>
            <w:tcW w:w="2386" w:type="dxa"/>
            <w:gridSpan w:val="5"/>
            <w:vAlign w:val="center"/>
          </w:tcPr>
          <w:p w14:paraId="0D6C114F" w14:textId="77777777" w:rsidR="0054345B" w:rsidRPr="002153CC" w:rsidRDefault="0054345B" w:rsidP="007E5A80">
            <w:pPr>
              <w:pStyle w:val="4DNormln"/>
              <w:spacing w:before="120" w:after="120"/>
              <w:rPr>
                <w:rFonts w:ascii="Verdana" w:hAnsi="Verdana"/>
                <w:sz w:val="18"/>
                <w:szCs w:val="18"/>
              </w:rPr>
            </w:pPr>
          </w:p>
        </w:tc>
        <w:tc>
          <w:tcPr>
            <w:tcW w:w="2016" w:type="dxa"/>
            <w:gridSpan w:val="3"/>
            <w:vAlign w:val="center"/>
          </w:tcPr>
          <w:p w14:paraId="05E0B262" w14:textId="0D52A569" w:rsidR="0054345B" w:rsidRPr="002153CC" w:rsidRDefault="0054345B" w:rsidP="007E5A80">
            <w:pPr>
              <w:pStyle w:val="4DNormln"/>
              <w:spacing w:before="120" w:after="120"/>
              <w:rPr>
                <w:rFonts w:ascii="Verdana" w:hAnsi="Verdana"/>
                <w:sz w:val="18"/>
                <w:szCs w:val="18"/>
              </w:rPr>
            </w:pPr>
            <w:r w:rsidRPr="002153CC">
              <w:rPr>
                <w:rFonts w:ascii="Verdana" w:hAnsi="Verdana"/>
                <w:sz w:val="18"/>
                <w:szCs w:val="18"/>
                <w:highlight w:val="cyan"/>
              </w:rPr>
              <w:t>[</w:t>
            </w:r>
            <w:r w:rsidR="00DF22C6">
              <w:rPr>
                <w:rFonts w:ascii="Verdana" w:hAnsi="Verdana"/>
                <w:sz w:val="18"/>
                <w:szCs w:val="18"/>
                <w:highlight w:val="cyan"/>
              </w:rPr>
              <w:t>Poskytovatel</w:t>
            </w:r>
            <w:r w:rsidRPr="002153CC">
              <w:rPr>
                <w:rFonts w:ascii="Verdana" w:hAnsi="Verdana"/>
                <w:sz w:val="18"/>
                <w:szCs w:val="18"/>
                <w:highlight w:val="cyan"/>
              </w:rPr>
              <w:t>]</w:t>
            </w:r>
          </w:p>
        </w:tc>
        <w:tc>
          <w:tcPr>
            <w:tcW w:w="2648" w:type="dxa"/>
            <w:gridSpan w:val="3"/>
            <w:vAlign w:val="center"/>
          </w:tcPr>
          <w:p w14:paraId="1828134D" w14:textId="77777777" w:rsidR="0054345B" w:rsidRPr="002153CC" w:rsidRDefault="0054345B" w:rsidP="007E5A80">
            <w:pPr>
              <w:pStyle w:val="4DNormln"/>
              <w:tabs>
                <w:tab w:val="left" w:pos="567"/>
              </w:tabs>
              <w:spacing w:before="120" w:after="120"/>
              <w:jc w:val="both"/>
              <w:rPr>
                <w:rFonts w:ascii="Verdana" w:hAnsi="Verdana"/>
                <w:sz w:val="18"/>
                <w:szCs w:val="18"/>
              </w:rPr>
            </w:pPr>
          </w:p>
        </w:tc>
        <w:tc>
          <w:tcPr>
            <w:tcW w:w="2012" w:type="dxa"/>
            <w:gridSpan w:val="2"/>
            <w:vAlign w:val="center"/>
          </w:tcPr>
          <w:p w14:paraId="54791F34" w14:textId="77777777" w:rsidR="0054345B" w:rsidRPr="002153CC" w:rsidRDefault="0054345B" w:rsidP="007E5A80">
            <w:pPr>
              <w:pStyle w:val="4DNormln"/>
              <w:tabs>
                <w:tab w:val="left" w:pos="567"/>
              </w:tabs>
              <w:spacing w:before="120" w:after="120"/>
              <w:jc w:val="both"/>
              <w:rPr>
                <w:rFonts w:ascii="Verdana" w:hAnsi="Verdana"/>
                <w:sz w:val="18"/>
                <w:szCs w:val="18"/>
              </w:rPr>
            </w:pPr>
          </w:p>
        </w:tc>
      </w:tr>
    </w:tbl>
    <w:p w14:paraId="62671DD2" w14:textId="77777777" w:rsidR="0054345B" w:rsidRDefault="0054345B" w:rsidP="0054345B">
      <w:pPr>
        <w:rPr>
          <w:rFonts w:eastAsia="Times New Roman" w:cs="Arial"/>
          <w:b/>
          <w:bCs/>
          <w:caps/>
          <w:sz w:val="20"/>
          <w:szCs w:val="20"/>
          <w:lang w:eastAsia="cs-CZ"/>
        </w:rPr>
      </w:pPr>
    </w:p>
    <w:p w14:paraId="0F79103F" w14:textId="215A26D7" w:rsidR="00697A32" w:rsidRDefault="00697A32">
      <w:pPr>
        <w:rPr>
          <w:rFonts w:cs="Calibri"/>
          <w:b/>
          <w:bCs/>
          <w:color w:val="004666"/>
          <w:szCs w:val="18"/>
        </w:rPr>
      </w:pPr>
      <w:r>
        <w:rPr>
          <w:rFonts w:cs="Calibri"/>
          <w:b/>
          <w:bCs/>
          <w:color w:val="004666"/>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B4D94" w14:paraId="07F2DFE7" w14:textId="77777777" w:rsidTr="007E5A80">
        <w:tc>
          <w:tcPr>
            <w:tcW w:w="9655" w:type="dxa"/>
            <w:gridSpan w:val="2"/>
            <w:tcBorders>
              <w:top w:val="nil"/>
              <w:left w:val="nil"/>
              <w:bottom w:val="nil"/>
              <w:right w:val="nil"/>
            </w:tcBorders>
            <w:vAlign w:val="center"/>
            <w:hideMark/>
          </w:tcPr>
          <w:p w14:paraId="526BADAE" w14:textId="77777777" w:rsidR="003B4D94" w:rsidRDefault="003B4D94" w:rsidP="007E5A80">
            <w:pPr>
              <w:spacing w:before="120"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na zajištění rozšíření clusterů</w:t>
            </w:r>
          </w:p>
        </w:tc>
      </w:tr>
      <w:tr w:rsidR="003B4D94" w14:paraId="733457CE" w14:textId="77777777" w:rsidTr="007E5A80">
        <w:tc>
          <w:tcPr>
            <w:tcW w:w="2113" w:type="dxa"/>
            <w:tcBorders>
              <w:top w:val="nil"/>
              <w:left w:val="nil"/>
              <w:bottom w:val="single" w:sz="2" w:space="0" w:color="004666"/>
              <w:right w:val="nil"/>
            </w:tcBorders>
            <w:vAlign w:val="center"/>
            <w:hideMark/>
          </w:tcPr>
          <w:p w14:paraId="0B8465C8" w14:textId="77777777" w:rsidR="003B4D94" w:rsidRPr="00AB63F4" w:rsidRDefault="003B4D94" w:rsidP="007E5A80">
            <w:pPr>
              <w:spacing w:before="120" w:after="120" w:line="240" w:lineRule="auto"/>
              <w:rPr>
                <w:rFonts w:cs="Calibri"/>
                <w:b/>
                <w:bCs/>
                <w:color w:val="009EE0"/>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71415A5B" w14:textId="77777777" w:rsidR="003B4D94" w:rsidRPr="00AB63F4" w:rsidRDefault="003B4D94" w:rsidP="007E5A80">
            <w:pPr>
              <w:spacing w:before="120" w:after="120" w:line="240" w:lineRule="auto"/>
              <w:rPr>
                <w:rFonts w:cs="Calibri"/>
                <w:b/>
                <w:bCs/>
                <w:color w:val="009EE0"/>
                <w:szCs w:val="18"/>
              </w:rPr>
            </w:pPr>
            <w:r>
              <w:rPr>
                <w:rFonts w:cs="Calibri"/>
                <w:b/>
                <w:bCs/>
                <w:color w:val="009EE0"/>
                <w:szCs w:val="18"/>
              </w:rPr>
              <w:t xml:space="preserve">Seznam poddodavatelů </w:t>
            </w:r>
          </w:p>
        </w:tc>
      </w:tr>
    </w:tbl>
    <w:p w14:paraId="3A1978B1" w14:textId="77777777" w:rsidR="003B4D94" w:rsidRDefault="003B4D94" w:rsidP="003B4D94">
      <w:pPr>
        <w:rPr>
          <w:szCs w:val="18"/>
          <w:highlight w:val="yellow"/>
        </w:rPr>
      </w:pPr>
    </w:p>
    <w:p w14:paraId="7E37E5B4" w14:textId="3418654B" w:rsidR="003B4D94" w:rsidRDefault="003B4D94" w:rsidP="003B4D94">
      <w:pPr>
        <w:rPr>
          <w:szCs w:val="18"/>
        </w:rPr>
      </w:pPr>
      <w:r w:rsidRPr="0014257B">
        <w:rPr>
          <w:szCs w:val="18"/>
          <w:highlight w:val="yellow"/>
        </w:rPr>
        <w:t>[</w:t>
      </w:r>
      <w:r>
        <w:rPr>
          <w:szCs w:val="18"/>
          <w:highlight w:val="yellow"/>
        </w:rPr>
        <w:t xml:space="preserve">dodavatel převezme vyplněnou přílohu č. </w:t>
      </w:r>
      <w:r w:rsidR="001730C2">
        <w:rPr>
          <w:szCs w:val="18"/>
          <w:highlight w:val="yellow"/>
        </w:rPr>
        <w:t>7</w:t>
      </w:r>
      <w:r>
        <w:rPr>
          <w:szCs w:val="18"/>
          <w:highlight w:val="yellow"/>
        </w:rPr>
        <w:t xml:space="preserve"> ze zadávací dokumentace</w:t>
      </w:r>
      <w:r w:rsidRPr="0014257B">
        <w:rPr>
          <w:szCs w:val="18"/>
          <w:highlight w:val="yellow"/>
        </w:rPr>
        <w:t>]</w:t>
      </w:r>
    </w:p>
    <w:p w14:paraId="15CE5A8A" w14:textId="77777777" w:rsidR="00CE0FC4" w:rsidRDefault="00CE0FC4" w:rsidP="003B4D94">
      <w:pPr>
        <w:rPr>
          <w:b/>
          <w:sz w:val="22"/>
        </w:rPr>
      </w:pPr>
    </w:p>
    <w:p w14:paraId="41742E90" w14:textId="77777777" w:rsidR="003B4D94" w:rsidRDefault="003B4D94" w:rsidP="003B4D94">
      <w:pPr>
        <w:sectPr w:rsidR="003B4D94" w:rsidSect="003B4D94">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3B4D94" w14:paraId="48CD6B51" w14:textId="77777777" w:rsidTr="00CE0FC4">
        <w:tc>
          <w:tcPr>
            <w:tcW w:w="9088" w:type="dxa"/>
            <w:gridSpan w:val="2"/>
            <w:tcBorders>
              <w:top w:val="nil"/>
              <w:left w:val="nil"/>
              <w:bottom w:val="nil"/>
              <w:right w:val="nil"/>
            </w:tcBorders>
            <w:vAlign w:val="center"/>
            <w:hideMark/>
          </w:tcPr>
          <w:p w14:paraId="1178226D" w14:textId="77777777" w:rsidR="003B4D94" w:rsidRDefault="003B4D94" w:rsidP="007E5A80">
            <w:pPr>
              <w:spacing w:before="120"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na zajištění rozšíření clusterů</w:t>
            </w:r>
          </w:p>
        </w:tc>
      </w:tr>
      <w:tr w:rsidR="003B4D94" w14:paraId="2F0A7947" w14:textId="77777777" w:rsidTr="00CE0FC4">
        <w:tc>
          <w:tcPr>
            <w:tcW w:w="2022" w:type="dxa"/>
            <w:tcBorders>
              <w:top w:val="nil"/>
              <w:left w:val="nil"/>
              <w:bottom w:val="single" w:sz="2" w:space="0" w:color="004666"/>
              <w:right w:val="nil"/>
            </w:tcBorders>
            <w:vAlign w:val="center"/>
            <w:hideMark/>
          </w:tcPr>
          <w:p w14:paraId="0B9AD35A" w14:textId="77777777" w:rsidR="003B4D94" w:rsidRPr="00AB63F4" w:rsidRDefault="003B4D94" w:rsidP="007E5A80">
            <w:pPr>
              <w:spacing w:before="120" w:after="120" w:line="240" w:lineRule="auto"/>
              <w:rPr>
                <w:rFonts w:cs="Calibri"/>
                <w:b/>
                <w:bCs/>
                <w:color w:val="009EE0"/>
                <w:szCs w:val="18"/>
              </w:rPr>
            </w:pPr>
            <w:r>
              <w:rPr>
                <w:rFonts w:cs="Calibri"/>
                <w:b/>
                <w:bCs/>
                <w:color w:val="009EE0"/>
                <w:szCs w:val="18"/>
              </w:rPr>
              <w:t>Příloha č. 5</w:t>
            </w:r>
          </w:p>
        </w:tc>
        <w:tc>
          <w:tcPr>
            <w:tcW w:w="7066" w:type="dxa"/>
            <w:tcBorders>
              <w:top w:val="nil"/>
              <w:left w:val="nil"/>
              <w:bottom w:val="single" w:sz="2" w:space="0" w:color="004666"/>
              <w:right w:val="nil"/>
            </w:tcBorders>
            <w:vAlign w:val="center"/>
            <w:hideMark/>
          </w:tcPr>
          <w:p w14:paraId="4DAADDC4" w14:textId="77777777" w:rsidR="003B4D94" w:rsidRPr="00AB63F4" w:rsidRDefault="003B4D94" w:rsidP="007E5A80">
            <w:pPr>
              <w:spacing w:before="120" w:after="120" w:line="240" w:lineRule="auto"/>
              <w:rPr>
                <w:rFonts w:cs="Calibri"/>
                <w:b/>
                <w:bCs/>
                <w:color w:val="009EE0"/>
                <w:szCs w:val="18"/>
              </w:rPr>
            </w:pPr>
            <w:r>
              <w:rPr>
                <w:rFonts w:cs="Calibri"/>
                <w:b/>
                <w:bCs/>
                <w:color w:val="009EE0"/>
                <w:szCs w:val="18"/>
              </w:rPr>
              <w:t>Specifikace ceny plnění</w:t>
            </w:r>
          </w:p>
        </w:tc>
      </w:tr>
    </w:tbl>
    <w:p w14:paraId="3FDB60CD" w14:textId="77777777" w:rsidR="003B4D94" w:rsidRDefault="003B4D94" w:rsidP="003B4D94">
      <w:pPr>
        <w:spacing w:after="0"/>
        <w:rPr>
          <w:szCs w:val="18"/>
          <w:highlight w:val="yellow"/>
        </w:rPr>
      </w:pPr>
    </w:p>
    <w:p w14:paraId="5E1D614D" w14:textId="77777777" w:rsidR="003B4D94" w:rsidRPr="00DA69BB" w:rsidRDefault="003B4D94" w:rsidP="003B4D94">
      <w:pPr>
        <w:spacing w:after="0"/>
        <w:rPr>
          <w:szCs w:val="18"/>
        </w:rPr>
      </w:pPr>
      <w:r w:rsidRPr="0014257B">
        <w:rPr>
          <w:szCs w:val="18"/>
          <w:highlight w:val="yellow"/>
        </w:rPr>
        <w:t>[</w:t>
      </w:r>
      <w:r>
        <w:rPr>
          <w:szCs w:val="18"/>
          <w:highlight w:val="yellow"/>
        </w:rPr>
        <w:t>dodavatel převezme vyplněnou přílohu č. 2 ze zadávací dokumentace</w:t>
      </w:r>
      <w:r w:rsidRPr="0014257B">
        <w:rPr>
          <w:szCs w:val="18"/>
          <w:highlight w:val="yellow"/>
        </w:rPr>
        <w:t>]</w:t>
      </w:r>
    </w:p>
    <w:p w14:paraId="282AB618" w14:textId="77777777" w:rsidR="003B4D94" w:rsidRDefault="003B4D94" w:rsidP="003B4D94">
      <w:pPr>
        <w:jc w:val="both"/>
      </w:pPr>
    </w:p>
    <w:p w14:paraId="09987882" w14:textId="3541199F" w:rsidR="00CE0FC4" w:rsidRDefault="00CE0FC4">
      <w:r>
        <w:br w:type="page"/>
      </w:r>
    </w:p>
    <w:p w14:paraId="6109E759" w14:textId="77777777" w:rsidR="0054345B" w:rsidRDefault="0054345B" w:rsidP="008152B5">
      <w:pPr>
        <w:spacing w:before="360" w:after="120"/>
        <w:jc w:val="both"/>
        <w:rPr>
          <w:rFonts w:cs="Arial"/>
          <w:b/>
          <w:bCs/>
          <w:color w:val="4F81BD" w:themeColor="accent1"/>
        </w:rPr>
      </w:pPr>
    </w:p>
    <w:p w14:paraId="612545C9" w14:textId="3840C1F3" w:rsidR="00147B11" w:rsidRPr="0059643A" w:rsidRDefault="003B4D94" w:rsidP="008152B5">
      <w:pPr>
        <w:spacing w:before="240"/>
        <w:jc w:val="both"/>
        <w:rPr>
          <w:rFonts w:cs="Calibri"/>
          <w:b/>
          <w:bCs/>
          <w:color w:val="004666"/>
          <w:szCs w:val="18"/>
        </w:rPr>
      </w:pPr>
      <w:r w:rsidRPr="000E0C32">
        <w:rPr>
          <w:rFonts w:cs="Calibri"/>
          <w:b/>
          <w:bCs/>
          <w:color w:val="004666"/>
          <w:szCs w:val="18"/>
        </w:rPr>
        <w:t xml:space="preserve">Smlouva </w:t>
      </w:r>
      <w:r>
        <w:rPr>
          <w:rFonts w:cs="Calibri"/>
          <w:b/>
          <w:bCs/>
          <w:color w:val="004666"/>
          <w:szCs w:val="18"/>
        </w:rPr>
        <w:t>na zajištění rozšíření clusterů</w:t>
      </w:r>
    </w:p>
    <w:tbl>
      <w:tblPr>
        <w:tblW w:w="5009" w:type="pct"/>
        <w:tblBorders>
          <w:bottom w:val="single" w:sz="2" w:space="0" w:color="004666"/>
        </w:tblBorders>
        <w:tblLook w:val="04A0" w:firstRow="1" w:lastRow="0" w:firstColumn="1" w:lastColumn="0" w:noHBand="0" w:noVBand="1"/>
      </w:tblPr>
      <w:tblGrid>
        <w:gridCol w:w="2020"/>
        <w:gridCol w:w="7068"/>
      </w:tblGrid>
      <w:tr w:rsidR="0059643A" w14:paraId="68EEA073" w14:textId="77777777" w:rsidTr="007E5A80">
        <w:tc>
          <w:tcPr>
            <w:tcW w:w="2113" w:type="dxa"/>
            <w:tcBorders>
              <w:top w:val="nil"/>
              <w:left w:val="nil"/>
              <w:bottom w:val="single" w:sz="2" w:space="0" w:color="004666"/>
              <w:right w:val="nil"/>
            </w:tcBorders>
            <w:vAlign w:val="center"/>
            <w:hideMark/>
          </w:tcPr>
          <w:p w14:paraId="2BBD6188" w14:textId="5C411D9F" w:rsidR="0059643A" w:rsidRPr="00AB63F4" w:rsidRDefault="0059643A" w:rsidP="007E5A80">
            <w:pPr>
              <w:spacing w:before="120" w:after="120" w:line="240" w:lineRule="auto"/>
              <w:rPr>
                <w:rFonts w:cs="Calibri"/>
                <w:b/>
                <w:bCs/>
                <w:color w:val="009EE0"/>
                <w:szCs w:val="18"/>
              </w:rPr>
            </w:pPr>
            <w:r>
              <w:rPr>
                <w:rFonts w:cs="Calibri"/>
                <w:b/>
                <w:bCs/>
                <w:color w:val="009EE0"/>
                <w:szCs w:val="18"/>
              </w:rPr>
              <w:t xml:space="preserve">Příloha č. </w:t>
            </w:r>
            <w:r w:rsidR="002D6613">
              <w:rPr>
                <w:rFonts w:cs="Calibri"/>
                <w:b/>
                <w:bCs/>
                <w:color w:val="009EE0"/>
                <w:szCs w:val="18"/>
              </w:rPr>
              <w:t>6</w:t>
            </w:r>
          </w:p>
        </w:tc>
        <w:tc>
          <w:tcPr>
            <w:tcW w:w="7542" w:type="dxa"/>
            <w:tcBorders>
              <w:top w:val="nil"/>
              <w:left w:val="nil"/>
              <w:bottom w:val="single" w:sz="2" w:space="0" w:color="004666"/>
              <w:right w:val="nil"/>
            </w:tcBorders>
            <w:vAlign w:val="center"/>
            <w:hideMark/>
          </w:tcPr>
          <w:p w14:paraId="1B53624B" w14:textId="5C53F822" w:rsidR="0059643A" w:rsidRPr="00AB63F4" w:rsidRDefault="0059643A" w:rsidP="007E5A80">
            <w:pPr>
              <w:spacing w:before="120" w:after="120" w:line="240" w:lineRule="auto"/>
              <w:rPr>
                <w:rFonts w:cs="Calibri"/>
                <w:b/>
                <w:bCs/>
                <w:color w:val="009EE0"/>
                <w:szCs w:val="18"/>
              </w:rPr>
            </w:pPr>
            <w:r>
              <w:rPr>
                <w:rFonts w:cs="Calibri"/>
                <w:b/>
                <w:bCs/>
                <w:color w:val="009EE0"/>
                <w:szCs w:val="18"/>
              </w:rPr>
              <w:t>Kybernetické požadavky</w:t>
            </w:r>
          </w:p>
        </w:tc>
      </w:tr>
    </w:tbl>
    <w:p w14:paraId="258E4760" w14:textId="77777777" w:rsidR="0059643A" w:rsidRDefault="0059643A" w:rsidP="0059643A">
      <w:pPr>
        <w:spacing w:after="0"/>
        <w:rPr>
          <w:szCs w:val="18"/>
          <w:highlight w:val="yellow"/>
        </w:rPr>
      </w:pPr>
    </w:p>
    <w:p w14:paraId="2BB08D4F" w14:textId="77777777" w:rsidR="000369D0" w:rsidRPr="000369D0" w:rsidRDefault="000369D0" w:rsidP="00D977DD">
      <w:pPr>
        <w:pStyle w:val="Nadpis1"/>
        <w:numPr>
          <w:ilvl w:val="0"/>
          <w:numId w:val="10"/>
        </w:numPr>
        <w:ind w:left="-284"/>
        <w:rPr>
          <w:lang w:eastAsia="cs-CZ"/>
        </w:rPr>
      </w:pPr>
      <w:r w:rsidRPr="000369D0">
        <w:t>Obecná</w:t>
      </w:r>
      <w:r w:rsidRPr="000369D0">
        <w:rPr>
          <w:lang w:eastAsia="cs-CZ"/>
        </w:rPr>
        <w:t xml:space="preserve"> ustanovení</w:t>
      </w:r>
    </w:p>
    <w:p w14:paraId="2F29E21F" w14:textId="77777777" w:rsidR="000369D0" w:rsidRPr="000369D0" w:rsidRDefault="000369D0" w:rsidP="008578AD">
      <w:pPr>
        <w:pStyle w:val="Nadpis2"/>
        <w:keepNext/>
        <w:widowControl/>
        <w:spacing w:after="0"/>
        <w:ind w:left="709" w:hanging="709"/>
        <w:rPr>
          <w:lang w:eastAsia="cs-CZ"/>
        </w:rPr>
      </w:pPr>
      <w:r w:rsidRPr="000369D0">
        <w:rPr>
          <w:lang w:eastAsia="cs-CZ"/>
        </w:rPr>
        <w:t>Tato Příloha tvoří nedílnou součást Smlouvy.</w:t>
      </w:r>
    </w:p>
    <w:p w14:paraId="58CD2343" w14:textId="0C01C88C" w:rsidR="001D261A" w:rsidRPr="00C82BF9" w:rsidRDefault="000369D0" w:rsidP="00C82BF9">
      <w:pPr>
        <w:pStyle w:val="Nadpis2"/>
        <w:ind w:left="709" w:hanging="709"/>
        <w:rPr>
          <w:lang w:eastAsia="cs-CZ"/>
        </w:rPr>
      </w:pPr>
      <w:r w:rsidRPr="000369D0">
        <w:rPr>
          <w:lang w:eastAsia="cs-CZ"/>
        </w:rPr>
        <w:t>Není-li dále stanoveno jinak nebo nevyplývá-li jinak z kontextu, mají pojmy počínající velkým písmenem v této Příloze shodný význam, jaký mají ve Smlouvě.</w:t>
      </w:r>
      <w:bookmarkStart w:id="9" w:name="_Ref81729995"/>
    </w:p>
    <w:p w14:paraId="662C54E8" w14:textId="5DF59756" w:rsidR="00C82BF9" w:rsidRPr="00C82BF9" w:rsidRDefault="00C82BF9"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vanish/>
          <w:sz w:val="20"/>
          <w:szCs w:val="20"/>
        </w:rPr>
      </w:pPr>
      <w:bookmarkStart w:id="10" w:name="_Ref98935249"/>
      <w:r w:rsidRPr="000369D0">
        <w:rPr>
          <w:rFonts w:eastAsiaTheme="majorEastAsia" w:cstheme="majorBidi"/>
          <w:b/>
          <w:bCs/>
          <w:caps/>
          <w:sz w:val="20"/>
          <w:szCs w:val="28"/>
        </w:rPr>
        <w:t xml:space="preserve">Řízení aktiv a hodnocení </w:t>
      </w:r>
      <w:proofErr w:type="spellStart"/>
      <w:r w:rsidRPr="000369D0">
        <w:rPr>
          <w:rFonts w:eastAsiaTheme="majorEastAsia" w:cstheme="majorBidi"/>
          <w:b/>
          <w:bCs/>
          <w:caps/>
          <w:sz w:val="20"/>
          <w:szCs w:val="28"/>
        </w:rPr>
        <w:t>rizik</w:t>
      </w:r>
      <w:bookmarkEnd w:id="10"/>
    </w:p>
    <w:p w14:paraId="2EAD975F" w14:textId="68436FAC" w:rsidR="000369D0" w:rsidRPr="00EE3860" w:rsidRDefault="000369D0" w:rsidP="000A14FE">
      <w:pPr>
        <w:pStyle w:val="Odstavecseseznamem"/>
        <w:spacing w:after="60"/>
        <w:ind w:left="709" w:hanging="679"/>
        <w:jc w:val="both"/>
      </w:pPr>
      <w:r w:rsidRPr="00EE3860">
        <w:t>Před</w:t>
      </w:r>
      <w:proofErr w:type="spellEnd"/>
      <w:r w:rsidRPr="00EE3860">
        <w:t xml:space="preserve"> zahájením poskytování Plnění a dále průběžně po celou dobu trvání Smlouvy Poskytovatel zajistí:</w:t>
      </w:r>
      <w:bookmarkEnd w:id="9"/>
    </w:p>
    <w:p w14:paraId="3AB600AE" w14:textId="0D8AFAA9" w:rsidR="000369D0" w:rsidRPr="000369D0" w:rsidRDefault="000369D0" w:rsidP="00AF4192">
      <w:pPr>
        <w:pStyle w:val="Nadpis3"/>
        <w:ind w:left="1418" w:hanging="709"/>
      </w:pPr>
      <w:r w:rsidRPr="000369D0">
        <w:t>zpracování prohlášení o aplikovatelnosti pro identifikovaná aktiva podle § 9 odst. 1 písm. f) VVP;</w:t>
      </w:r>
    </w:p>
    <w:p w14:paraId="7344D9DE" w14:textId="17BB88A7" w:rsidR="000369D0" w:rsidRPr="000369D0" w:rsidRDefault="000369D0" w:rsidP="00BA3429">
      <w:pPr>
        <w:pStyle w:val="Nadpis3"/>
        <w:ind w:left="1418" w:hanging="709"/>
      </w:pPr>
      <w:r w:rsidRPr="000369D0">
        <w:t>zpracování plánu zvládání rizik pro identifikovaná aktiva v souladu s § 9 odst. 1 písm. g) VVP;</w:t>
      </w:r>
    </w:p>
    <w:p w14:paraId="3366FE81" w14:textId="77777777" w:rsidR="000369D0" w:rsidRPr="000369D0" w:rsidRDefault="000369D0" w:rsidP="00EF1BCE">
      <w:pPr>
        <w:pStyle w:val="Nadpis3"/>
        <w:ind w:left="1418" w:hanging="709"/>
        <w:rPr>
          <w:szCs w:val="18"/>
        </w:rPr>
      </w:pPr>
      <w:r w:rsidRPr="000369D0">
        <w:rPr>
          <w:szCs w:val="18"/>
        </w:rPr>
        <w:t>informování Objednatele o způsobu řízení rizik;</w:t>
      </w:r>
    </w:p>
    <w:p w14:paraId="113E6139" w14:textId="77777777" w:rsidR="000369D0" w:rsidRPr="000369D0" w:rsidRDefault="000369D0" w:rsidP="00EF1BCE">
      <w:pPr>
        <w:pStyle w:val="Nadpis3"/>
        <w:ind w:left="1418" w:hanging="709"/>
        <w:rPr>
          <w:szCs w:val="18"/>
        </w:rPr>
      </w:pPr>
      <w:r w:rsidRPr="000369D0">
        <w:rPr>
          <w:szCs w:val="18"/>
        </w:rPr>
        <w:t>předložení zprávy o hodnocení aktiv a rizik, prohlášení o aplikovatelnosti a plánu zvládání rizik pro identifikovaná aktiva a o zbytkových rizicích souvisejících s těmito aktivy.</w:t>
      </w:r>
    </w:p>
    <w:p w14:paraId="212490B0" w14:textId="77777777" w:rsidR="000369D0" w:rsidRPr="000369D0" w:rsidRDefault="000369D0" w:rsidP="000A14FE">
      <w:pPr>
        <w:pStyle w:val="Odstavecseseznamem"/>
        <w:spacing w:after="60"/>
        <w:ind w:left="709" w:hanging="679"/>
        <w:jc w:val="both"/>
        <w:rPr>
          <w:szCs w:val="18"/>
        </w:rPr>
      </w:pPr>
      <w:r w:rsidRPr="000369D0">
        <w:rPr>
          <w:szCs w:val="18"/>
        </w:rPr>
        <w:t xml:space="preserve">Při provádění úkonů podle odst. </w:t>
      </w:r>
      <w:r w:rsidRPr="000369D0">
        <w:rPr>
          <w:szCs w:val="18"/>
        </w:rPr>
        <w:fldChar w:fldCharType="begin"/>
      </w:r>
      <w:r w:rsidRPr="000369D0">
        <w:rPr>
          <w:szCs w:val="18"/>
        </w:rPr>
        <w:instrText xml:space="preserve"> REF _Ref81729995 \r \h  \* MERGEFORMAT </w:instrText>
      </w:r>
      <w:r w:rsidRPr="000369D0">
        <w:rPr>
          <w:szCs w:val="18"/>
        </w:rPr>
      </w:r>
      <w:r w:rsidRPr="000369D0">
        <w:rPr>
          <w:szCs w:val="18"/>
        </w:rPr>
        <w:fldChar w:fldCharType="separate"/>
      </w:r>
      <w:r w:rsidRPr="000369D0">
        <w:rPr>
          <w:szCs w:val="18"/>
        </w:rPr>
        <w:t>2.1</w:t>
      </w:r>
      <w:r w:rsidRPr="000369D0">
        <w:rPr>
          <w:szCs w:val="18"/>
        </w:rPr>
        <w:fldChar w:fldCharType="end"/>
      </w:r>
      <w:r w:rsidRPr="000369D0">
        <w:rPr>
          <w:szCs w:val="18"/>
        </w:rPr>
        <w:t xml:space="preserve"> této Přílohy je Poskytovatel povinen postupovat podle bezpečnostní </w:t>
      </w:r>
      <w:proofErr w:type="spellStart"/>
      <w:r w:rsidRPr="000369D0">
        <w:rPr>
          <w:szCs w:val="18"/>
        </w:rPr>
        <w:t>best</w:t>
      </w:r>
      <w:proofErr w:type="spellEnd"/>
      <w:r w:rsidRPr="000369D0">
        <w:rPr>
          <w:szCs w:val="18"/>
        </w:rPr>
        <w:t xml:space="preserve"> </w:t>
      </w:r>
      <w:proofErr w:type="spellStart"/>
      <w:r w:rsidRPr="000369D0">
        <w:rPr>
          <w:szCs w:val="18"/>
        </w:rPr>
        <w:t>practice</w:t>
      </w:r>
      <w:proofErr w:type="spellEnd"/>
      <w:r w:rsidRPr="000369D0">
        <w:rPr>
          <w:szCs w:val="18"/>
        </w:rPr>
        <w:t xml:space="preserve"> ve smyslu mezinárodního standardu ISO/IEC 27001, ISO/IEC 27002 a ISO/IEC 27005 a/nebo NIST </w:t>
      </w:r>
      <w:proofErr w:type="spellStart"/>
      <w:r w:rsidRPr="000369D0">
        <w:rPr>
          <w:szCs w:val="18"/>
        </w:rPr>
        <w:t>Cyber</w:t>
      </w:r>
      <w:proofErr w:type="spellEnd"/>
      <w:r w:rsidRPr="000369D0">
        <w:rPr>
          <w:szCs w:val="18"/>
        </w:rPr>
        <w:t xml:space="preserve"> </w:t>
      </w:r>
      <w:proofErr w:type="spellStart"/>
      <w:r w:rsidRPr="000369D0">
        <w:rPr>
          <w:szCs w:val="18"/>
        </w:rPr>
        <w:t>Security</w:t>
      </w:r>
      <w:proofErr w:type="spellEnd"/>
      <w:r w:rsidRPr="000369D0">
        <w:rPr>
          <w:szCs w:val="18"/>
        </w:rPr>
        <w:t xml:space="preserve"> Framework, metodik a postupů a se zohledněním relevantních právních předpisů, interních politik Objednatele a dalších relevantních podkladů jemu poskytnutých za tímto účelem. </w:t>
      </w:r>
    </w:p>
    <w:p w14:paraId="3E6CAE66" w14:textId="77777777" w:rsidR="000369D0" w:rsidRPr="000369D0" w:rsidRDefault="000369D0" w:rsidP="000A14FE">
      <w:pPr>
        <w:pStyle w:val="Odstavecseseznamem"/>
        <w:spacing w:after="60"/>
        <w:ind w:left="709" w:hanging="679"/>
        <w:jc w:val="both"/>
        <w:rPr>
          <w:szCs w:val="18"/>
        </w:rPr>
      </w:pPr>
      <w:r w:rsidRPr="000369D0">
        <w:rPr>
          <w:szCs w:val="18"/>
        </w:rPr>
        <w:t xml:space="preserve">Objednatel a Poskytovatel se zavazují podrobit předání a převzetí dokumentace podle odst. </w:t>
      </w:r>
      <w:r w:rsidRPr="000369D0">
        <w:rPr>
          <w:szCs w:val="18"/>
        </w:rPr>
        <w:fldChar w:fldCharType="begin"/>
      </w:r>
      <w:r w:rsidRPr="000369D0">
        <w:rPr>
          <w:szCs w:val="18"/>
        </w:rPr>
        <w:instrText xml:space="preserve"> REF _Ref81729995 \r \h </w:instrText>
      </w:r>
      <w:r w:rsidRPr="000369D0">
        <w:rPr>
          <w:szCs w:val="18"/>
        </w:rPr>
      </w:r>
      <w:r w:rsidRPr="000369D0">
        <w:rPr>
          <w:szCs w:val="18"/>
        </w:rPr>
        <w:fldChar w:fldCharType="separate"/>
      </w:r>
      <w:r w:rsidRPr="000369D0">
        <w:rPr>
          <w:szCs w:val="18"/>
        </w:rPr>
        <w:t>2.1</w:t>
      </w:r>
      <w:r w:rsidRPr="000369D0">
        <w:rPr>
          <w:szCs w:val="18"/>
        </w:rPr>
        <w:fldChar w:fldCharType="end"/>
      </w:r>
      <w:r w:rsidRPr="000369D0">
        <w:rPr>
          <w:szCs w:val="18"/>
        </w:rPr>
        <w:t xml:space="preserve"> této Přílohy akceptačnímu řízení. </w:t>
      </w:r>
      <w:r w:rsidRPr="000369D0">
        <w:t xml:space="preserve">Nestanoví-li </w:t>
      </w:r>
      <w:r w:rsidRPr="000369D0">
        <w:rPr>
          <w:szCs w:val="18"/>
        </w:rPr>
        <w:t xml:space="preserve">Smlouva specifická </w:t>
      </w:r>
      <w:r w:rsidRPr="000369D0">
        <w:t>pravidla akceptačního řízení pro dokumenty, pak:</w:t>
      </w:r>
    </w:p>
    <w:p w14:paraId="6A6B45B6" w14:textId="77777777" w:rsidR="000369D0" w:rsidRPr="000369D0" w:rsidRDefault="000369D0" w:rsidP="007C33DB">
      <w:pPr>
        <w:pStyle w:val="Nadpis3"/>
        <w:ind w:left="1418" w:hanging="709"/>
      </w:pPr>
      <w:r w:rsidRPr="000369D0">
        <w:t>lhůta pro připomínkování dokumentů se stanoví na 5 pracovních dnů od obdržení příslušného dokumentu;</w:t>
      </w:r>
    </w:p>
    <w:p w14:paraId="305E3BF9" w14:textId="77777777" w:rsidR="000369D0" w:rsidRPr="000369D0" w:rsidRDefault="000369D0" w:rsidP="007C33DB">
      <w:pPr>
        <w:pStyle w:val="Nadpis3"/>
        <w:ind w:left="1418" w:hanging="709"/>
        <w:rPr>
          <w:szCs w:val="18"/>
        </w:rPr>
      </w:pPr>
      <w:r w:rsidRPr="000369D0">
        <w:rPr>
          <w:szCs w:val="18"/>
        </w:rPr>
        <w:t>lhůta k odstranění vad dokumentů se stanoví na 5 pracovních dnů od obdržení připomínek k tomuto dokumentu;</w:t>
      </w:r>
    </w:p>
    <w:p w14:paraId="2A2F85AB" w14:textId="77777777" w:rsidR="000369D0" w:rsidRPr="000369D0" w:rsidRDefault="000369D0" w:rsidP="00734CA3">
      <w:pPr>
        <w:pStyle w:val="Nadpis3"/>
        <w:ind w:left="1418" w:hanging="709"/>
        <w:rPr>
          <w:szCs w:val="18"/>
        </w:rPr>
      </w:pPr>
      <w:r w:rsidRPr="000369D0">
        <w:rPr>
          <w:szCs w:val="18"/>
        </w:rPr>
        <w:t>Objednatel má ve lhůtě pro připomínkování dokumentů právo vytknout Poskytovateli vady dokumentů. Dokument má vadu, je-li v rozporu s požadavky ZKB, VVP, Nařízením Komise pro digitály a/nebo Smlouvy (vč. této Přílohy);</w:t>
      </w:r>
    </w:p>
    <w:p w14:paraId="7C27AC29" w14:textId="77777777" w:rsidR="000369D0" w:rsidRPr="000369D0" w:rsidRDefault="000369D0" w:rsidP="00596E30">
      <w:pPr>
        <w:pStyle w:val="Nadpis3"/>
        <w:ind w:left="1418" w:hanging="709"/>
        <w:rPr>
          <w:szCs w:val="18"/>
        </w:rPr>
      </w:pPr>
      <w:r w:rsidRPr="000369D0">
        <w:rPr>
          <w:szCs w:val="18"/>
        </w:rPr>
        <w:t>Poskytovatel je povinen ve lhůtě k odstranění vad dokumentů předat Objednateli dokumenty bez vad vytčených Objednatelem;</w:t>
      </w:r>
    </w:p>
    <w:p w14:paraId="1904A632" w14:textId="77777777" w:rsidR="000369D0" w:rsidRPr="000369D0" w:rsidRDefault="000369D0" w:rsidP="003F10C4">
      <w:pPr>
        <w:pStyle w:val="Nadpis3"/>
        <w:ind w:left="1418" w:hanging="709"/>
        <w:rPr>
          <w:szCs w:val="18"/>
        </w:rPr>
      </w:pPr>
      <w:r w:rsidRPr="000369D0">
        <w:rPr>
          <w:szCs w:val="18"/>
        </w:rPr>
        <w:t>Tato procedura se může opakovat, nejsou-li vady dokumentů řádně odstraněny.</w:t>
      </w:r>
    </w:p>
    <w:p w14:paraId="62688508" w14:textId="69BCED35" w:rsidR="000369D0" w:rsidRPr="000369D0" w:rsidRDefault="000369D0" w:rsidP="00C03537">
      <w:pPr>
        <w:pStyle w:val="Odstavecseseznamem"/>
        <w:spacing w:after="60"/>
        <w:ind w:left="709" w:hanging="679"/>
        <w:jc w:val="both"/>
        <w:rPr>
          <w:szCs w:val="18"/>
        </w:rPr>
      </w:pPr>
      <w:r w:rsidRPr="000369D0">
        <w:rPr>
          <w:szCs w:val="18"/>
        </w:rPr>
        <w:t>Poskytovatel je povinen zavést a po celou dobu trvání Smlouvy udržovat bezpečnostní opatření dle této Přílohy a v úrovni odpovídající opatřením plánu zvládání rizik podle odst.</w:t>
      </w:r>
      <w:r w:rsidR="006B5E74">
        <w:rPr>
          <w:szCs w:val="18"/>
        </w:rPr>
        <w:t> </w:t>
      </w:r>
      <w:r w:rsidRPr="000369D0">
        <w:rPr>
          <w:szCs w:val="18"/>
        </w:rPr>
        <w:fldChar w:fldCharType="begin"/>
      </w:r>
      <w:r w:rsidRPr="000369D0">
        <w:rPr>
          <w:szCs w:val="18"/>
        </w:rPr>
        <w:instrText xml:space="preserve"> REF _Ref81729995 \r \h </w:instrText>
      </w:r>
      <w:r w:rsidRPr="000369D0">
        <w:rPr>
          <w:szCs w:val="18"/>
        </w:rPr>
      </w:r>
      <w:r w:rsidRPr="000369D0">
        <w:rPr>
          <w:szCs w:val="18"/>
        </w:rPr>
        <w:fldChar w:fldCharType="separate"/>
      </w:r>
      <w:r w:rsidRPr="000369D0">
        <w:rPr>
          <w:szCs w:val="18"/>
        </w:rPr>
        <w:t>2.1</w:t>
      </w:r>
      <w:r w:rsidRPr="000369D0">
        <w:rPr>
          <w:szCs w:val="18"/>
        </w:rPr>
        <w:fldChar w:fldCharType="end"/>
      </w:r>
      <w:r w:rsidRPr="000369D0">
        <w:rPr>
          <w:szCs w:val="18"/>
        </w:rPr>
        <w:t xml:space="preserve"> této Přílohy. Opatření je Poskytovatel povinen zavést před zahájením poskytování Plnění dle Smlouvy. Poskytovatel je povinen zavést a udržovat opatření minimálně v následujících oblastech:</w:t>
      </w:r>
    </w:p>
    <w:p w14:paraId="5EC47EF0" w14:textId="77777777" w:rsidR="000369D0" w:rsidRPr="000369D0" w:rsidRDefault="000369D0" w:rsidP="00725D2F">
      <w:pPr>
        <w:pStyle w:val="Nadpis3"/>
        <w:ind w:left="1418" w:hanging="709"/>
      </w:pPr>
      <w:r w:rsidRPr="000369D0">
        <w:t>klasifikace informací a ochrana informačních aktiv,</w:t>
      </w:r>
    </w:p>
    <w:p w14:paraId="3346A0C5" w14:textId="77777777" w:rsidR="000369D0" w:rsidRPr="000369D0" w:rsidRDefault="000369D0" w:rsidP="00725D2F">
      <w:pPr>
        <w:pStyle w:val="Nadpis3"/>
        <w:ind w:left="1418" w:hanging="709"/>
        <w:rPr>
          <w:szCs w:val="18"/>
        </w:rPr>
      </w:pPr>
      <w:r w:rsidRPr="000369D0">
        <w:rPr>
          <w:szCs w:val="18"/>
        </w:rPr>
        <w:t>bezpečnost lidských zdrojů,</w:t>
      </w:r>
    </w:p>
    <w:p w14:paraId="37926867" w14:textId="77777777" w:rsidR="000369D0" w:rsidRPr="000369D0" w:rsidRDefault="000369D0" w:rsidP="0083335E">
      <w:pPr>
        <w:pStyle w:val="Nadpis3"/>
        <w:ind w:left="1418" w:hanging="709"/>
        <w:rPr>
          <w:szCs w:val="18"/>
        </w:rPr>
      </w:pPr>
      <w:r w:rsidRPr="000369D0">
        <w:rPr>
          <w:szCs w:val="18"/>
        </w:rPr>
        <w:lastRenderedPageBreak/>
        <w:t>řízení provozu,</w:t>
      </w:r>
    </w:p>
    <w:p w14:paraId="06BC1229" w14:textId="77777777" w:rsidR="000369D0" w:rsidRPr="000369D0" w:rsidRDefault="000369D0" w:rsidP="006700AD">
      <w:pPr>
        <w:pStyle w:val="Nadpis3"/>
        <w:ind w:left="1418" w:hanging="709"/>
        <w:rPr>
          <w:szCs w:val="18"/>
        </w:rPr>
      </w:pPr>
      <w:r w:rsidRPr="000369D0">
        <w:rPr>
          <w:szCs w:val="18"/>
        </w:rPr>
        <w:t>řízení přístupu,</w:t>
      </w:r>
    </w:p>
    <w:p w14:paraId="78116118" w14:textId="77777777" w:rsidR="000369D0" w:rsidRPr="000369D0" w:rsidRDefault="000369D0" w:rsidP="006700AD">
      <w:pPr>
        <w:pStyle w:val="Nadpis3"/>
        <w:ind w:left="1418" w:hanging="709"/>
        <w:rPr>
          <w:szCs w:val="18"/>
        </w:rPr>
      </w:pPr>
      <w:r w:rsidRPr="000369D0">
        <w:rPr>
          <w:szCs w:val="18"/>
        </w:rPr>
        <w:t>akvizice vývoj a údržba,</w:t>
      </w:r>
    </w:p>
    <w:p w14:paraId="4DC6CA62" w14:textId="77777777" w:rsidR="000369D0" w:rsidRPr="000369D0" w:rsidRDefault="000369D0" w:rsidP="006700AD">
      <w:pPr>
        <w:pStyle w:val="Nadpis3"/>
        <w:ind w:left="1418" w:hanging="709"/>
        <w:rPr>
          <w:szCs w:val="18"/>
        </w:rPr>
      </w:pPr>
      <w:r w:rsidRPr="000369D0">
        <w:rPr>
          <w:szCs w:val="18"/>
        </w:rPr>
        <w:t>zvládání kybernetických bezpečnostních událostí a incidentů,</w:t>
      </w:r>
    </w:p>
    <w:p w14:paraId="5E4EE465" w14:textId="77777777" w:rsidR="000369D0" w:rsidRPr="000369D0" w:rsidRDefault="000369D0" w:rsidP="006700AD">
      <w:pPr>
        <w:pStyle w:val="Nadpis3"/>
        <w:ind w:left="1418" w:hanging="709"/>
        <w:rPr>
          <w:szCs w:val="18"/>
        </w:rPr>
      </w:pPr>
      <w:r w:rsidRPr="000369D0">
        <w:rPr>
          <w:szCs w:val="18"/>
        </w:rPr>
        <w:t>fyzická bezpečnost,</w:t>
      </w:r>
    </w:p>
    <w:p w14:paraId="139CEBE2" w14:textId="77777777" w:rsidR="000369D0" w:rsidRPr="000369D0" w:rsidRDefault="000369D0" w:rsidP="00BB60F0">
      <w:pPr>
        <w:pStyle w:val="Nadpis3"/>
        <w:ind w:left="1418" w:hanging="709"/>
        <w:rPr>
          <w:szCs w:val="18"/>
        </w:rPr>
      </w:pPr>
      <w:r w:rsidRPr="000369D0">
        <w:rPr>
          <w:szCs w:val="18"/>
        </w:rPr>
        <w:t>bezpečnost komunikačních sítí,</w:t>
      </w:r>
    </w:p>
    <w:p w14:paraId="0611F3E1" w14:textId="77777777" w:rsidR="000369D0" w:rsidRPr="000369D0" w:rsidRDefault="000369D0" w:rsidP="008C28AC">
      <w:pPr>
        <w:pStyle w:val="Nadpis3"/>
        <w:ind w:left="1418" w:hanging="709"/>
        <w:rPr>
          <w:szCs w:val="18"/>
        </w:rPr>
      </w:pPr>
      <w:r w:rsidRPr="000369D0">
        <w:rPr>
          <w:szCs w:val="18"/>
        </w:rPr>
        <w:t>správa a ověřování identit,</w:t>
      </w:r>
    </w:p>
    <w:p w14:paraId="79C5A9BE" w14:textId="77777777" w:rsidR="000369D0" w:rsidRPr="000369D0" w:rsidRDefault="000369D0" w:rsidP="00610A0A">
      <w:pPr>
        <w:pStyle w:val="Nadpis3"/>
        <w:ind w:left="1418" w:hanging="709"/>
        <w:rPr>
          <w:szCs w:val="18"/>
        </w:rPr>
      </w:pPr>
      <w:r w:rsidRPr="000369D0">
        <w:rPr>
          <w:szCs w:val="18"/>
        </w:rPr>
        <w:t>ochrana před škodlivým kódem,</w:t>
      </w:r>
    </w:p>
    <w:p w14:paraId="2F0DE844" w14:textId="77777777" w:rsidR="000369D0" w:rsidRPr="000369D0" w:rsidRDefault="000369D0" w:rsidP="00DC5490">
      <w:pPr>
        <w:pStyle w:val="Nadpis3"/>
        <w:ind w:left="1418" w:hanging="709"/>
        <w:rPr>
          <w:szCs w:val="18"/>
        </w:rPr>
      </w:pPr>
      <w:r w:rsidRPr="000369D0">
        <w:rPr>
          <w:szCs w:val="18"/>
        </w:rPr>
        <w:t>detekce, zaznamenávání a vyhodnocování kybernetických bezpečnostních incidentů,</w:t>
      </w:r>
    </w:p>
    <w:p w14:paraId="4394577D" w14:textId="77777777" w:rsidR="000369D0" w:rsidRPr="000369D0" w:rsidRDefault="000369D0" w:rsidP="00B76922">
      <w:pPr>
        <w:pStyle w:val="Nadpis3"/>
        <w:ind w:left="1418" w:hanging="709"/>
        <w:rPr>
          <w:szCs w:val="18"/>
        </w:rPr>
      </w:pPr>
      <w:r w:rsidRPr="000369D0">
        <w:rPr>
          <w:szCs w:val="18"/>
        </w:rPr>
        <w:t>aplikační bezpečnost,</w:t>
      </w:r>
    </w:p>
    <w:p w14:paraId="2CED27A2" w14:textId="77777777" w:rsidR="000369D0" w:rsidRPr="000369D0" w:rsidRDefault="000369D0" w:rsidP="00ED4987">
      <w:pPr>
        <w:pStyle w:val="Nadpis3"/>
        <w:ind w:left="1418" w:hanging="709"/>
        <w:rPr>
          <w:szCs w:val="18"/>
        </w:rPr>
      </w:pPr>
      <w:r w:rsidRPr="000369D0">
        <w:rPr>
          <w:szCs w:val="18"/>
        </w:rPr>
        <w:t>kryptografické algoritmy,</w:t>
      </w:r>
    </w:p>
    <w:p w14:paraId="211647CC" w14:textId="77777777" w:rsidR="000369D0" w:rsidRPr="000369D0" w:rsidRDefault="000369D0" w:rsidP="00FD0B75">
      <w:pPr>
        <w:pStyle w:val="Nadpis3"/>
        <w:ind w:left="1418" w:hanging="709"/>
        <w:rPr>
          <w:szCs w:val="18"/>
        </w:rPr>
      </w:pPr>
      <w:r w:rsidRPr="000369D0">
        <w:rPr>
          <w:szCs w:val="18"/>
        </w:rPr>
        <w:t>bezpečnostní dokumentace,</w:t>
      </w:r>
    </w:p>
    <w:p w14:paraId="6ECD1DB2" w14:textId="77777777" w:rsidR="000369D0" w:rsidRPr="000369D0" w:rsidRDefault="000369D0" w:rsidP="0049558A">
      <w:pPr>
        <w:pStyle w:val="Nadpis3"/>
        <w:ind w:left="1418" w:hanging="709"/>
        <w:rPr>
          <w:szCs w:val="18"/>
        </w:rPr>
      </w:pPr>
      <w:r w:rsidRPr="000369D0">
        <w:rPr>
          <w:szCs w:val="18"/>
        </w:rPr>
        <w:t>řízení změn,</w:t>
      </w:r>
    </w:p>
    <w:p w14:paraId="4DF92588" w14:textId="77777777" w:rsidR="000369D0" w:rsidRPr="000369D0" w:rsidRDefault="000369D0" w:rsidP="000369D0">
      <w:pPr>
        <w:keepLines/>
        <w:spacing w:before="60" w:after="60"/>
        <w:ind w:left="680"/>
        <w:jc w:val="both"/>
        <w:outlineLvl w:val="1"/>
        <w:rPr>
          <w:szCs w:val="18"/>
        </w:rPr>
      </w:pPr>
      <w:r w:rsidRPr="000369D0">
        <w:rPr>
          <w:szCs w:val="18"/>
        </w:rPr>
        <w:t>a to minimálně v rozsahu požadovaném touto Přílohou.</w:t>
      </w:r>
    </w:p>
    <w:p w14:paraId="6A21B396"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Klasifikace informací a ochrana informačních aktiv</w:t>
      </w:r>
    </w:p>
    <w:p w14:paraId="29F371E3" w14:textId="3C9E614C" w:rsidR="000369D0" w:rsidRPr="001019C6" w:rsidRDefault="000369D0" w:rsidP="00951CBA">
      <w:pPr>
        <w:pStyle w:val="Odstavecseseznamem"/>
        <w:spacing w:after="60"/>
        <w:ind w:left="709" w:hanging="679"/>
        <w:jc w:val="both"/>
      </w:pPr>
      <w:r w:rsidRPr="001019C6">
        <w:t>Poskytovatel se zavazuje pro klasifikaci informací užívat stupně klasifikace Objednatele.</w:t>
      </w:r>
    </w:p>
    <w:p w14:paraId="7B64D69F" w14:textId="77777777" w:rsidR="000369D0" w:rsidRPr="000369D0" w:rsidRDefault="000369D0" w:rsidP="00D77841">
      <w:pPr>
        <w:pStyle w:val="Odstavecseseznamem"/>
        <w:spacing w:after="60"/>
        <w:ind w:left="709" w:hanging="679"/>
        <w:jc w:val="both"/>
        <w:rPr>
          <w:rFonts w:eastAsiaTheme="majorEastAsia" w:cstheme="majorBidi"/>
          <w:bCs/>
          <w:szCs w:val="18"/>
        </w:rPr>
      </w:pPr>
      <w:r w:rsidRPr="000369D0">
        <w:rPr>
          <w:rFonts w:eastAsiaTheme="majorEastAsia" w:cstheme="majorBidi"/>
          <w:szCs w:val="18"/>
        </w:rPr>
        <w:t>Objednatel klasifikuje informace následujícím způsobem: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0369D0" w:rsidRPr="000369D0" w14:paraId="56D2BAC0" w14:textId="77777777" w:rsidTr="00B228A8">
        <w:trPr>
          <w:trHeight w:val="567"/>
          <w:jc w:val="center"/>
        </w:trPr>
        <w:tc>
          <w:tcPr>
            <w:tcW w:w="1115" w:type="dxa"/>
            <w:shd w:val="clear" w:color="auto" w:fill="F2F2F2"/>
          </w:tcPr>
          <w:p w14:paraId="668A84B3" w14:textId="77777777" w:rsidR="000369D0" w:rsidRPr="000369D0" w:rsidRDefault="000369D0" w:rsidP="000369D0">
            <w:pPr>
              <w:widowControl w:val="0"/>
              <w:suppressAutoHyphens/>
              <w:spacing w:before="60" w:after="0" w:line="240" w:lineRule="auto"/>
              <w:jc w:val="center"/>
              <w:rPr>
                <w:rFonts w:eastAsia="Lucida Sans Unicode" w:cs="Arial"/>
                <w:b/>
                <w:kern w:val="2"/>
                <w:szCs w:val="18"/>
                <w:lang w:eastAsia="cs-CZ"/>
              </w:rPr>
            </w:pPr>
            <w:r w:rsidRPr="000369D0">
              <w:rPr>
                <w:rFonts w:eastAsia="Lucida Sans Unicode" w:cs="Arial"/>
                <w:b/>
                <w:kern w:val="2"/>
                <w:szCs w:val="18"/>
                <w:lang w:eastAsia="cs-CZ"/>
              </w:rPr>
              <w:t>Hodnota</w:t>
            </w:r>
          </w:p>
        </w:tc>
        <w:tc>
          <w:tcPr>
            <w:tcW w:w="974" w:type="dxa"/>
            <w:shd w:val="clear" w:color="auto" w:fill="F2F2F2"/>
          </w:tcPr>
          <w:p w14:paraId="6B11B971" w14:textId="77777777" w:rsidR="000369D0" w:rsidRPr="000369D0" w:rsidRDefault="000369D0" w:rsidP="000369D0">
            <w:pPr>
              <w:widowControl w:val="0"/>
              <w:suppressAutoHyphens/>
              <w:spacing w:before="60" w:after="0" w:line="240" w:lineRule="auto"/>
              <w:jc w:val="center"/>
              <w:rPr>
                <w:rFonts w:eastAsia="Lucida Sans Unicode" w:cs="Arial"/>
                <w:b/>
                <w:kern w:val="2"/>
                <w:szCs w:val="18"/>
                <w:lang w:eastAsia="cs-CZ"/>
              </w:rPr>
            </w:pPr>
            <w:r w:rsidRPr="000369D0">
              <w:rPr>
                <w:rFonts w:eastAsia="Lucida Sans Unicode" w:cs="Arial"/>
                <w:b/>
                <w:kern w:val="2"/>
                <w:szCs w:val="18"/>
                <w:lang w:eastAsia="cs-CZ"/>
              </w:rPr>
              <w:t>Úroveň</w:t>
            </w:r>
          </w:p>
        </w:tc>
        <w:tc>
          <w:tcPr>
            <w:tcW w:w="1649" w:type="dxa"/>
            <w:shd w:val="clear" w:color="auto" w:fill="F2F2F2"/>
          </w:tcPr>
          <w:p w14:paraId="22040BE7" w14:textId="77777777" w:rsidR="000369D0" w:rsidRPr="000369D0" w:rsidRDefault="000369D0" w:rsidP="000369D0">
            <w:pPr>
              <w:widowControl w:val="0"/>
              <w:suppressAutoHyphens/>
              <w:spacing w:before="60" w:after="0" w:line="240" w:lineRule="auto"/>
              <w:ind w:left="51"/>
              <w:jc w:val="center"/>
              <w:rPr>
                <w:rFonts w:eastAsia="Lucida Sans Unicode" w:cs="Arial"/>
                <w:b/>
                <w:kern w:val="2"/>
                <w:szCs w:val="18"/>
                <w:lang w:eastAsia="cs-CZ"/>
              </w:rPr>
            </w:pPr>
            <w:r w:rsidRPr="000369D0">
              <w:rPr>
                <w:rFonts w:eastAsia="Lucida Sans Unicode" w:cs="Arial"/>
                <w:b/>
                <w:kern w:val="2"/>
                <w:szCs w:val="18"/>
                <w:lang w:eastAsia="cs-CZ"/>
              </w:rPr>
              <w:t>Klasifikace</w:t>
            </w:r>
          </w:p>
        </w:tc>
        <w:tc>
          <w:tcPr>
            <w:tcW w:w="2636" w:type="dxa"/>
            <w:shd w:val="clear" w:color="auto" w:fill="F2F2F2"/>
          </w:tcPr>
          <w:p w14:paraId="10496D78" w14:textId="77777777" w:rsidR="000369D0" w:rsidRPr="000369D0" w:rsidRDefault="000369D0" w:rsidP="000369D0">
            <w:pPr>
              <w:widowControl w:val="0"/>
              <w:suppressAutoHyphens/>
              <w:spacing w:before="60" w:after="0" w:line="240" w:lineRule="auto"/>
              <w:jc w:val="center"/>
              <w:rPr>
                <w:rFonts w:eastAsia="Lucida Sans Unicode" w:cs="Arial"/>
                <w:b/>
                <w:kern w:val="2"/>
                <w:szCs w:val="18"/>
                <w:lang w:eastAsia="cs-CZ"/>
              </w:rPr>
            </w:pPr>
            <w:r w:rsidRPr="000369D0">
              <w:rPr>
                <w:rFonts w:eastAsia="Lucida Sans Unicode" w:cs="Arial"/>
                <w:b/>
                <w:kern w:val="2"/>
                <w:szCs w:val="18"/>
                <w:lang w:eastAsia="cs-CZ"/>
              </w:rPr>
              <w:t>Označení</w:t>
            </w:r>
          </w:p>
        </w:tc>
        <w:tc>
          <w:tcPr>
            <w:tcW w:w="2686" w:type="dxa"/>
            <w:tcBorders>
              <w:bottom w:val="single" w:sz="4" w:space="0" w:color="auto"/>
            </w:tcBorders>
            <w:shd w:val="clear" w:color="auto" w:fill="F2F2F2"/>
          </w:tcPr>
          <w:p w14:paraId="6BF9522F" w14:textId="77777777" w:rsidR="000369D0" w:rsidRPr="000369D0" w:rsidRDefault="000369D0" w:rsidP="000369D0">
            <w:pPr>
              <w:widowControl w:val="0"/>
              <w:suppressAutoHyphens/>
              <w:spacing w:before="60" w:after="0" w:line="240" w:lineRule="auto"/>
              <w:ind w:left="51"/>
              <w:rPr>
                <w:rFonts w:eastAsia="Lucida Sans Unicode" w:cs="Arial"/>
                <w:b/>
                <w:kern w:val="2"/>
                <w:szCs w:val="18"/>
                <w:lang w:eastAsia="cs-CZ"/>
              </w:rPr>
            </w:pPr>
            <w:r w:rsidRPr="000369D0">
              <w:rPr>
                <w:rFonts w:eastAsia="Lucida Sans Unicode" w:cs="Arial"/>
                <w:b/>
                <w:kern w:val="2"/>
                <w:szCs w:val="18"/>
                <w:lang w:eastAsia="cs-CZ"/>
              </w:rPr>
              <w:t>Důvěrnost, dostupnost, integrita</w:t>
            </w:r>
          </w:p>
        </w:tc>
      </w:tr>
      <w:tr w:rsidR="000369D0" w:rsidRPr="000369D0" w14:paraId="6B4B1868" w14:textId="77777777" w:rsidTr="00B228A8">
        <w:trPr>
          <w:trHeight w:val="567"/>
          <w:jc w:val="center"/>
        </w:trPr>
        <w:tc>
          <w:tcPr>
            <w:tcW w:w="1115" w:type="dxa"/>
            <w:vAlign w:val="center"/>
          </w:tcPr>
          <w:p w14:paraId="6D534452"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1</w:t>
            </w:r>
          </w:p>
        </w:tc>
        <w:tc>
          <w:tcPr>
            <w:tcW w:w="974" w:type="dxa"/>
            <w:vAlign w:val="center"/>
          </w:tcPr>
          <w:p w14:paraId="2E70DF32"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Nízká</w:t>
            </w:r>
          </w:p>
        </w:tc>
        <w:tc>
          <w:tcPr>
            <w:tcW w:w="1649" w:type="dxa"/>
            <w:vAlign w:val="center"/>
          </w:tcPr>
          <w:p w14:paraId="3B2F6019" w14:textId="77777777" w:rsidR="000369D0" w:rsidRPr="000369D0" w:rsidRDefault="000369D0" w:rsidP="000369D0">
            <w:pPr>
              <w:keepNext/>
              <w:spacing w:after="0" w:line="240" w:lineRule="auto"/>
              <w:jc w:val="center"/>
              <w:rPr>
                <w:rFonts w:eastAsia="Times New Roman" w:cs="Times New Roman"/>
                <w:b/>
                <w:bCs/>
                <w:sz w:val="20"/>
                <w:szCs w:val="20"/>
                <w:lang w:eastAsia="cs-CZ"/>
              </w:rPr>
            </w:pPr>
            <w:r w:rsidRPr="000369D0">
              <w:rPr>
                <w:rFonts w:eastAsia="Times New Roman" w:cs="Times New Roman"/>
                <w:b/>
                <w:bCs/>
                <w:sz w:val="20"/>
                <w:szCs w:val="20"/>
                <w:lang w:eastAsia="cs-CZ"/>
              </w:rPr>
              <w:t>VEŘEJNÉ INFORMACE</w:t>
            </w:r>
          </w:p>
        </w:tc>
        <w:tc>
          <w:tcPr>
            <w:tcW w:w="2636" w:type="dxa"/>
            <w:vAlign w:val="center"/>
          </w:tcPr>
          <w:p w14:paraId="23867E3E" w14:textId="77777777" w:rsidR="000369D0" w:rsidRPr="000369D0" w:rsidRDefault="000369D0" w:rsidP="000369D0">
            <w:pPr>
              <w:widowControl w:val="0"/>
              <w:suppressAutoHyphens/>
              <w:spacing w:after="0" w:line="240" w:lineRule="auto"/>
              <w:jc w:val="center"/>
              <w:rPr>
                <w:rFonts w:eastAsia="Lucida Sans Unicode" w:cs="Times New Roman"/>
                <w:b/>
                <w:bCs/>
                <w:kern w:val="2"/>
                <w:sz w:val="20"/>
                <w:szCs w:val="24"/>
                <w:lang w:eastAsia="cs-CZ"/>
              </w:rPr>
            </w:pPr>
            <w:proofErr w:type="gramStart"/>
            <w:r w:rsidRPr="000369D0">
              <w:rPr>
                <w:rFonts w:eastAsia="Lucida Sans Unicode" w:cs="Times New Roman"/>
                <w:b/>
                <w:bCs/>
                <w:kern w:val="2"/>
                <w:sz w:val="20"/>
                <w:szCs w:val="24"/>
                <w:lang w:eastAsia="cs-CZ"/>
              </w:rPr>
              <w:t>TLP:CLEAR</w:t>
            </w:r>
            <w:proofErr w:type="gramEnd"/>
          </w:p>
        </w:tc>
        <w:tc>
          <w:tcPr>
            <w:tcW w:w="2686" w:type="dxa"/>
            <w:vAlign w:val="center"/>
          </w:tcPr>
          <w:p w14:paraId="79A5DE39" w14:textId="77777777" w:rsidR="000369D0" w:rsidRPr="000369D0" w:rsidRDefault="000369D0" w:rsidP="000369D0">
            <w:pPr>
              <w:keepNext/>
              <w:spacing w:after="0" w:line="240" w:lineRule="auto"/>
              <w:rPr>
                <w:rFonts w:eastAsia="Times New Roman" w:cs="Times New Roman"/>
                <w:szCs w:val="18"/>
                <w:lang w:eastAsia="cs-CZ"/>
              </w:rPr>
            </w:pPr>
            <w:r w:rsidRPr="000369D0">
              <w:rPr>
                <w:rFonts w:eastAsia="Times New Roman" w:cs="Times New Roman"/>
                <w:szCs w:val="18"/>
                <w:lang w:eastAsia="cs-CZ"/>
              </w:rPr>
              <w:t>Všechny bezpečnostní parametry v nízké úrovni</w:t>
            </w:r>
          </w:p>
        </w:tc>
      </w:tr>
      <w:tr w:rsidR="000369D0" w:rsidRPr="000369D0" w14:paraId="221483DD" w14:textId="77777777" w:rsidTr="00B228A8">
        <w:trPr>
          <w:trHeight w:val="567"/>
          <w:jc w:val="center"/>
        </w:trPr>
        <w:tc>
          <w:tcPr>
            <w:tcW w:w="1115" w:type="dxa"/>
            <w:vAlign w:val="center"/>
          </w:tcPr>
          <w:p w14:paraId="3AF4369B"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2</w:t>
            </w:r>
          </w:p>
        </w:tc>
        <w:tc>
          <w:tcPr>
            <w:tcW w:w="974" w:type="dxa"/>
            <w:vAlign w:val="center"/>
          </w:tcPr>
          <w:p w14:paraId="45DFB6A5"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Střední</w:t>
            </w:r>
          </w:p>
        </w:tc>
        <w:tc>
          <w:tcPr>
            <w:tcW w:w="1649" w:type="dxa"/>
            <w:vMerge w:val="restart"/>
            <w:vAlign w:val="center"/>
          </w:tcPr>
          <w:p w14:paraId="326EA5B8" w14:textId="77777777" w:rsidR="000369D0" w:rsidRPr="000369D0" w:rsidRDefault="000369D0" w:rsidP="000369D0">
            <w:pPr>
              <w:keepNext/>
              <w:spacing w:after="0" w:line="240" w:lineRule="auto"/>
              <w:jc w:val="center"/>
              <w:rPr>
                <w:rFonts w:eastAsia="Times New Roman" w:cs="Times New Roman"/>
                <w:b/>
                <w:bCs/>
                <w:sz w:val="20"/>
                <w:szCs w:val="20"/>
                <w:lang w:eastAsia="cs-CZ"/>
              </w:rPr>
            </w:pPr>
            <w:r w:rsidRPr="000369D0">
              <w:rPr>
                <w:rFonts w:eastAsia="Times New Roman" w:cs="Times New Roman"/>
                <w:b/>
                <w:bCs/>
                <w:sz w:val="20"/>
                <w:szCs w:val="20"/>
                <w:lang w:eastAsia="cs-CZ"/>
              </w:rPr>
              <w:t>NEVEŘEJNÉ INFORMACE</w:t>
            </w:r>
          </w:p>
        </w:tc>
        <w:tc>
          <w:tcPr>
            <w:tcW w:w="2636" w:type="dxa"/>
            <w:vAlign w:val="center"/>
          </w:tcPr>
          <w:p w14:paraId="59D84C26" w14:textId="77777777" w:rsidR="000369D0" w:rsidRPr="000369D0" w:rsidRDefault="000369D0" w:rsidP="000369D0">
            <w:pPr>
              <w:widowControl w:val="0"/>
              <w:suppressAutoHyphens/>
              <w:spacing w:after="0" w:line="240" w:lineRule="auto"/>
              <w:jc w:val="center"/>
              <w:rPr>
                <w:rFonts w:eastAsia="Lucida Sans Unicode" w:cs="Times New Roman"/>
                <w:b/>
                <w:bCs/>
                <w:color w:val="92D050"/>
                <w:kern w:val="2"/>
                <w:sz w:val="20"/>
                <w:szCs w:val="24"/>
                <w:lang w:eastAsia="cs-CZ"/>
              </w:rPr>
            </w:pPr>
            <w:proofErr w:type="gramStart"/>
            <w:r w:rsidRPr="000369D0">
              <w:rPr>
                <w:rFonts w:eastAsia="Lucida Sans Unicode" w:cs="Times New Roman"/>
                <w:b/>
                <w:color w:val="33FF00"/>
                <w:kern w:val="2"/>
                <w:sz w:val="20"/>
                <w:szCs w:val="24"/>
                <w:lang w:eastAsia="cs-CZ"/>
              </w:rPr>
              <w:t>TLP:GREEN</w:t>
            </w:r>
            <w:proofErr w:type="gramEnd"/>
          </w:p>
        </w:tc>
        <w:tc>
          <w:tcPr>
            <w:tcW w:w="2686" w:type="dxa"/>
            <w:vAlign w:val="center"/>
          </w:tcPr>
          <w:p w14:paraId="59EE3282" w14:textId="77777777" w:rsidR="000369D0" w:rsidRPr="000369D0" w:rsidRDefault="000369D0" w:rsidP="000369D0">
            <w:pPr>
              <w:keepNext/>
              <w:spacing w:after="0" w:line="240" w:lineRule="auto"/>
              <w:rPr>
                <w:rFonts w:eastAsia="Times New Roman" w:cs="Times New Roman"/>
                <w:szCs w:val="18"/>
                <w:lang w:eastAsia="cs-CZ"/>
              </w:rPr>
            </w:pPr>
            <w:r w:rsidRPr="000369D0">
              <w:rPr>
                <w:rFonts w:eastAsia="Times New Roman" w:cs="Times New Roman"/>
                <w:szCs w:val="18"/>
                <w:lang w:eastAsia="cs-CZ"/>
              </w:rPr>
              <w:t>Nejméně jeden z bezpečnostních parametrů ve střední úrovni, ostatní v úrovni stejné či nižší</w:t>
            </w:r>
          </w:p>
        </w:tc>
      </w:tr>
      <w:tr w:rsidR="000369D0" w:rsidRPr="000369D0" w14:paraId="7E4013E0" w14:textId="77777777" w:rsidTr="00B228A8">
        <w:trPr>
          <w:trHeight w:val="567"/>
          <w:jc w:val="center"/>
        </w:trPr>
        <w:tc>
          <w:tcPr>
            <w:tcW w:w="1115" w:type="dxa"/>
            <w:vAlign w:val="center"/>
          </w:tcPr>
          <w:p w14:paraId="08137893"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3</w:t>
            </w:r>
          </w:p>
        </w:tc>
        <w:tc>
          <w:tcPr>
            <w:tcW w:w="974" w:type="dxa"/>
            <w:vAlign w:val="center"/>
          </w:tcPr>
          <w:p w14:paraId="6E055739"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Vysoká</w:t>
            </w:r>
          </w:p>
        </w:tc>
        <w:tc>
          <w:tcPr>
            <w:tcW w:w="1649" w:type="dxa"/>
            <w:vMerge/>
            <w:vAlign w:val="center"/>
          </w:tcPr>
          <w:p w14:paraId="5DF00BE8" w14:textId="77777777" w:rsidR="000369D0" w:rsidRPr="000369D0" w:rsidRDefault="000369D0" w:rsidP="000369D0">
            <w:pPr>
              <w:keepNext/>
              <w:spacing w:after="0" w:line="240" w:lineRule="auto"/>
              <w:jc w:val="both"/>
              <w:rPr>
                <w:rFonts w:eastAsia="Times New Roman" w:cs="Times New Roman"/>
                <w:sz w:val="20"/>
                <w:szCs w:val="20"/>
                <w:lang w:eastAsia="cs-CZ"/>
              </w:rPr>
            </w:pPr>
          </w:p>
        </w:tc>
        <w:tc>
          <w:tcPr>
            <w:tcW w:w="2636" w:type="dxa"/>
            <w:vAlign w:val="center"/>
          </w:tcPr>
          <w:p w14:paraId="5D05BA31" w14:textId="77777777" w:rsidR="000369D0" w:rsidRPr="000369D0" w:rsidRDefault="000369D0" w:rsidP="000369D0">
            <w:pPr>
              <w:widowControl w:val="0"/>
              <w:suppressAutoHyphens/>
              <w:spacing w:after="60" w:line="240" w:lineRule="auto"/>
              <w:jc w:val="center"/>
              <w:rPr>
                <w:rFonts w:eastAsia="Lucida Sans Unicode" w:cs="Times New Roman"/>
                <w:b/>
                <w:bCs/>
                <w:color w:val="FFC000"/>
                <w:kern w:val="2"/>
                <w:sz w:val="20"/>
                <w:szCs w:val="24"/>
                <w:lang w:eastAsia="cs-CZ"/>
              </w:rPr>
            </w:pPr>
            <w:proofErr w:type="gramStart"/>
            <w:r w:rsidRPr="000369D0">
              <w:rPr>
                <w:rFonts w:eastAsia="Lucida Sans Unicode" w:cs="Times New Roman"/>
                <w:b/>
                <w:bCs/>
                <w:color w:val="FFC000"/>
                <w:kern w:val="2"/>
                <w:sz w:val="20"/>
                <w:szCs w:val="24"/>
                <w:lang w:eastAsia="cs-CZ"/>
              </w:rPr>
              <w:t>TLP:AMBER</w:t>
            </w:r>
            <w:proofErr w:type="gramEnd"/>
          </w:p>
          <w:p w14:paraId="3FC4CDC1" w14:textId="77777777" w:rsidR="000369D0" w:rsidRPr="000369D0" w:rsidRDefault="000369D0" w:rsidP="000369D0">
            <w:pPr>
              <w:widowControl w:val="0"/>
              <w:suppressAutoHyphens/>
              <w:spacing w:after="60" w:line="240" w:lineRule="auto"/>
              <w:jc w:val="center"/>
              <w:rPr>
                <w:rFonts w:eastAsia="Lucida Sans Unicode" w:cs="Times New Roman"/>
                <w:b/>
                <w:bCs/>
                <w:color w:val="FFC000"/>
                <w:kern w:val="2"/>
                <w:sz w:val="20"/>
                <w:szCs w:val="24"/>
                <w:lang w:eastAsia="cs-CZ"/>
              </w:rPr>
            </w:pPr>
            <w:proofErr w:type="gramStart"/>
            <w:r w:rsidRPr="000369D0">
              <w:rPr>
                <w:rFonts w:eastAsia="Lucida Sans Unicode" w:cs="Times New Roman"/>
                <w:b/>
                <w:bCs/>
                <w:color w:val="FFC000"/>
                <w:kern w:val="2"/>
                <w:sz w:val="20"/>
                <w:szCs w:val="24"/>
                <w:lang w:eastAsia="cs-CZ"/>
              </w:rPr>
              <w:t>TLP:AMBER</w:t>
            </w:r>
            <w:proofErr w:type="gramEnd"/>
            <w:r w:rsidRPr="000369D0">
              <w:rPr>
                <w:rFonts w:eastAsia="Lucida Sans Unicode" w:cs="Times New Roman"/>
                <w:b/>
                <w:bCs/>
                <w:color w:val="FFC000"/>
                <w:kern w:val="2"/>
                <w:sz w:val="20"/>
                <w:szCs w:val="24"/>
                <w:lang w:eastAsia="cs-CZ"/>
              </w:rPr>
              <w:t>+STRICT</w:t>
            </w:r>
          </w:p>
        </w:tc>
        <w:tc>
          <w:tcPr>
            <w:tcW w:w="2686" w:type="dxa"/>
            <w:vAlign w:val="center"/>
          </w:tcPr>
          <w:p w14:paraId="7C164ACA" w14:textId="77777777" w:rsidR="000369D0" w:rsidRPr="000369D0" w:rsidRDefault="000369D0" w:rsidP="000369D0">
            <w:pPr>
              <w:keepNext/>
              <w:spacing w:after="0" w:line="240" w:lineRule="auto"/>
              <w:rPr>
                <w:rFonts w:eastAsia="Times New Roman" w:cs="Times New Roman"/>
                <w:szCs w:val="18"/>
                <w:lang w:eastAsia="cs-CZ"/>
              </w:rPr>
            </w:pPr>
            <w:r w:rsidRPr="000369D0">
              <w:rPr>
                <w:rFonts w:eastAsia="Times New Roman" w:cs="Times New Roman"/>
                <w:szCs w:val="18"/>
                <w:lang w:eastAsia="cs-CZ"/>
              </w:rPr>
              <w:t>Nejméně jeden z bezpečnostních parametrů ve vysoké úrovni, ostatní v úrovni stejné či nižší</w:t>
            </w:r>
          </w:p>
        </w:tc>
      </w:tr>
      <w:tr w:rsidR="000369D0" w:rsidRPr="000369D0" w14:paraId="46F625F6" w14:textId="77777777" w:rsidTr="00B228A8">
        <w:trPr>
          <w:trHeight w:val="567"/>
          <w:jc w:val="center"/>
        </w:trPr>
        <w:tc>
          <w:tcPr>
            <w:tcW w:w="1115" w:type="dxa"/>
            <w:vAlign w:val="center"/>
          </w:tcPr>
          <w:p w14:paraId="7B47792C"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4</w:t>
            </w:r>
          </w:p>
        </w:tc>
        <w:tc>
          <w:tcPr>
            <w:tcW w:w="974" w:type="dxa"/>
            <w:vAlign w:val="center"/>
          </w:tcPr>
          <w:p w14:paraId="0000967B" w14:textId="77777777" w:rsidR="000369D0" w:rsidRPr="000369D0" w:rsidRDefault="000369D0" w:rsidP="000369D0">
            <w:pPr>
              <w:widowControl w:val="0"/>
              <w:suppressAutoHyphens/>
              <w:spacing w:after="0" w:line="240" w:lineRule="auto"/>
              <w:jc w:val="center"/>
              <w:rPr>
                <w:rFonts w:eastAsia="Lucida Sans Unicode" w:cs="Arial"/>
                <w:kern w:val="2"/>
                <w:szCs w:val="18"/>
                <w:lang w:eastAsia="cs-CZ"/>
              </w:rPr>
            </w:pPr>
            <w:r w:rsidRPr="000369D0">
              <w:rPr>
                <w:rFonts w:eastAsia="Lucida Sans Unicode" w:cs="Arial"/>
                <w:kern w:val="2"/>
                <w:szCs w:val="18"/>
                <w:lang w:eastAsia="cs-CZ"/>
              </w:rPr>
              <w:t>Kritická</w:t>
            </w:r>
          </w:p>
        </w:tc>
        <w:tc>
          <w:tcPr>
            <w:tcW w:w="1649" w:type="dxa"/>
            <w:vMerge/>
            <w:vAlign w:val="center"/>
          </w:tcPr>
          <w:p w14:paraId="3199AC26" w14:textId="77777777" w:rsidR="000369D0" w:rsidRPr="000369D0" w:rsidRDefault="000369D0" w:rsidP="000369D0">
            <w:pPr>
              <w:keepNext/>
              <w:spacing w:after="0" w:line="240" w:lineRule="auto"/>
              <w:jc w:val="both"/>
              <w:rPr>
                <w:rFonts w:eastAsia="Times New Roman" w:cs="Times New Roman"/>
                <w:sz w:val="20"/>
                <w:szCs w:val="20"/>
                <w:lang w:eastAsia="cs-CZ"/>
              </w:rPr>
            </w:pPr>
          </w:p>
        </w:tc>
        <w:tc>
          <w:tcPr>
            <w:tcW w:w="2636" w:type="dxa"/>
            <w:vAlign w:val="center"/>
          </w:tcPr>
          <w:p w14:paraId="6F6E01E0" w14:textId="77777777" w:rsidR="000369D0" w:rsidRPr="000369D0" w:rsidRDefault="000369D0" w:rsidP="000369D0">
            <w:pPr>
              <w:keepNext/>
              <w:spacing w:after="0" w:line="240" w:lineRule="auto"/>
              <w:jc w:val="center"/>
              <w:rPr>
                <w:rFonts w:eastAsia="Times New Roman" w:cs="Times New Roman"/>
                <w:sz w:val="20"/>
                <w:szCs w:val="20"/>
                <w:lang w:eastAsia="cs-CZ"/>
              </w:rPr>
            </w:pPr>
            <w:proofErr w:type="gramStart"/>
            <w:r w:rsidRPr="000369D0">
              <w:rPr>
                <w:rFonts w:eastAsia="Times New Roman" w:cs="Times New Roman"/>
                <w:b/>
                <w:bCs/>
                <w:color w:val="FF0000"/>
                <w:sz w:val="20"/>
                <w:szCs w:val="20"/>
                <w:lang w:eastAsia="cs-CZ"/>
              </w:rPr>
              <w:t>TLP:RED</w:t>
            </w:r>
            <w:proofErr w:type="gramEnd"/>
          </w:p>
        </w:tc>
        <w:tc>
          <w:tcPr>
            <w:tcW w:w="2686" w:type="dxa"/>
            <w:vAlign w:val="center"/>
          </w:tcPr>
          <w:p w14:paraId="6A4ACE5B" w14:textId="77777777" w:rsidR="000369D0" w:rsidRPr="000369D0" w:rsidRDefault="000369D0" w:rsidP="000369D0">
            <w:pPr>
              <w:keepNext/>
              <w:spacing w:after="0" w:line="240" w:lineRule="auto"/>
              <w:rPr>
                <w:rFonts w:eastAsia="Times New Roman" w:cs="Times New Roman"/>
                <w:szCs w:val="18"/>
                <w:lang w:eastAsia="cs-CZ"/>
              </w:rPr>
            </w:pPr>
            <w:r w:rsidRPr="000369D0">
              <w:rPr>
                <w:rFonts w:eastAsia="Times New Roman" w:cs="Times New Roman"/>
                <w:szCs w:val="18"/>
                <w:lang w:eastAsia="cs-CZ"/>
              </w:rPr>
              <w:t>Nejméně jeden z bezpečnostních parametrů v kritické úrovni, ostatní v úrovni stejné či nižší</w:t>
            </w:r>
          </w:p>
          <w:p w14:paraId="52DB6D1F" w14:textId="77777777" w:rsidR="000369D0" w:rsidRPr="000369D0" w:rsidRDefault="000369D0" w:rsidP="000369D0">
            <w:pPr>
              <w:widowControl w:val="0"/>
              <w:suppressAutoHyphens/>
              <w:spacing w:after="0" w:line="240" w:lineRule="auto"/>
              <w:rPr>
                <w:rFonts w:eastAsia="Lucida Sans Unicode" w:cs="Times New Roman"/>
                <w:kern w:val="2"/>
                <w:szCs w:val="24"/>
                <w:lang w:eastAsia="cs-CZ"/>
              </w:rPr>
            </w:pPr>
          </w:p>
        </w:tc>
      </w:tr>
    </w:tbl>
    <w:p w14:paraId="6C1B3731" w14:textId="77777777" w:rsidR="000369D0" w:rsidRPr="000369D0" w:rsidRDefault="000369D0" w:rsidP="00146491">
      <w:pPr>
        <w:keepLines/>
        <w:spacing w:before="60" w:after="60"/>
        <w:ind w:left="851"/>
        <w:jc w:val="both"/>
        <w:outlineLvl w:val="1"/>
        <w:rPr>
          <w:szCs w:val="18"/>
        </w:rPr>
      </w:pPr>
    </w:p>
    <w:p w14:paraId="6B21310F" w14:textId="5C560697" w:rsidR="000369D0" w:rsidRPr="000369D0" w:rsidRDefault="000369D0" w:rsidP="00735AE3">
      <w:pPr>
        <w:pStyle w:val="Odstavecseseznamem"/>
        <w:spacing w:after="60"/>
        <w:ind w:left="709" w:hanging="679"/>
        <w:jc w:val="both"/>
        <w:rPr>
          <w:szCs w:val="18"/>
        </w:rPr>
      </w:pPr>
      <w:r w:rsidRPr="000369D0">
        <w:rPr>
          <w:szCs w:val="18"/>
        </w:rPr>
        <w:t>Poskytovatel</w:t>
      </w:r>
      <w:r w:rsidR="001D261A">
        <w:rPr>
          <w:szCs w:val="18"/>
        </w:rPr>
        <w:t xml:space="preserve"> </w:t>
      </w:r>
      <w:r w:rsidRPr="000369D0">
        <w:rPr>
          <w:szCs w:val="18"/>
        </w:rPr>
        <w:t xml:space="preserve">je povinen zavést vhodná opatření pro ochranu informací přiměřená úrovni jejich klasifikace, která budou vyžadovat minimálně stejná bezpečnostní pravidla pro zacházení s aktivy Objednatele, která jsou uvedena v následujících tabulkách. </w:t>
      </w:r>
    </w:p>
    <w:p w14:paraId="6F7B8549"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Bezpečnost lidských zdrojů</w:t>
      </w:r>
    </w:p>
    <w:p w14:paraId="70B5459E" w14:textId="2ED80683" w:rsidR="000369D0" w:rsidRPr="0088766F" w:rsidRDefault="000369D0" w:rsidP="00354003">
      <w:pPr>
        <w:pStyle w:val="Odstavecseseznamem"/>
        <w:spacing w:after="60"/>
        <w:ind w:left="709" w:hanging="679"/>
        <w:jc w:val="both"/>
      </w:pPr>
      <w:r w:rsidRPr="0088766F">
        <w:t>Poskytovatel se zavazuje prověřit každého pracovníka před umožněním přístupu k Datům nebo před jeho zapojením do činností, které by mohly ovlivnit bezpečnost poskytovaných Plnění dle Smlouvy, a to alespoň z hlediska:</w:t>
      </w:r>
    </w:p>
    <w:p w14:paraId="753CA13A" w14:textId="77777777" w:rsidR="000369D0" w:rsidRPr="000369D0" w:rsidRDefault="000369D0" w:rsidP="00D73B30">
      <w:pPr>
        <w:pStyle w:val="Nadpis3"/>
        <w:ind w:left="1418" w:hanging="709"/>
      </w:pPr>
      <w:r w:rsidRPr="000369D0">
        <w:t>kontroly dosaženého vzdělání a odborné kvalifikace;</w:t>
      </w:r>
    </w:p>
    <w:p w14:paraId="32021E64" w14:textId="77777777" w:rsidR="000369D0" w:rsidRPr="000369D0" w:rsidRDefault="000369D0" w:rsidP="00D73B30">
      <w:pPr>
        <w:pStyle w:val="Nadpis3"/>
        <w:ind w:left="1418" w:hanging="709"/>
        <w:rPr>
          <w:szCs w:val="18"/>
        </w:rPr>
      </w:pPr>
      <w:r w:rsidRPr="000369D0">
        <w:rPr>
          <w:szCs w:val="18"/>
        </w:rPr>
        <w:lastRenderedPageBreak/>
        <w:t>ověření bezpečnostní způsobilosti dle výpisu z rejstříku trestů;</w:t>
      </w:r>
    </w:p>
    <w:p w14:paraId="1654A099" w14:textId="77777777" w:rsidR="000369D0" w:rsidRPr="000369D0" w:rsidRDefault="000369D0" w:rsidP="009F6E48">
      <w:pPr>
        <w:pStyle w:val="Nadpis3"/>
        <w:ind w:left="1418" w:hanging="709"/>
        <w:rPr>
          <w:szCs w:val="18"/>
        </w:rPr>
      </w:pPr>
      <w:r w:rsidRPr="000369D0">
        <w:rPr>
          <w:szCs w:val="18"/>
        </w:rPr>
        <w:t>profesních zkušeností, jde-li o pracovníky, kteří mají zastávat bezpečnostní nebo administrátorské role.</w:t>
      </w:r>
    </w:p>
    <w:p w14:paraId="47A1BEE2" w14:textId="5735F184" w:rsidR="000369D0" w:rsidRPr="000369D0" w:rsidRDefault="000369D0" w:rsidP="00DB2D5F">
      <w:pPr>
        <w:pStyle w:val="Odstavecseseznamem"/>
        <w:spacing w:after="60"/>
        <w:ind w:left="709" w:hanging="679"/>
        <w:jc w:val="both"/>
        <w:rPr>
          <w:szCs w:val="18"/>
        </w:rPr>
      </w:pPr>
      <w:r w:rsidRPr="000369D0">
        <w:rPr>
          <w:szCs w:val="18"/>
        </w:rPr>
        <w:t xml:space="preserve">Poskytovatel zavede pravidelné školení svých pracovníků v oblasti kybernetické bezpečnosti a základní kybernetické hygieny, realizuje alespoň </w:t>
      </w:r>
      <w:r w:rsidRPr="000369D0">
        <w:rPr>
          <w:rFonts w:eastAsiaTheme="majorEastAsia" w:cstheme="majorBidi"/>
          <w:szCs w:val="18"/>
        </w:rPr>
        <w:t>jednou ročně</w:t>
      </w:r>
      <w:r w:rsidRPr="000369D0">
        <w:rPr>
          <w:szCs w:val="18"/>
        </w:rPr>
        <w:t xml:space="preserve"> další doplňující aktivity rozvoje a ověřování povědomí v oblasti kybernetické bezpečnosti a vede o tomto školení a</w:t>
      </w:r>
      <w:r w:rsidR="006B5E74">
        <w:rPr>
          <w:szCs w:val="18"/>
        </w:rPr>
        <w:t> </w:t>
      </w:r>
      <w:r w:rsidRPr="000369D0">
        <w:rPr>
          <w:szCs w:val="18"/>
        </w:rPr>
        <w:t>realizovaných aktivitách spolehlivou evidenci.</w:t>
      </w:r>
    </w:p>
    <w:p w14:paraId="2324D1E0" w14:textId="77777777" w:rsidR="000369D0" w:rsidRPr="000369D0" w:rsidRDefault="000369D0" w:rsidP="00BC4856">
      <w:pPr>
        <w:pStyle w:val="Odstavecseseznamem"/>
        <w:spacing w:after="60"/>
        <w:ind w:left="709" w:hanging="679"/>
        <w:jc w:val="both"/>
        <w:rPr>
          <w:szCs w:val="18"/>
        </w:rPr>
      </w:pPr>
      <w:r w:rsidRPr="000369D0">
        <w:rPr>
          <w:szCs w:val="18"/>
        </w:rPr>
        <w:t>Poskytovatel poučí své pracovníky o požadavcích dle této Přílohy před umožněním jejich přístupu k Datům nebo před jejich zapojením do činností, které by mohly ovlivnit bezpečnost v souvislosti s poskytováním Plnění dle Smlouvy.</w:t>
      </w:r>
    </w:p>
    <w:p w14:paraId="569435D2" w14:textId="77777777" w:rsidR="000369D0" w:rsidRPr="000369D0" w:rsidRDefault="000369D0" w:rsidP="00197FA3">
      <w:pPr>
        <w:pStyle w:val="Odstavecseseznamem"/>
        <w:spacing w:after="60"/>
        <w:ind w:left="709" w:hanging="679"/>
        <w:jc w:val="both"/>
        <w:rPr>
          <w:szCs w:val="18"/>
        </w:rPr>
      </w:pPr>
      <w:r w:rsidRPr="000369D0">
        <w:rPr>
          <w:szCs w:val="18"/>
        </w:rPr>
        <w:t>Poskytovatel zajistí, aby pracovníci před umožněním jejich přístupu k Datům nebo před zapojením do činností, které by mohly ovlivnit bezpečnost poskytovaného Plnění dle Smlouvy, měli uzavřenou dohodu o zachování mlčenlivosti (důvěrnosti) Dat s adekvátní dobou trvání povinnosti mlčenlivosti.</w:t>
      </w:r>
    </w:p>
    <w:p w14:paraId="0EE1A304" w14:textId="77777777" w:rsidR="000369D0" w:rsidRPr="000369D0" w:rsidRDefault="000369D0" w:rsidP="00D333C3">
      <w:pPr>
        <w:pStyle w:val="Odstavecseseznamem"/>
        <w:spacing w:after="60"/>
        <w:ind w:left="709" w:hanging="679"/>
        <w:jc w:val="both"/>
        <w:rPr>
          <w:szCs w:val="18"/>
        </w:rPr>
      </w:pPr>
      <w:r w:rsidRPr="000369D0">
        <w:rPr>
          <w:szCs w:val="18"/>
        </w:rPr>
        <w:t>Poskytovatel zajistí procesy a pravidla vedení disciplinárního řízení (zejména odstupňované reakce) a v případě potřeby provádí disciplinární řízení k přijetí opatření vůči pracovníkům, kteří porušili povinnosti v oblasti kybernetické bezpečnosti.</w:t>
      </w:r>
    </w:p>
    <w:p w14:paraId="01378F3F" w14:textId="77777777" w:rsidR="000369D0" w:rsidRPr="000369D0" w:rsidRDefault="000369D0" w:rsidP="00724336">
      <w:pPr>
        <w:pStyle w:val="Odstavecseseznamem"/>
        <w:spacing w:after="60"/>
        <w:ind w:left="709" w:hanging="679"/>
        <w:jc w:val="both"/>
        <w:rPr>
          <w:szCs w:val="18"/>
        </w:rPr>
      </w:pPr>
      <w:r w:rsidRPr="000369D0">
        <w:rPr>
          <w:szCs w:val="18"/>
        </w:rPr>
        <w:t>Poskytovatel zajistí dostatečnou míru zastupitelnosti pro role odpovědné za technické bezpečnostní aspekty poskytovaného Plnění dle Smlouvy.</w:t>
      </w:r>
    </w:p>
    <w:p w14:paraId="4B7F1F9B"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Řízení provozu</w:t>
      </w:r>
    </w:p>
    <w:p w14:paraId="66EC4E3B" w14:textId="3F91CFCC" w:rsidR="000369D0" w:rsidRPr="0088766F" w:rsidRDefault="000369D0" w:rsidP="003C290E">
      <w:pPr>
        <w:pStyle w:val="Odstavecseseznamem"/>
        <w:spacing w:after="60"/>
        <w:ind w:left="709" w:hanging="679"/>
        <w:jc w:val="both"/>
      </w:pPr>
      <w:r w:rsidRPr="0088766F">
        <w:t>Poskytovatel stanoví práva, povinnosti a odpovědnosti administrátorů, uživatelů a osob zastávajících bezpečnostní role a bude je vymáhat.</w:t>
      </w:r>
    </w:p>
    <w:p w14:paraId="12821955" w14:textId="19913040" w:rsidR="000369D0" w:rsidRPr="000369D0" w:rsidRDefault="000369D0" w:rsidP="00EA7BD3">
      <w:pPr>
        <w:pStyle w:val="Odstavecseseznamem"/>
        <w:spacing w:after="60"/>
        <w:ind w:left="709" w:hanging="679"/>
        <w:jc w:val="both"/>
        <w:rPr>
          <w:szCs w:val="18"/>
        </w:rPr>
      </w:pPr>
      <w:r w:rsidRPr="000369D0">
        <w:rPr>
          <w:szCs w:val="18"/>
        </w:rPr>
        <w:t>Poskytovatel stanoví pravidla a postupy pro ochranu před škodlivým kódem a pravidla a</w:t>
      </w:r>
      <w:r w:rsidR="006B5E74">
        <w:rPr>
          <w:szCs w:val="18"/>
        </w:rPr>
        <w:t> </w:t>
      </w:r>
      <w:r w:rsidRPr="000369D0">
        <w:rPr>
          <w:szCs w:val="18"/>
        </w:rPr>
        <w:t>postupy pro řízení technických zranitelností a zavede je do praxe.</w:t>
      </w:r>
    </w:p>
    <w:p w14:paraId="24129AF0" w14:textId="77777777" w:rsidR="000369D0" w:rsidRPr="000369D0" w:rsidRDefault="000369D0" w:rsidP="00E010C3">
      <w:pPr>
        <w:pStyle w:val="Odstavecseseznamem"/>
        <w:spacing w:after="60"/>
        <w:ind w:left="709" w:hanging="679"/>
        <w:jc w:val="both"/>
        <w:rPr>
          <w:szCs w:val="18"/>
        </w:rPr>
      </w:pPr>
      <w:r w:rsidRPr="000369D0">
        <w:rPr>
          <w:szCs w:val="18"/>
        </w:rPr>
        <w:t xml:space="preserve">Poskytovatel stanoví pravidla a postupy k provádění pravidelného zálohování a kontroly použitelnosti prováděných záloh </w:t>
      </w:r>
      <w:r w:rsidRPr="000369D0">
        <w:t>a bude je dodržovat.</w:t>
      </w:r>
    </w:p>
    <w:p w14:paraId="78CEA07B" w14:textId="77777777" w:rsidR="000369D0" w:rsidRPr="000369D0" w:rsidRDefault="000369D0" w:rsidP="005978C1">
      <w:pPr>
        <w:pStyle w:val="Odstavecseseznamem"/>
        <w:spacing w:after="60"/>
        <w:ind w:left="709" w:hanging="679"/>
        <w:jc w:val="both"/>
        <w:rPr>
          <w:szCs w:val="18"/>
        </w:rPr>
      </w:pPr>
      <w:r w:rsidRPr="000369D0">
        <w:rPr>
          <w:szCs w:val="18"/>
        </w:rPr>
        <w:t xml:space="preserve">Poskytovatel stanoví pravidla pro zajištění oddělení vývojového, testovacího a provozního prostředí </w:t>
      </w:r>
      <w:r w:rsidRPr="000369D0">
        <w:t>a zajistí jejich dodržování.</w:t>
      </w:r>
    </w:p>
    <w:p w14:paraId="29EF90D6"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Řízení přístupu</w:t>
      </w:r>
    </w:p>
    <w:p w14:paraId="669428D9" w14:textId="72B9901D" w:rsidR="000369D0" w:rsidRPr="0088766F" w:rsidRDefault="000369D0" w:rsidP="00642DB7">
      <w:pPr>
        <w:pStyle w:val="Odstavecseseznamem"/>
        <w:spacing w:after="60"/>
        <w:ind w:left="709" w:hanging="679"/>
        <w:jc w:val="both"/>
      </w:pPr>
      <w:r w:rsidRPr="0088766F">
        <w:t>Poskytovatel se zavazuje zavést a dodržovat přiměřená bezpečnostní opatření, která budou odpovídat následujícím zásadám řízení přístupu:</w:t>
      </w:r>
    </w:p>
    <w:p w14:paraId="5CEFF521" w14:textId="77777777" w:rsidR="000369D0" w:rsidRPr="000369D0" w:rsidRDefault="000369D0" w:rsidP="00FE2D20">
      <w:pPr>
        <w:pStyle w:val="Nadpis3"/>
        <w:ind w:left="1418" w:hanging="709"/>
      </w:pPr>
      <w:r w:rsidRPr="000369D0">
        <w:t>v prostředí Poskytovatele mohou být provozována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7C9BED31" w14:textId="77777777" w:rsidR="000369D0" w:rsidRPr="000369D0" w:rsidRDefault="000369D0" w:rsidP="00FE2D20">
      <w:pPr>
        <w:pStyle w:val="Nadpis3"/>
        <w:ind w:left="1418" w:hanging="709"/>
        <w:rPr>
          <w:szCs w:val="18"/>
        </w:rPr>
      </w:pPr>
      <w:r w:rsidRPr="000369D0">
        <w:rPr>
          <w:szCs w:val="18"/>
        </w:rPr>
        <w:t>Poskytovatel je povinen zajistit, že součástí každé aplikace je funkce řízení přístupu odpovídající kritičnosti zpracovávaných informací;</w:t>
      </w:r>
    </w:p>
    <w:p w14:paraId="04E77AD3" w14:textId="77777777" w:rsidR="000369D0" w:rsidRPr="000369D0" w:rsidRDefault="000369D0" w:rsidP="00821CA5">
      <w:pPr>
        <w:pStyle w:val="Nadpis3"/>
        <w:ind w:left="1418" w:hanging="709"/>
        <w:rPr>
          <w:szCs w:val="18"/>
        </w:rPr>
      </w:pPr>
      <w:r w:rsidRPr="000369D0">
        <w:rPr>
          <w:szCs w:val="18"/>
        </w:rPr>
        <w:t>uživatelské účty musí být adekvátně chráněny prostřednictvím autentizačních mechanismů;</w:t>
      </w:r>
    </w:p>
    <w:p w14:paraId="3F5F943E" w14:textId="77777777" w:rsidR="000369D0" w:rsidRPr="000369D0" w:rsidRDefault="000369D0" w:rsidP="00BF5B76">
      <w:pPr>
        <w:pStyle w:val="Nadpis3"/>
        <w:ind w:left="1418" w:hanging="709"/>
        <w:rPr>
          <w:szCs w:val="18"/>
        </w:rPr>
      </w:pPr>
      <w:r w:rsidRPr="000369D0">
        <w:rPr>
          <w:szCs w:val="18"/>
        </w:rPr>
        <w:t>uživatelské účty musí být vytvářeny výhradně pro fyzické osoby a výhradně fyzickými osobami využívány. Jedinou výjimkou jsou technické účty;</w:t>
      </w:r>
    </w:p>
    <w:p w14:paraId="50C6F314" w14:textId="279454DF" w:rsidR="000369D0" w:rsidRPr="000369D0" w:rsidRDefault="000369D0" w:rsidP="009525F8">
      <w:pPr>
        <w:pStyle w:val="Nadpis3"/>
        <w:ind w:left="1418" w:hanging="709"/>
        <w:rPr>
          <w:szCs w:val="18"/>
        </w:rPr>
      </w:pPr>
      <w:r w:rsidRPr="000369D0">
        <w:rPr>
          <w:szCs w:val="18"/>
        </w:rPr>
        <w:t>sdílené uživatelské účty, tedy účty, které má používat skupina lidí, by neměly být vytvářeny, protože neumožňují přiřazení individuální odpovědnosti. Nemělo by být k</w:t>
      </w:r>
      <w:r w:rsidR="006B5E74">
        <w:rPr>
          <w:szCs w:val="18"/>
        </w:rPr>
        <w:t> </w:t>
      </w:r>
      <w:r w:rsidRPr="000369D0">
        <w:rPr>
          <w:szCs w:val="18"/>
        </w:rPr>
        <w:t>dispozici anonymní používání systémů a služeb nebo používání sdílených účtů;</w:t>
      </w:r>
    </w:p>
    <w:p w14:paraId="7B6816F6" w14:textId="42951402" w:rsidR="000369D0" w:rsidRPr="000369D0" w:rsidRDefault="000369D0" w:rsidP="00BE3992">
      <w:pPr>
        <w:pStyle w:val="Nadpis3"/>
        <w:ind w:left="1418" w:hanging="709"/>
        <w:rPr>
          <w:szCs w:val="18"/>
        </w:rPr>
      </w:pPr>
      <w:r w:rsidRPr="000369D0">
        <w:rPr>
          <w:szCs w:val="18"/>
        </w:rPr>
        <w:lastRenderedPageBreak/>
        <w:t>uživatelé musí chránit své uživatelské účty, zejména své autentizační údaje a</w:t>
      </w:r>
      <w:r w:rsidR="006B5E74">
        <w:rPr>
          <w:szCs w:val="18"/>
        </w:rPr>
        <w:t> </w:t>
      </w:r>
      <w:r w:rsidRPr="000369D0">
        <w:rPr>
          <w:szCs w:val="18"/>
        </w:rPr>
        <w:t>nástroje a nesmí poskytnout tyto údaje třetí straně;</w:t>
      </w:r>
    </w:p>
    <w:p w14:paraId="6345CD42" w14:textId="77777777" w:rsidR="000369D0" w:rsidRPr="000369D0" w:rsidRDefault="000369D0" w:rsidP="00D00236">
      <w:pPr>
        <w:pStyle w:val="Nadpis3"/>
        <w:ind w:left="1418" w:hanging="709"/>
        <w:rPr>
          <w:szCs w:val="18"/>
        </w:rPr>
      </w:pPr>
      <w:r w:rsidRPr="000369D0">
        <w:rPr>
          <w:szCs w:val="18"/>
        </w:rPr>
        <w:t>výchozí nebo dočasná hesla musí být změněna při prvním použití uživatelem. Individuální heslo uživatele musí být uchováno v tajnosti;</w:t>
      </w:r>
    </w:p>
    <w:p w14:paraId="07E03A6A" w14:textId="77777777" w:rsidR="000369D0" w:rsidRPr="000369D0" w:rsidRDefault="000369D0" w:rsidP="008B7B41">
      <w:pPr>
        <w:pStyle w:val="Nadpis3"/>
        <w:ind w:left="1418" w:hanging="709"/>
        <w:rPr>
          <w:szCs w:val="18"/>
        </w:rPr>
      </w:pPr>
      <w:r w:rsidRPr="000369D0">
        <w:rPr>
          <w:szCs w:val="18"/>
        </w:rPr>
        <w:t>hesla, uživatelské účty a šifrovací klíče nesmí být nijak a s nikým sdíleny, např. telefonicky, e-mailem nebo jakýmkoliv jiným způsobem;</w:t>
      </w:r>
    </w:p>
    <w:p w14:paraId="402DBB64" w14:textId="77777777" w:rsidR="000369D0" w:rsidRPr="000369D0" w:rsidRDefault="000369D0" w:rsidP="00E126F6">
      <w:pPr>
        <w:pStyle w:val="Nadpis3"/>
        <w:ind w:left="1418" w:hanging="709"/>
        <w:rPr>
          <w:szCs w:val="18"/>
        </w:rPr>
      </w:pPr>
      <w:r w:rsidRPr="000369D0">
        <w:rPr>
          <w:szCs w:val="18"/>
        </w:rPr>
        <w:t>Poskytovatel musí monitorovat užívání sítí, služeb, aplikací a Dat, aby byl schopen zjistit neoprávněný přístup a zamezit mu. Aktivity administrátorů musí být logovány a logy musí být chráněny před změnou nebo neoprávněným přístupem;</w:t>
      </w:r>
    </w:p>
    <w:p w14:paraId="357ABEB9" w14:textId="77777777" w:rsidR="000369D0" w:rsidRPr="000369D0" w:rsidRDefault="000369D0" w:rsidP="007E327D">
      <w:pPr>
        <w:pStyle w:val="Nadpis3"/>
        <w:ind w:left="1418" w:hanging="709"/>
        <w:rPr>
          <w:szCs w:val="18"/>
        </w:rPr>
      </w:pPr>
      <w:r w:rsidRPr="000369D0">
        <w:rPr>
          <w:szCs w:val="18"/>
        </w:rPr>
        <w:t>používání nepersonifikovaných účtů (např. “</w:t>
      </w:r>
      <w:proofErr w:type="spellStart"/>
      <w:r w:rsidRPr="000369D0">
        <w:rPr>
          <w:szCs w:val="18"/>
        </w:rPr>
        <w:t>root</w:t>
      </w:r>
      <w:proofErr w:type="spellEnd"/>
      <w:r w:rsidRPr="000369D0">
        <w:rPr>
          <w:szCs w:val="18"/>
        </w:rPr>
        <w:t>” nebo “správce”) je dovoleno pouze v případě, že není z technických důvodů jiná možnost. V tomto případě musí být přístup k takovým účtům monitorován a logován.</w:t>
      </w:r>
    </w:p>
    <w:p w14:paraId="40F39F6A" w14:textId="77777777" w:rsidR="000369D0" w:rsidRPr="000369D0" w:rsidRDefault="000369D0" w:rsidP="007475AD">
      <w:pPr>
        <w:pStyle w:val="Odstavecseseznamem"/>
        <w:spacing w:after="60"/>
        <w:ind w:left="709" w:hanging="679"/>
        <w:jc w:val="both"/>
        <w:rPr>
          <w:szCs w:val="18"/>
        </w:rPr>
      </w:pPr>
      <w:r w:rsidRPr="000369D0">
        <w:rPr>
          <w:szCs w:val="18"/>
        </w:rPr>
        <w:t>Role a řízení přístupů:</w:t>
      </w:r>
    </w:p>
    <w:p w14:paraId="5D378809" w14:textId="13E9B9A6" w:rsidR="000369D0" w:rsidRPr="000369D0" w:rsidRDefault="000369D0" w:rsidP="00611B13">
      <w:pPr>
        <w:pStyle w:val="Nadpis3"/>
        <w:ind w:left="1418" w:hanging="709"/>
      </w:pPr>
      <w:r w:rsidRPr="000369D0">
        <w:t>Poskytovatel je povinen implementovat oddělení povinností u rolí podílejících se na</w:t>
      </w:r>
      <w:r w:rsidR="006B5E74">
        <w:t> </w:t>
      </w:r>
      <w:r w:rsidRPr="000369D0">
        <w:t>řízení přístupu, a to nejméně na:</w:t>
      </w:r>
    </w:p>
    <w:p w14:paraId="366ABC01"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podávání žádostí o přístup,</w:t>
      </w:r>
    </w:p>
    <w:p w14:paraId="37BB3A12"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udílení přístupů, a</w:t>
      </w:r>
    </w:p>
    <w:p w14:paraId="24AF97DC"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správu přístupů;</w:t>
      </w:r>
    </w:p>
    <w:p w14:paraId="7F61AC28" w14:textId="77777777" w:rsidR="000369D0" w:rsidRPr="000369D0" w:rsidRDefault="000369D0" w:rsidP="00411BA8">
      <w:pPr>
        <w:pStyle w:val="Nadpis3"/>
        <w:ind w:left="1418" w:hanging="709"/>
        <w:rPr>
          <w:szCs w:val="18"/>
        </w:rPr>
      </w:pPr>
      <w:r w:rsidRPr="000369D0">
        <w:rPr>
          <w:szCs w:val="18"/>
        </w:rPr>
        <w:t>řízení přístupů by mělo být řešeno na základě rolí.</w:t>
      </w:r>
    </w:p>
    <w:p w14:paraId="6116878B" w14:textId="77777777" w:rsidR="000369D0" w:rsidRPr="000369D0" w:rsidRDefault="000369D0" w:rsidP="008278F1">
      <w:pPr>
        <w:pStyle w:val="Odstavecseseznamem"/>
        <w:spacing w:after="60"/>
        <w:ind w:left="709" w:hanging="679"/>
        <w:jc w:val="both"/>
        <w:rPr>
          <w:szCs w:val="18"/>
        </w:rPr>
      </w:pPr>
      <w:r w:rsidRPr="000369D0">
        <w:rPr>
          <w:szCs w:val="18"/>
        </w:rPr>
        <w:t>Politika řízení přístupu:</w:t>
      </w:r>
    </w:p>
    <w:p w14:paraId="385ADA01" w14:textId="77777777" w:rsidR="000369D0" w:rsidRPr="000369D0" w:rsidRDefault="000369D0" w:rsidP="000F5620">
      <w:pPr>
        <w:pStyle w:val="Nadpis3"/>
        <w:ind w:left="1418" w:hanging="709"/>
      </w:pPr>
      <w:r w:rsidRPr="000369D0">
        <w:t>politika řízení přístupu musí být pravidelně revidována a aktualizována. Politika musí odpovídat legislativním a smluvním požadavkům;</w:t>
      </w:r>
    </w:p>
    <w:p w14:paraId="106A3188" w14:textId="77777777" w:rsidR="000369D0" w:rsidRPr="000369D0" w:rsidRDefault="000369D0" w:rsidP="000F5620">
      <w:pPr>
        <w:pStyle w:val="Nadpis3"/>
        <w:ind w:left="1418" w:hanging="709"/>
        <w:rPr>
          <w:szCs w:val="18"/>
        </w:rPr>
      </w:pPr>
      <w:r w:rsidRPr="000369D0">
        <w:rPr>
          <w:szCs w:val="18"/>
        </w:rPr>
        <w:t xml:space="preserve">politika řízení přístupů musí požadovat: </w:t>
      </w:r>
    </w:p>
    <w:p w14:paraId="54FAE7BA"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schvalování žádostí uživatelů o přístup vlastníkem aktiva,</w:t>
      </w:r>
    </w:p>
    <w:p w14:paraId="3898A2B0"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oddělení neslučitelných povinností,</w:t>
      </w:r>
    </w:p>
    <w:p w14:paraId="52A604CA"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přístup na základě principu “</w:t>
      </w:r>
      <w:proofErr w:type="spellStart"/>
      <w:r w:rsidRPr="000369D0">
        <w:rPr>
          <w:szCs w:val="18"/>
        </w:rPr>
        <w:t>need</w:t>
      </w:r>
      <w:proofErr w:type="spellEnd"/>
      <w:r w:rsidRPr="000369D0">
        <w:rPr>
          <w:szCs w:val="18"/>
        </w:rPr>
        <w:t xml:space="preserve"> to </w:t>
      </w:r>
      <w:proofErr w:type="spellStart"/>
      <w:r w:rsidRPr="000369D0">
        <w:rPr>
          <w:szCs w:val="18"/>
        </w:rPr>
        <w:t>know</w:t>
      </w:r>
      <w:proofErr w:type="spellEnd"/>
      <w:r w:rsidRPr="000369D0">
        <w:rPr>
          <w:szCs w:val="18"/>
        </w:rPr>
        <w:t>”,</w:t>
      </w:r>
    </w:p>
    <w:p w14:paraId="4612A4D4"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zachování principu “</w:t>
      </w:r>
      <w:proofErr w:type="spellStart"/>
      <w:r w:rsidRPr="000369D0">
        <w:rPr>
          <w:szCs w:val="18"/>
        </w:rPr>
        <w:t>deny</w:t>
      </w:r>
      <w:proofErr w:type="spellEnd"/>
      <w:r w:rsidRPr="000369D0">
        <w:rPr>
          <w:szCs w:val="18"/>
        </w:rPr>
        <w:t xml:space="preserve"> by default”,</w:t>
      </w:r>
    </w:p>
    <w:p w14:paraId="544A44FD"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privilegovaná přístupová oprávnění,</w:t>
      </w:r>
    </w:p>
    <w:p w14:paraId="40456DEF"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sdílené uživatelské účty,</w:t>
      </w:r>
    </w:p>
    <w:p w14:paraId="4297435D"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revize přístupových oprávnění,</w:t>
      </w:r>
    </w:p>
    <w:p w14:paraId="400022F3" w14:textId="77777777" w:rsidR="000369D0" w:rsidRPr="000369D0" w:rsidRDefault="000369D0" w:rsidP="000369D0">
      <w:pPr>
        <w:keepLines/>
        <w:widowControl w:val="0"/>
        <w:numPr>
          <w:ilvl w:val="3"/>
          <w:numId w:val="0"/>
        </w:numPr>
        <w:suppressAutoHyphens/>
        <w:spacing w:before="60" w:after="60" w:line="240" w:lineRule="auto"/>
        <w:ind w:left="2665" w:hanging="1134"/>
        <w:jc w:val="both"/>
        <w:outlineLvl w:val="3"/>
        <w:rPr>
          <w:szCs w:val="18"/>
        </w:rPr>
      </w:pPr>
      <w:r w:rsidRPr="000369D0">
        <w:rPr>
          <w:szCs w:val="18"/>
        </w:rPr>
        <w:t>odebírání přístupových oprávnění,</w:t>
      </w:r>
    </w:p>
    <w:p w14:paraId="604987C9" w14:textId="77777777" w:rsidR="000369D0" w:rsidRPr="000369D0" w:rsidRDefault="000369D0" w:rsidP="005734AB">
      <w:pPr>
        <w:keepLines/>
        <w:widowControl w:val="0"/>
        <w:numPr>
          <w:ilvl w:val="3"/>
          <w:numId w:val="0"/>
        </w:numPr>
        <w:suppressAutoHyphens/>
        <w:spacing w:before="60" w:after="60" w:line="240" w:lineRule="auto"/>
        <w:ind w:left="1560" w:hanging="29"/>
        <w:jc w:val="both"/>
        <w:outlineLvl w:val="3"/>
        <w:rPr>
          <w:szCs w:val="18"/>
        </w:rPr>
      </w:pPr>
      <w:proofErr w:type="spellStart"/>
      <w:r w:rsidRPr="000369D0">
        <w:rPr>
          <w:szCs w:val="18"/>
        </w:rPr>
        <w:t>vícefaktorovou</w:t>
      </w:r>
      <w:proofErr w:type="spellEnd"/>
      <w:r w:rsidRPr="000369D0">
        <w:rPr>
          <w:szCs w:val="18"/>
        </w:rPr>
        <w:t xml:space="preserve"> autentizaci při přístupu k citlivým IT komponentám nebo vzdáleném přístupu k Datům.</w:t>
      </w:r>
    </w:p>
    <w:p w14:paraId="7FEB1D1B" w14:textId="77777777" w:rsidR="000369D0" w:rsidRPr="000369D0" w:rsidRDefault="000369D0" w:rsidP="001B1B68">
      <w:pPr>
        <w:pStyle w:val="Odstavecseseznamem"/>
        <w:spacing w:after="60"/>
        <w:ind w:left="709" w:hanging="679"/>
        <w:jc w:val="both"/>
        <w:rPr>
          <w:szCs w:val="18"/>
        </w:rPr>
      </w:pPr>
      <w:r w:rsidRPr="000369D0">
        <w:rPr>
          <w:szCs w:val="18"/>
        </w:rPr>
        <w:t>Přihlašování a pravidla přístupů:</w:t>
      </w:r>
    </w:p>
    <w:p w14:paraId="79C89502" w14:textId="77777777" w:rsidR="000369D0" w:rsidRPr="000369D0" w:rsidRDefault="000369D0" w:rsidP="0039228E">
      <w:pPr>
        <w:pStyle w:val="Nadpis3"/>
        <w:ind w:left="1560" w:hanging="851"/>
      </w:pPr>
      <w:r w:rsidRPr="000369D0">
        <w:t>hesla defaultních účtů musí být změněna během úvodního nastavení systému. Přiřazená hesla musí splňovat minimální bezpečnostní požadavky tak, aby efektivně chránila důvěrnost, dostupnost a integritu informací, ke kterým má Poskytovatel přístup, dle jejich kritičnosti/citlivosti;</w:t>
      </w:r>
    </w:p>
    <w:p w14:paraId="1F0965D7" w14:textId="77777777" w:rsidR="000369D0" w:rsidRPr="000369D0" w:rsidRDefault="000369D0" w:rsidP="0039228E">
      <w:pPr>
        <w:pStyle w:val="Nadpis3"/>
        <w:ind w:left="1560" w:hanging="851"/>
        <w:rPr>
          <w:szCs w:val="18"/>
        </w:rPr>
      </w:pPr>
      <w:r w:rsidRPr="000369D0">
        <w:rPr>
          <w:szCs w:val="18"/>
        </w:rPr>
        <w:t>zamykání obrazovky a klávesnice (např. spořič obrazovky zamčený heslem) musí být používáno, umožňuje-li to operační systém používaných technických aktiv;</w:t>
      </w:r>
    </w:p>
    <w:p w14:paraId="4694A32D" w14:textId="77777777" w:rsidR="000369D0" w:rsidRPr="000369D0" w:rsidRDefault="000369D0" w:rsidP="00636ECE">
      <w:pPr>
        <w:pStyle w:val="Nadpis3"/>
        <w:ind w:left="1560" w:hanging="851"/>
        <w:rPr>
          <w:szCs w:val="18"/>
        </w:rPr>
      </w:pPr>
      <w:r w:rsidRPr="000369D0">
        <w:rPr>
          <w:szCs w:val="18"/>
        </w:rPr>
        <w:t>musí být zavedeny postupy pro odebírání nebo blokování přístupových oprávnění uživatelů v případě potřeby, zejména pokud:</w:t>
      </w:r>
    </w:p>
    <w:p w14:paraId="4F44C66B" w14:textId="77777777" w:rsidR="000369D0" w:rsidRPr="000369D0" w:rsidRDefault="000369D0" w:rsidP="00D977DD">
      <w:pPr>
        <w:pStyle w:val="Nadpis3"/>
        <w:numPr>
          <w:ilvl w:val="3"/>
          <w:numId w:val="1"/>
        </w:numPr>
        <w:ind w:left="2127" w:hanging="851"/>
        <w:rPr>
          <w:szCs w:val="18"/>
        </w:rPr>
      </w:pPr>
      <w:r w:rsidRPr="000369D0">
        <w:rPr>
          <w:szCs w:val="18"/>
        </w:rPr>
        <w:t>pracovník již nepotřebuje přístup k plnění svých pracovních povinností (např. pokud došlo ke změně pozice zaměstnance);</w:t>
      </w:r>
    </w:p>
    <w:p w14:paraId="1C7CE53E" w14:textId="77777777" w:rsidR="000369D0" w:rsidRPr="000369D0" w:rsidRDefault="000369D0" w:rsidP="00D977DD">
      <w:pPr>
        <w:pStyle w:val="Nadpis3"/>
        <w:numPr>
          <w:ilvl w:val="3"/>
          <w:numId w:val="1"/>
        </w:numPr>
        <w:ind w:left="2127" w:hanging="851"/>
        <w:rPr>
          <w:szCs w:val="18"/>
        </w:rPr>
      </w:pPr>
      <w:r w:rsidRPr="000369D0">
        <w:rPr>
          <w:szCs w:val="18"/>
        </w:rPr>
        <w:t>pracovník se dopustil závažného porušení povinností v oblasti kybernetické bezpečnosti nebo existují důvodné obavy, že se takového porušení dopustí;</w:t>
      </w:r>
    </w:p>
    <w:p w14:paraId="7E73445A" w14:textId="77777777" w:rsidR="000369D0" w:rsidRPr="000369D0" w:rsidRDefault="000369D0" w:rsidP="000C527C">
      <w:pPr>
        <w:pStyle w:val="Nadpis3"/>
        <w:keepLines w:val="0"/>
        <w:numPr>
          <w:ilvl w:val="3"/>
          <w:numId w:val="1"/>
        </w:numPr>
        <w:ind w:left="2127" w:hanging="851"/>
        <w:rPr>
          <w:szCs w:val="18"/>
        </w:rPr>
      </w:pPr>
      <w:r w:rsidRPr="000369D0">
        <w:rPr>
          <w:szCs w:val="18"/>
        </w:rPr>
        <w:t xml:space="preserve">pracovník nesplňuje požadavky na přístup k Datům nebo požadavky na zapojení do činností, které by mohly ovlivnit bezpečnost poskytovaného </w:t>
      </w:r>
      <w:r w:rsidRPr="000369D0">
        <w:rPr>
          <w:szCs w:val="18"/>
        </w:rPr>
        <w:lastRenderedPageBreak/>
        <w:t>Plnění dle Smlouvy;</w:t>
      </w:r>
    </w:p>
    <w:p w14:paraId="27121FD1" w14:textId="70584BC3" w:rsidR="000369D0" w:rsidRPr="000369D0" w:rsidRDefault="000369D0" w:rsidP="00D977DD">
      <w:pPr>
        <w:pStyle w:val="Nadpis3"/>
        <w:numPr>
          <w:ilvl w:val="3"/>
          <w:numId w:val="1"/>
        </w:numPr>
        <w:ind w:left="2127" w:hanging="851"/>
        <w:rPr>
          <w:szCs w:val="18"/>
        </w:rPr>
      </w:pPr>
      <w:r w:rsidRPr="000369D0">
        <w:rPr>
          <w:szCs w:val="18"/>
        </w:rPr>
        <w:t>se ukáže potřeba přijmout mimořádné bezpečností opatření spočívající v</w:t>
      </w:r>
      <w:r w:rsidR="006B5E74">
        <w:rPr>
          <w:szCs w:val="18"/>
        </w:rPr>
        <w:t> </w:t>
      </w:r>
      <w:r w:rsidRPr="000369D0">
        <w:rPr>
          <w:szCs w:val="18"/>
        </w:rPr>
        <w:t>odebrání přístupu (zejména pokud Poskytovatel dal zaměstnanci výpověď z výpovědního důvodu podle § 52 písm. f), g) a h) zákoníku práce);</w:t>
      </w:r>
    </w:p>
    <w:p w14:paraId="7D5B56C9" w14:textId="77777777" w:rsidR="000369D0" w:rsidRPr="000369D0" w:rsidRDefault="000369D0" w:rsidP="00D977DD">
      <w:pPr>
        <w:pStyle w:val="Nadpis3"/>
        <w:numPr>
          <w:ilvl w:val="3"/>
          <w:numId w:val="1"/>
        </w:numPr>
        <w:ind w:left="2127" w:hanging="851"/>
        <w:rPr>
          <w:szCs w:val="18"/>
        </w:rPr>
      </w:pPr>
      <w:r w:rsidRPr="000369D0">
        <w:rPr>
          <w:szCs w:val="18"/>
        </w:rPr>
        <w:t>dojde k ukončení pracovního poměru nebo jiné formy spolupráce;</w:t>
      </w:r>
    </w:p>
    <w:p w14:paraId="341D5043" w14:textId="77777777" w:rsidR="000369D0" w:rsidRPr="000369D0" w:rsidRDefault="000369D0" w:rsidP="00D977DD">
      <w:pPr>
        <w:pStyle w:val="Nadpis3"/>
        <w:numPr>
          <w:ilvl w:val="3"/>
          <w:numId w:val="1"/>
        </w:numPr>
        <w:ind w:left="2127" w:hanging="851"/>
        <w:rPr>
          <w:szCs w:val="18"/>
        </w:rPr>
      </w:pPr>
      <w:r w:rsidRPr="000369D0">
        <w:rPr>
          <w:szCs w:val="18"/>
        </w:rPr>
        <w:t>došlo k úniku autentizačních údajů (hesla);</w:t>
      </w:r>
    </w:p>
    <w:p w14:paraId="639CDBE6" w14:textId="77777777" w:rsidR="000369D0" w:rsidRPr="000369D0" w:rsidRDefault="000369D0" w:rsidP="007A49AB">
      <w:pPr>
        <w:pStyle w:val="Nadpis3"/>
        <w:ind w:left="1560" w:hanging="851"/>
        <w:rPr>
          <w:szCs w:val="18"/>
        </w:rPr>
      </w:pPr>
      <w:r w:rsidRPr="000369D0">
        <w:rPr>
          <w:szCs w:val="18"/>
        </w:rPr>
        <w:t>aby bylo zajištěno, že účty ve všech systémech, ke kterým měl pracovník přístup, jsou bezodkladně zablokovány, přístupová oprávnění k vybavení a službám zpracování Dat jsou bezodkladně odebírána a / nebo přihlašovací údaje (např. ID uživatele, heslo, token nebo digitální certifikát) jsou bezodkladně zablokované a/nebo komponenty, které umožňují přístup, jako jsou tokeny nebo identifikační karty pracovníků, jsou bezodkladně zablokovány nebo deaktivovány v systému;</w:t>
      </w:r>
    </w:p>
    <w:p w14:paraId="13AD044A" w14:textId="77777777" w:rsidR="000369D0" w:rsidRPr="000369D0" w:rsidRDefault="000369D0" w:rsidP="007A49AB">
      <w:pPr>
        <w:pStyle w:val="Nadpis3"/>
        <w:ind w:left="1560" w:hanging="851"/>
        <w:rPr>
          <w:szCs w:val="18"/>
        </w:rPr>
      </w:pPr>
      <w:r w:rsidRPr="000369D0">
        <w:rPr>
          <w:szCs w:val="18"/>
        </w:rPr>
        <w:t>musí být vedena evidence o udělených a odebraných přístupových oprávněních;</w:t>
      </w:r>
    </w:p>
    <w:p w14:paraId="6F8A366A" w14:textId="77777777" w:rsidR="000369D0" w:rsidRPr="000369D0" w:rsidRDefault="000369D0" w:rsidP="00234728">
      <w:pPr>
        <w:pStyle w:val="Nadpis3"/>
        <w:ind w:left="1560" w:hanging="851"/>
        <w:rPr>
          <w:szCs w:val="18"/>
        </w:rPr>
      </w:pPr>
      <w:r w:rsidRPr="000369D0">
        <w:rPr>
          <w:szCs w:val="18"/>
        </w:rPr>
        <w:t>všechny IT komponenty musí být před předáním uživatelům konfigurovány tak, aby citlivé bezpečnostní operace mohly vykonávat pouze osoby s příslušným oprávněním (správci). O výjimkách musí být informována příslušná osoba Objednatele. Výjimky musí být předem schváleny a zdokumentovány;</w:t>
      </w:r>
    </w:p>
    <w:p w14:paraId="24566ECE" w14:textId="77777777" w:rsidR="000369D0" w:rsidRPr="000369D0" w:rsidRDefault="000369D0" w:rsidP="003B39A9">
      <w:pPr>
        <w:pStyle w:val="Nadpis3"/>
        <w:ind w:left="1560" w:hanging="851"/>
        <w:rPr>
          <w:szCs w:val="18"/>
        </w:rPr>
      </w:pPr>
      <w:r w:rsidRPr="000369D0">
        <w:rPr>
          <w:szCs w:val="18"/>
        </w:rPr>
        <w:t>Poskytovatel může být Objednatelem požádán, aby mu poskytnul podporu při provádění auditu uživatelských oprávnění v systémech pod kontrolou Poskytovatele. Poskytovatel musí poskytnut podporu, která bude pro tento účel potřebná.</w:t>
      </w:r>
    </w:p>
    <w:p w14:paraId="22E596B3"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Akvizice, vývoj a údržba</w:t>
      </w:r>
    </w:p>
    <w:p w14:paraId="6A538C17" w14:textId="3D7831FC" w:rsidR="000369D0" w:rsidRPr="0088766F" w:rsidRDefault="000369D0" w:rsidP="00D6009F">
      <w:pPr>
        <w:pStyle w:val="Odstavecseseznamem"/>
        <w:spacing w:after="60"/>
        <w:ind w:left="709" w:hanging="679"/>
        <w:jc w:val="both"/>
      </w:pPr>
      <w:r w:rsidRPr="0088766F">
        <w:t>Poskytovatel je dále povinen:</w:t>
      </w:r>
    </w:p>
    <w:p w14:paraId="22324EDC" w14:textId="741CD34C" w:rsidR="000369D0" w:rsidRPr="000369D0" w:rsidRDefault="000369D0" w:rsidP="009871FD">
      <w:pPr>
        <w:pStyle w:val="Nadpis3"/>
        <w:ind w:left="1560" w:hanging="851"/>
      </w:pPr>
      <w:r w:rsidRPr="000C7A0D">
        <w:t>bez</w:t>
      </w:r>
      <w:r w:rsidRPr="000369D0">
        <w:t xml:space="preserve"> zbytečného odkladu odstranit veškeré zjištěné zranitelnosti klasifikované jako střední, vysoké nebo kritické dle aktuálního hodnocení</w:t>
      </w:r>
      <w:r w:rsidR="00BD4F2D">
        <w:t>.</w:t>
      </w:r>
    </w:p>
    <w:p w14:paraId="741E75B6"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Zvládání kybernetických bezpečnostních událostí a incidentů</w:t>
      </w:r>
    </w:p>
    <w:p w14:paraId="4F96BD47" w14:textId="1B4F7090" w:rsidR="000369D0" w:rsidRPr="0088766F" w:rsidRDefault="000369D0" w:rsidP="00E80344">
      <w:pPr>
        <w:pStyle w:val="Odstavecseseznamem"/>
        <w:spacing w:after="60"/>
        <w:ind w:left="709" w:hanging="679"/>
        <w:jc w:val="both"/>
      </w:pPr>
      <w:r w:rsidRPr="0088766F">
        <w:t>Poskytovatel zajistí, aby jeho pracovníci a případní poddodavatelé oznamovali neobvyklé chování technických aktiv a podezření na jakékoliv zranitelnosti a hrozby.</w:t>
      </w:r>
    </w:p>
    <w:p w14:paraId="64E837DD" w14:textId="50E7EBC9" w:rsidR="000369D0" w:rsidRPr="000369D0" w:rsidRDefault="000369D0" w:rsidP="00224EDC">
      <w:pPr>
        <w:pStyle w:val="Odstavecseseznamem"/>
        <w:spacing w:after="60"/>
        <w:ind w:left="709" w:hanging="679"/>
        <w:jc w:val="both"/>
        <w:rPr>
          <w:szCs w:val="18"/>
        </w:rPr>
      </w:pPr>
      <w:r w:rsidRPr="000369D0">
        <w:rPr>
          <w:szCs w:val="18"/>
        </w:rPr>
        <w:t>Poskytovatel vede a uchovává záznamy o kybernetických bezpečnostních incidentech a</w:t>
      </w:r>
      <w:r w:rsidR="006B5E74">
        <w:rPr>
          <w:szCs w:val="18"/>
        </w:rPr>
        <w:t> </w:t>
      </w:r>
      <w:r w:rsidRPr="000369D0">
        <w:rPr>
          <w:szCs w:val="18"/>
        </w:rPr>
        <w:t>o</w:t>
      </w:r>
      <w:r w:rsidR="00236421">
        <w:rPr>
          <w:szCs w:val="18"/>
        </w:rPr>
        <w:t> </w:t>
      </w:r>
      <w:r w:rsidRPr="000369D0">
        <w:rPr>
          <w:szCs w:val="18"/>
        </w:rPr>
        <w:t>jejich zvládání. Ve vztahu ke kybernetickým bezpečnostním incidentům souvisejících s</w:t>
      </w:r>
      <w:r w:rsidR="006B5E74">
        <w:rPr>
          <w:szCs w:val="18"/>
        </w:rPr>
        <w:t> </w:t>
      </w:r>
      <w:r w:rsidRPr="000369D0">
        <w:rPr>
          <w:szCs w:val="18"/>
        </w:rPr>
        <w:t>Daty je Poskytovatel povinen takové záznamy poskytnout Objednateli bezodkladně po jejich pořízení.</w:t>
      </w:r>
    </w:p>
    <w:p w14:paraId="3BB408C7" w14:textId="77777777" w:rsidR="000369D0" w:rsidRPr="000369D0" w:rsidRDefault="000369D0" w:rsidP="00224EDC">
      <w:pPr>
        <w:pStyle w:val="Odstavecseseznamem"/>
        <w:spacing w:after="60"/>
        <w:ind w:left="709" w:hanging="679"/>
        <w:jc w:val="both"/>
        <w:rPr>
          <w:szCs w:val="18"/>
        </w:rPr>
      </w:pPr>
      <w:r w:rsidRPr="000369D0">
        <w:rPr>
          <w:szCs w:val="18"/>
        </w:rPr>
        <w:t>Poskytovatel prošetří a určí příčiny kybernetického bezpečnostního incidentu. Poskytovatel poskytne Objednateli aktivní součinnost a relevantní informace o příčinách, podezřelém zařízení či osobě na straně Poskytovatele v případě kybernetického bezpečnostního incidentu souvisejícího s Daty.</w:t>
      </w:r>
    </w:p>
    <w:p w14:paraId="04C19EED"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Fyzická bezpečnost</w:t>
      </w:r>
    </w:p>
    <w:p w14:paraId="12FA9B67" w14:textId="133B91F0" w:rsidR="000369D0" w:rsidRPr="0088766F" w:rsidRDefault="000369D0" w:rsidP="00640268">
      <w:pPr>
        <w:pStyle w:val="Odstavecseseznamem"/>
        <w:spacing w:after="60"/>
        <w:ind w:left="709" w:hanging="679"/>
        <w:jc w:val="both"/>
      </w:pPr>
      <w:r w:rsidRPr="0088766F">
        <w:t>Poskytovatel se zavazuje zajistit:</w:t>
      </w:r>
    </w:p>
    <w:p w14:paraId="332885D3" w14:textId="77777777" w:rsidR="000369D0" w:rsidRPr="000369D0" w:rsidRDefault="000369D0" w:rsidP="00AE07F0">
      <w:pPr>
        <w:pStyle w:val="Nadpis3"/>
        <w:ind w:left="1418" w:hanging="709"/>
      </w:pPr>
      <w:r w:rsidRPr="000369D0">
        <w:t>dodržování politiky čistého stolu;</w:t>
      </w:r>
    </w:p>
    <w:p w14:paraId="34A2CD77" w14:textId="77777777" w:rsidR="000369D0" w:rsidRPr="000369D0" w:rsidRDefault="000369D0" w:rsidP="00AE07F0">
      <w:pPr>
        <w:pStyle w:val="Nadpis3"/>
        <w:ind w:left="1418" w:hanging="709"/>
        <w:rPr>
          <w:szCs w:val="18"/>
        </w:rPr>
      </w:pPr>
      <w:r w:rsidRPr="000369D0">
        <w:rPr>
          <w:szCs w:val="18"/>
        </w:rPr>
        <w:t>zabezpečení kanceláří, pracovních místností a prostor v případě jejich opuštění tak, aby nemohlo dojít k nedovolenému vstupu neoprávněných osob;</w:t>
      </w:r>
    </w:p>
    <w:p w14:paraId="64B11197" w14:textId="77777777" w:rsidR="000369D0" w:rsidRPr="000369D0" w:rsidRDefault="000369D0" w:rsidP="00AE07F0">
      <w:pPr>
        <w:pStyle w:val="Nadpis3"/>
        <w:ind w:left="1418" w:hanging="709"/>
        <w:rPr>
          <w:szCs w:val="18"/>
        </w:rPr>
      </w:pPr>
      <w:r w:rsidRPr="000369D0">
        <w:rPr>
          <w:szCs w:val="18"/>
        </w:rPr>
        <w:t>uzamykání pracovních stolů, skříní, kontrolovat uzavření oken;</w:t>
      </w:r>
    </w:p>
    <w:p w14:paraId="77FCB301" w14:textId="7AE8B79F" w:rsidR="000369D0" w:rsidRPr="000369D0" w:rsidRDefault="000369D0" w:rsidP="000C527C">
      <w:pPr>
        <w:pStyle w:val="Nadpis3"/>
        <w:keepLines w:val="0"/>
        <w:ind w:left="1418" w:hanging="709"/>
        <w:rPr>
          <w:szCs w:val="18"/>
        </w:rPr>
      </w:pPr>
      <w:r w:rsidRPr="000369D0">
        <w:rPr>
          <w:szCs w:val="18"/>
        </w:rPr>
        <w:t xml:space="preserve">dodržování režimových opatřeních v případě režimových pracovišť (perimetr </w:t>
      </w:r>
      <w:r w:rsidRPr="000369D0">
        <w:rPr>
          <w:szCs w:val="18"/>
        </w:rPr>
        <w:lastRenderedPageBreak/>
        <w:t>s</w:t>
      </w:r>
      <w:r w:rsidR="00236421">
        <w:rPr>
          <w:szCs w:val="18"/>
        </w:rPr>
        <w:t> </w:t>
      </w:r>
      <w:r w:rsidRPr="000369D0">
        <w:rPr>
          <w:szCs w:val="18"/>
        </w:rPr>
        <w:t>řízeným vstupem).</w:t>
      </w:r>
    </w:p>
    <w:p w14:paraId="346C35CF" w14:textId="77777777" w:rsidR="000369D0" w:rsidRPr="000369D0" w:rsidRDefault="000369D0" w:rsidP="00271058">
      <w:pPr>
        <w:pStyle w:val="Odstavecseseznamem"/>
        <w:spacing w:after="60"/>
        <w:ind w:left="709" w:hanging="679"/>
        <w:jc w:val="both"/>
        <w:rPr>
          <w:szCs w:val="18"/>
        </w:rPr>
      </w:pPr>
      <w:r w:rsidRPr="000369D0">
        <w:rPr>
          <w:szCs w:val="18"/>
        </w:rPr>
        <w:t>Poskytovatel bere na vědomí, že Objednatel může vést evidenci osob, které vstupují do neveřejných částí objektů Objednatele, a evidenci vozidel, která vjíždějí do objektů Objednatele.</w:t>
      </w:r>
    </w:p>
    <w:p w14:paraId="55E92F4D"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Správa a ověřování identit</w:t>
      </w:r>
    </w:p>
    <w:p w14:paraId="6DC86E91" w14:textId="6E66B6B2" w:rsidR="000369D0" w:rsidRPr="0088766F" w:rsidRDefault="000369D0" w:rsidP="008C26B7">
      <w:pPr>
        <w:pStyle w:val="Odstavecseseznamem"/>
        <w:spacing w:after="60"/>
        <w:ind w:left="709" w:hanging="679"/>
        <w:jc w:val="both"/>
      </w:pPr>
      <w:r w:rsidRPr="0088766F">
        <w:t>Poskytovatel se zavazuje:</w:t>
      </w:r>
    </w:p>
    <w:p w14:paraId="3D46A976" w14:textId="77777777" w:rsidR="000369D0" w:rsidRPr="000369D0" w:rsidRDefault="000369D0" w:rsidP="004D6657">
      <w:pPr>
        <w:pStyle w:val="Nadpis3"/>
        <w:ind w:left="1418" w:hanging="709"/>
      </w:pPr>
      <w:r w:rsidRPr="000369D0">
        <w:t>používat nástroj pro správu a ověření identity (autentizační mechanismus), který přenáší a ukládá autentizační parametry v šifrované podobě;</w:t>
      </w:r>
    </w:p>
    <w:p w14:paraId="5ADFE636" w14:textId="77777777" w:rsidR="000369D0" w:rsidRPr="000369D0" w:rsidRDefault="000369D0" w:rsidP="004D6657">
      <w:pPr>
        <w:pStyle w:val="Nadpis3"/>
        <w:ind w:left="1418" w:hanging="709"/>
        <w:rPr>
          <w:szCs w:val="18"/>
        </w:rPr>
      </w:pPr>
      <w:r w:rsidRPr="000369D0">
        <w:rPr>
          <w:szCs w:val="18"/>
        </w:rPr>
        <w:t>používat autentizační mechanismus, který je založený na více faktorové autentizaci s nejméně dvěma různými typy faktorů, pokud je to možné;</w:t>
      </w:r>
    </w:p>
    <w:p w14:paraId="5A8F975B" w14:textId="77777777" w:rsidR="000369D0" w:rsidRPr="000369D0" w:rsidRDefault="000369D0" w:rsidP="004D6657">
      <w:pPr>
        <w:pStyle w:val="Nadpis3"/>
        <w:ind w:left="1418" w:hanging="709"/>
        <w:rPr>
          <w:szCs w:val="18"/>
        </w:rPr>
      </w:pPr>
      <w:r w:rsidRPr="000369D0">
        <w:rPr>
          <w:szCs w:val="18"/>
        </w:rPr>
        <w:t>v případě ztráty, vyzrazení nebo podezření na kompromitaci autentizačních nástrojů nebo parametrů je třeba okamžitě změnit parametry autentizace;</w:t>
      </w:r>
    </w:p>
    <w:p w14:paraId="51AE73EC" w14:textId="10E30006" w:rsidR="000369D0" w:rsidRPr="000369D0" w:rsidRDefault="000369D0" w:rsidP="004D6657">
      <w:pPr>
        <w:pStyle w:val="Nadpis3"/>
        <w:ind w:left="1418" w:hanging="709"/>
        <w:rPr>
          <w:szCs w:val="18"/>
        </w:rPr>
      </w:pPr>
      <w:r w:rsidRPr="000369D0">
        <w:rPr>
          <w:szCs w:val="18"/>
        </w:rPr>
        <w:t>aktiva, která nepodporují více faktorovou autentizaci, mohou dočasně zajistit autentizaci pomocí podobně silných kryptografických klíčů nebo hesel</w:t>
      </w:r>
      <w:r w:rsidR="00BD4F2D">
        <w:rPr>
          <w:szCs w:val="18"/>
        </w:rPr>
        <w:t>,</w:t>
      </w:r>
    </w:p>
    <w:p w14:paraId="2CA1F3DC" w14:textId="77777777" w:rsidR="000369D0" w:rsidRPr="000369D0" w:rsidRDefault="000369D0" w:rsidP="004D6657">
      <w:pPr>
        <w:pStyle w:val="Nadpis3"/>
        <w:ind w:left="1418" w:hanging="709"/>
        <w:rPr>
          <w:szCs w:val="18"/>
        </w:rPr>
      </w:pPr>
      <w:r w:rsidRPr="000369D0">
        <w:rPr>
          <w:szCs w:val="18"/>
        </w:rPr>
        <w:t xml:space="preserve">pokud je autentizace založena na heslech a nevyužívá se více faktorové autentizace, musí systém vynucovat hesla s vlastnostmi podle aktuální </w:t>
      </w:r>
      <w:proofErr w:type="spellStart"/>
      <w:r w:rsidRPr="000369D0">
        <w:rPr>
          <w:szCs w:val="18"/>
        </w:rPr>
        <w:t>best</w:t>
      </w:r>
      <w:proofErr w:type="spellEnd"/>
      <w:r w:rsidRPr="000369D0">
        <w:rPr>
          <w:szCs w:val="18"/>
        </w:rPr>
        <w:t xml:space="preserve"> </w:t>
      </w:r>
      <w:proofErr w:type="spellStart"/>
      <w:r w:rsidRPr="000369D0">
        <w:rPr>
          <w:szCs w:val="18"/>
        </w:rPr>
        <w:t>practice</w:t>
      </w:r>
      <w:proofErr w:type="spellEnd"/>
      <w:r w:rsidRPr="000369D0">
        <w:rPr>
          <w:szCs w:val="18"/>
        </w:rPr>
        <w:t>.</w:t>
      </w:r>
    </w:p>
    <w:p w14:paraId="5C151191"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Ochrana před škodlivým kódem</w:t>
      </w:r>
    </w:p>
    <w:p w14:paraId="2F4FCEEE" w14:textId="7CDDF8D7" w:rsidR="000369D0" w:rsidRPr="0088766F" w:rsidRDefault="000369D0" w:rsidP="00C571DE">
      <w:pPr>
        <w:pStyle w:val="Odstavecseseznamem"/>
        <w:spacing w:after="60"/>
        <w:ind w:left="709" w:hanging="679"/>
        <w:jc w:val="both"/>
      </w:pPr>
      <w:r w:rsidRPr="0088766F">
        <w:t>Poskytovatel zajistí použití nástroje pro nepřetržitou automatickou ochranu koncových zařízení.</w:t>
      </w:r>
    </w:p>
    <w:p w14:paraId="23C23F7A" w14:textId="77777777" w:rsidR="000369D0" w:rsidRPr="000369D0" w:rsidRDefault="000369D0" w:rsidP="00FD5A78">
      <w:pPr>
        <w:pStyle w:val="Odstavecseseznamem"/>
        <w:spacing w:after="60"/>
        <w:ind w:left="709" w:hanging="679"/>
        <w:jc w:val="both"/>
        <w:rPr>
          <w:szCs w:val="18"/>
        </w:rPr>
      </w:pPr>
      <w:r w:rsidRPr="000369D0">
        <w:rPr>
          <w:szCs w:val="18"/>
        </w:rPr>
        <w:t>Poskytovatel monitoruje a řídí používání výměnných zařízení a datových nosičů a jejich automatické spouštění.</w:t>
      </w:r>
    </w:p>
    <w:p w14:paraId="6E09FBF1" w14:textId="77777777" w:rsidR="000369D0" w:rsidRPr="000369D0" w:rsidRDefault="000369D0" w:rsidP="00FD5A78">
      <w:pPr>
        <w:pStyle w:val="Odstavecseseznamem"/>
        <w:spacing w:after="60"/>
        <w:ind w:left="709" w:hanging="679"/>
        <w:jc w:val="both"/>
        <w:rPr>
          <w:szCs w:val="18"/>
        </w:rPr>
      </w:pPr>
      <w:r w:rsidRPr="000369D0">
        <w:rPr>
          <w:szCs w:val="18"/>
        </w:rPr>
        <w:t xml:space="preserve">Poskytovatel provádí pravidelnou a účinnou aktualizaci nástroje pro ochranu před škodlivým kódem. </w:t>
      </w:r>
    </w:p>
    <w:p w14:paraId="1013377A"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Detekce, zaznamenávání a vyhodnocování kybernetických bezpečnostních událostí</w:t>
      </w:r>
    </w:p>
    <w:p w14:paraId="4C43FE97" w14:textId="0CC12AA9" w:rsidR="000369D0" w:rsidRPr="0088766F" w:rsidRDefault="000369D0" w:rsidP="00B215B1">
      <w:pPr>
        <w:pStyle w:val="Odstavecseseznamem"/>
        <w:spacing w:after="60"/>
        <w:ind w:left="709" w:hanging="679"/>
        <w:jc w:val="both"/>
      </w:pPr>
      <w:r w:rsidRPr="0088766F">
        <w:t>Poskytovatel se zavazuje zajistit:</w:t>
      </w:r>
    </w:p>
    <w:p w14:paraId="678AB454" w14:textId="77777777" w:rsidR="000369D0" w:rsidRPr="000369D0" w:rsidRDefault="000369D0" w:rsidP="00B215B1">
      <w:pPr>
        <w:pStyle w:val="Nadpis3"/>
        <w:ind w:left="1418" w:hanging="709"/>
      </w:pPr>
      <w:r w:rsidRPr="000369D0">
        <w:t>aby všechny klíčové prvky propojující významné uzly interních komunikačních sítí, bezpečnostní síťové prvky a všechny prvky na vnějším perimetru měly aktivní monitorování kybernetických bezpečnostních událostí;</w:t>
      </w:r>
    </w:p>
    <w:p w14:paraId="4F34F3AD" w14:textId="77777777" w:rsidR="000369D0" w:rsidRPr="000369D0" w:rsidRDefault="000369D0" w:rsidP="00B215B1">
      <w:pPr>
        <w:pStyle w:val="Nadpis3"/>
        <w:ind w:left="1418" w:hanging="709"/>
        <w:rPr>
          <w:szCs w:val="18"/>
        </w:rPr>
      </w:pPr>
      <w:r w:rsidRPr="000369D0">
        <w:rPr>
          <w:szCs w:val="18"/>
        </w:rPr>
        <w:t>aby monitorování sítě zajišťovalo ověření a kontrolu přenášených Dat v rámci komunikační sítě a mezi komunikačními sítěmi, ověření a kontrolu přenášených Dat na perimetru komunikační sítě;</w:t>
      </w:r>
    </w:p>
    <w:p w14:paraId="3D7502AC" w14:textId="77777777" w:rsidR="000369D0" w:rsidRPr="000369D0" w:rsidRDefault="000369D0" w:rsidP="00B215B1">
      <w:pPr>
        <w:pStyle w:val="Nadpis3"/>
        <w:ind w:left="1418" w:hanging="709"/>
        <w:rPr>
          <w:szCs w:val="18"/>
        </w:rPr>
      </w:pPr>
      <w:r w:rsidRPr="000369D0">
        <w:rPr>
          <w:szCs w:val="18"/>
        </w:rPr>
        <w:t>aby v interních sítích byl provozován systém odpovídající funkcionalitě IDS/IPS;</w:t>
      </w:r>
    </w:p>
    <w:p w14:paraId="4CF45D9F" w14:textId="77777777" w:rsidR="000369D0" w:rsidRPr="000369D0" w:rsidRDefault="000369D0" w:rsidP="00B215B1">
      <w:pPr>
        <w:pStyle w:val="Nadpis3"/>
        <w:ind w:left="1418" w:hanging="709"/>
        <w:rPr>
          <w:szCs w:val="18"/>
        </w:rPr>
      </w:pPr>
      <w:r w:rsidRPr="000369D0">
        <w:rPr>
          <w:szCs w:val="18"/>
        </w:rPr>
        <w:t>aby detekovaná nežádoucí komunikace byla automaticky blokována;</w:t>
      </w:r>
    </w:p>
    <w:p w14:paraId="55B86E22" w14:textId="7A8F6177" w:rsidR="000369D0" w:rsidRPr="000369D0" w:rsidRDefault="000369D0" w:rsidP="00B215B1">
      <w:pPr>
        <w:pStyle w:val="Nadpis3"/>
        <w:ind w:left="1418" w:hanging="709"/>
        <w:rPr>
          <w:szCs w:val="18"/>
        </w:rPr>
      </w:pPr>
      <w:r w:rsidRPr="000369D0">
        <w:rPr>
          <w:szCs w:val="18"/>
        </w:rPr>
        <w:t>aby byly zaznamenávány kybernetické bezpečnostní události narušující integritu síťových prvků nebo síťové komunikace, aby tyto záznamy byly uchovány a</w:t>
      </w:r>
      <w:r w:rsidR="00236421">
        <w:rPr>
          <w:szCs w:val="18"/>
        </w:rPr>
        <w:t> </w:t>
      </w:r>
      <w:r w:rsidRPr="000369D0">
        <w:rPr>
          <w:szCs w:val="18"/>
        </w:rPr>
        <w:t>poskytnuty Objednateli na vyžádání;</w:t>
      </w:r>
    </w:p>
    <w:p w14:paraId="1F65F23C" w14:textId="77777777" w:rsidR="000369D0" w:rsidRPr="000369D0" w:rsidRDefault="000369D0" w:rsidP="00CB70D0">
      <w:pPr>
        <w:pStyle w:val="Odstavecseseznamem"/>
        <w:spacing w:after="60"/>
        <w:ind w:left="709" w:hanging="679"/>
        <w:jc w:val="both"/>
        <w:rPr>
          <w:szCs w:val="18"/>
        </w:rPr>
      </w:pPr>
      <w:r w:rsidRPr="000369D0">
        <w:rPr>
          <w:szCs w:val="18"/>
        </w:rPr>
        <w:t>Poskytovatel nasadí nástroje typu SIEM pro počáteční posouzení, zda zachycené události představují bezpečnostní událost nebo incident, přičemž tyto nástroje budou schopné rozdělit a zpracovat událost nebo řetězec událostí alespoň do 3 kategorií:</w:t>
      </w:r>
    </w:p>
    <w:p w14:paraId="250AA025" w14:textId="77777777" w:rsidR="000369D0" w:rsidRPr="000369D0" w:rsidRDefault="000369D0" w:rsidP="005532C7">
      <w:pPr>
        <w:pStyle w:val="Nadpis3"/>
        <w:ind w:left="1418" w:hanging="709"/>
      </w:pPr>
      <w:r w:rsidRPr="000369D0">
        <w:t>pozitivní – událost nebo sled událostí jednoznačně představuje bezpečnostní událost nebo bezpečnostní incident;</w:t>
      </w:r>
    </w:p>
    <w:p w14:paraId="23AE75B3" w14:textId="77777777" w:rsidR="000369D0" w:rsidRPr="000369D0" w:rsidRDefault="000369D0" w:rsidP="005532C7">
      <w:pPr>
        <w:pStyle w:val="Nadpis3"/>
        <w:ind w:left="1418" w:hanging="709"/>
        <w:rPr>
          <w:szCs w:val="18"/>
        </w:rPr>
      </w:pPr>
      <w:r w:rsidRPr="000369D0">
        <w:rPr>
          <w:szCs w:val="18"/>
        </w:rPr>
        <w:lastRenderedPageBreak/>
        <w:t>negativní – událost nebo sled událostí jednoznačně nepředstavuje bezpečnostní událost;</w:t>
      </w:r>
    </w:p>
    <w:p w14:paraId="76E607BA" w14:textId="57656672" w:rsidR="000369D0" w:rsidRPr="000369D0" w:rsidRDefault="000369D0" w:rsidP="005532C7">
      <w:pPr>
        <w:pStyle w:val="Nadpis3"/>
        <w:ind w:left="1418" w:hanging="709"/>
        <w:rPr>
          <w:szCs w:val="18"/>
        </w:rPr>
      </w:pPr>
      <w:r w:rsidRPr="000369D0">
        <w:rPr>
          <w:szCs w:val="18"/>
        </w:rPr>
        <w:t>nejasný (falešně pozitivní / falešně negativní) – událost nebo sled událostí může v</w:t>
      </w:r>
      <w:r w:rsidR="00236421">
        <w:rPr>
          <w:szCs w:val="18"/>
        </w:rPr>
        <w:t> </w:t>
      </w:r>
      <w:r w:rsidRPr="000369D0">
        <w:rPr>
          <w:szCs w:val="18"/>
        </w:rPr>
        <w:t>určitém kontextu představovat bezpečnostní událost nebo incident, ale v době hodnocení není možné událost jednoznačně klasifikovat, přičemž tyto události jsou dále hlášeny a hodnoceny pomocí jiných technik a nástrojů, případně ručně.</w:t>
      </w:r>
    </w:p>
    <w:p w14:paraId="71C35125" w14:textId="77777777" w:rsidR="000369D0" w:rsidRPr="000369D0" w:rsidRDefault="000369D0" w:rsidP="00024F4A">
      <w:pPr>
        <w:pStyle w:val="Odstavecseseznamem"/>
        <w:spacing w:after="60"/>
        <w:ind w:left="709" w:hanging="679"/>
        <w:jc w:val="both"/>
        <w:rPr>
          <w:szCs w:val="18"/>
        </w:rPr>
      </w:pPr>
      <w:r w:rsidRPr="000369D0">
        <w:rPr>
          <w:szCs w:val="18"/>
        </w:rPr>
        <w:t>Poskytovatel zajistí, aby primární reakcí byla eskalace bezpečnostní události nebo incidentu do příslušných hlášení, případně přímá eskalace na příslušné odpovědné pracovníky.</w:t>
      </w:r>
    </w:p>
    <w:p w14:paraId="6D0CEBE7"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Aplikační bezpečnost</w:t>
      </w:r>
    </w:p>
    <w:p w14:paraId="23C2F9AD" w14:textId="0EF13B35" w:rsidR="000369D0" w:rsidRPr="0088766F" w:rsidRDefault="000369D0" w:rsidP="002A6703">
      <w:pPr>
        <w:pStyle w:val="Odstavecseseznamem"/>
        <w:spacing w:after="60"/>
        <w:ind w:left="709" w:hanging="679"/>
        <w:jc w:val="both"/>
      </w:pPr>
      <w:r w:rsidRPr="0088766F">
        <w:t>Poskytovatel se zavazuje užívat při poskytování Plnění technická aktiva, která jsou podporována, sledovat dostupnost opravných balíčků nebo záplat a zajistit bezodkladnou bezpečnostní aktualizaci. Pokud není bezpečnostní aktualizace dostupná, Poskytovatel zajistí jiné kompenzační řešení, aby mohla být zranitelnost akceptována.</w:t>
      </w:r>
    </w:p>
    <w:p w14:paraId="09F125F6"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Kryptografické algoritmy</w:t>
      </w:r>
    </w:p>
    <w:p w14:paraId="034A061E" w14:textId="4AD4C4B5" w:rsidR="000369D0" w:rsidRPr="0088766F" w:rsidRDefault="000369D0" w:rsidP="00D2000B">
      <w:pPr>
        <w:pStyle w:val="Odstavecseseznamem"/>
        <w:spacing w:after="60"/>
        <w:ind w:left="709" w:hanging="679"/>
        <w:jc w:val="both"/>
      </w:pPr>
      <w:r w:rsidRPr="0088766F">
        <w:t>Tam, kde je používána kryptografie, se Poskytovatel zavazuje používat pouze aktuálně doporučované a odolné kryptografické algoritmy a kryptografické klíče.</w:t>
      </w:r>
    </w:p>
    <w:p w14:paraId="49D965C5" w14:textId="77777777" w:rsidR="000369D0" w:rsidRPr="000369D0" w:rsidRDefault="000369D0" w:rsidP="00D2000B">
      <w:pPr>
        <w:pStyle w:val="Odstavecseseznamem"/>
        <w:spacing w:after="60"/>
        <w:ind w:left="709" w:hanging="679"/>
        <w:jc w:val="both"/>
        <w:rPr>
          <w:szCs w:val="18"/>
        </w:rPr>
      </w:pPr>
      <w:r w:rsidRPr="000369D0">
        <w:rPr>
          <w:szCs w:val="18"/>
        </w:rPr>
        <w:t xml:space="preserve">Poskytovatel se zavazuje zajistit, že veškeré datové nosiče, které obsahují Data, budou šifrovány pomocí kryptografických algoritmů a postupů odpovídajících minimálně aktuálně uznávaným standardům a vydaným doporučením NÚKIB. Poskytovatel je povinen zajistit, že dešifrovací klíče a další prostředky využívané k přístupu k šifrovaným Datům jsou chráněny před neoprávněným přístupem a jsou uchovávány v souladu s principy bezpečného uchovávání a správy klíčů. </w:t>
      </w:r>
    </w:p>
    <w:p w14:paraId="34220B3D"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Dokumentace</w:t>
      </w:r>
    </w:p>
    <w:p w14:paraId="1915F762" w14:textId="324B19AF" w:rsidR="000369D0" w:rsidRPr="0088766F" w:rsidRDefault="000369D0" w:rsidP="005D13C1">
      <w:pPr>
        <w:pStyle w:val="Odstavecseseznamem"/>
        <w:spacing w:after="60"/>
        <w:ind w:left="709" w:hanging="679"/>
        <w:jc w:val="both"/>
      </w:pPr>
      <w:bookmarkStart w:id="11" w:name="_Ref204241952"/>
      <w:r w:rsidRPr="0088766F">
        <w:t>Poskytovatel je povinen zpracovat a do 30 pracovních dnů od uzavření Smlouvy Objednateli předat dokumentaci, která bude zahrnovat:</w:t>
      </w:r>
      <w:bookmarkEnd w:id="11"/>
    </w:p>
    <w:p w14:paraId="7AC0245E" w14:textId="77777777" w:rsidR="000369D0" w:rsidRPr="000369D0" w:rsidRDefault="000369D0" w:rsidP="006E7859">
      <w:pPr>
        <w:pStyle w:val="Nadpis3"/>
        <w:ind w:left="1418" w:hanging="709"/>
      </w:pPr>
      <w:r w:rsidRPr="000369D0">
        <w:t>postupy pro řízení provozu a komunikací;</w:t>
      </w:r>
    </w:p>
    <w:p w14:paraId="38402C13" w14:textId="77777777" w:rsidR="000369D0" w:rsidRPr="000369D0" w:rsidRDefault="000369D0" w:rsidP="006E7859">
      <w:pPr>
        <w:pStyle w:val="Nadpis3"/>
        <w:ind w:left="1418" w:hanging="709"/>
        <w:rPr>
          <w:szCs w:val="18"/>
        </w:rPr>
      </w:pPr>
      <w:r w:rsidRPr="006E7859">
        <w:t>postupy</w:t>
      </w:r>
      <w:r w:rsidRPr="000369D0">
        <w:rPr>
          <w:szCs w:val="18"/>
        </w:rPr>
        <w:t xml:space="preserve"> pro řízení přístupů (konkrétní postupy pro pracovníky Poskytovatele a jeho poddodavatelů podílející se na poskytování Plnění dle Smlouvy);</w:t>
      </w:r>
    </w:p>
    <w:p w14:paraId="10E7AD8C" w14:textId="77777777" w:rsidR="000369D0" w:rsidRPr="000369D0" w:rsidRDefault="000369D0" w:rsidP="006E7859">
      <w:pPr>
        <w:pStyle w:val="Nadpis3"/>
        <w:ind w:left="1418" w:hanging="709"/>
        <w:rPr>
          <w:szCs w:val="18"/>
        </w:rPr>
      </w:pPr>
      <w:r w:rsidRPr="000369D0">
        <w:rPr>
          <w:szCs w:val="18"/>
        </w:rPr>
        <w:t>postupy pro bezpečné chování uživatelů (konkrétní postupy pro pracovníky Poskytovatele a jeho poddodavatelů podílející se na poskytování Plnění dle Smlouvy);</w:t>
      </w:r>
    </w:p>
    <w:p w14:paraId="22F982C4" w14:textId="77777777" w:rsidR="000369D0" w:rsidRPr="000369D0" w:rsidRDefault="000369D0" w:rsidP="006E7859">
      <w:pPr>
        <w:pStyle w:val="Nadpis3"/>
        <w:ind w:left="1418" w:hanging="709"/>
        <w:rPr>
          <w:szCs w:val="18"/>
        </w:rPr>
      </w:pPr>
      <w:r w:rsidRPr="000369D0">
        <w:rPr>
          <w:szCs w:val="18"/>
        </w:rPr>
        <w:t>postupy pro zálohování a obnovu a dlouhodobé ukládání;</w:t>
      </w:r>
    </w:p>
    <w:p w14:paraId="591A67CD" w14:textId="77777777" w:rsidR="000369D0" w:rsidRPr="000369D0" w:rsidRDefault="000369D0" w:rsidP="006E7859">
      <w:pPr>
        <w:pStyle w:val="Nadpis3"/>
        <w:ind w:left="1418" w:hanging="709"/>
        <w:rPr>
          <w:szCs w:val="18"/>
        </w:rPr>
      </w:pPr>
      <w:r w:rsidRPr="000369D0">
        <w:rPr>
          <w:szCs w:val="18"/>
        </w:rPr>
        <w:t>postupy pro řízení technických zranitelností;</w:t>
      </w:r>
    </w:p>
    <w:p w14:paraId="1FECAFD8" w14:textId="77777777" w:rsidR="000369D0" w:rsidRPr="000369D0" w:rsidRDefault="000369D0" w:rsidP="006E7859">
      <w:pPr>
        <w:pStyle w:val="Nadpis3"/>
        <w:ind w:left="1418" w:hanging="709"/>
        <w:rPr>
          <w:szCs w:val="18"/>
        </w:rPr>
      </w:pPr>
      <w:r w:rsidRPr="000369D0">
        <w:rPr>
          <w:szCs w:val="18"/>
        </w:rPr>
        <w:t>pro řízení kontinuity činnosti;</w:t>
      </w:r>
    </w:p>
    <w:p w14:paraId="5622C0AB" w14:textId="53C8F7FB" w:rsidR="000369D0" w:rsidRPr="000369D0" w:rsidRDefault="000369D0" w:rsidP="006E7859">
      <w:pPr>
        <w:pStyle w:val="Nadpis3"/>
        <w:ind w:left="1418" w:hanging="709"/>
        <w:rPr>
          <w:szCs w:val="18"/>
        </w:rPr>
      </w:pPr>
      <w:r w:rsidRPr="000369D0">
        <w:rPr>
          <w:szCs w:val="18"/>
        </w:rPr>
        <w:t xml:space="preserve">architektonické modely v grafickém jazyce </w:t>
      </w:r>
      <w:proofErr w:type="spellStart"/>
      <w:r w:rsidRPr="000369D0">
        <w:rPr>
          <w:szCs w:val="18"/>
        </w:rPr>
        <w:t>ArchiMate</w:t>
      </w:r>
      <w:proofErr w:type="spellEnd"/>
      <w:r w:rsidRPr="000369D0">
        <w:rPr>
          <w:szCs w:val="18"/>
        </w:rPr>
        <w:t xml:space="preserve"> ve vztahu k dodávanému software;</w:t>
      </w:r>
    </w:p>
    <w:p w14:paraId="3721C46E" w14:textId="77777777" w:rsidR="000369D0" w:rsidRPr="000369D0" w:rsidRDefault="000369D0" w:rsidP="006E7859">
      <w:pPr>
        <w:pStyle w:val="Nadpis3"/>
        <w:ind w:left="1418" w:hanging="709"/>
        <w:rPr>
          <w:szCs w:val="18"/>
        </w:rPr>
      </w:pPr>
      <w:r w:rsidRPr="000369D0">
        <w:rPr>
          <w:szCs w:val="18"/>
        </w:rPr>
        <w:t xml:space="preserve">další </w:t>
      </w:r>
      <w:r w:rsidRPr="000369D0">
        <w:rPr>
          <w:rFonts w:eastAsiaTheme="majorEastAsia" w:cstheme="majorBidi"/>
          <w:bCs/>
          <w:szCs w:val="18"/>
        </w:rPr>
        <w:t>dokumentaci relevantní pro poskytování Plnění (přehled topologie infrastruktury pro poskytované Plnění; konfigurační standard včetně nastavení zabezpečení pro jednotlivá zařízení minimálně v takovém rozsahu, aby dle něj bylo možné nastavit nové zařízení v případě havárie).</w:t>
      </w:r>
    </w:p>
    <w:p w14:paraId="25796F5A" w14:textId="546B6A6F" w:rsidR="000369D0" w:rsidRPr="000369D0" w:rsidRDefault="000369D0" w:rsidP="006E7859">
      <w:pPr>
        <w:pStyle w:val="Odstavecseseznamem"/>
        <w:spacing w:after="60"/>
        <w:ind w:left="709" w:hanging="679"/>
        <w:jc w:val="both"/>
        <w:rPr>
          <w:szCs w:val="18"/>
        </w:rPr>
      </w:pPr>
      <w:r w:rsidRPr="000369D0">
        <w:rPr>
          <w:szCs w:val="18"/>
        </w:rPr>
        <w:t xml:space="preserve">Nejsou-li požadavky na obsah konkrétní části dokumentace podle odst. </w:t>
      </w:r>
      <w:r w:rsidRPr="000369D0">
        <w:rPr>
          <w:szCs w:val="18"/>
        </w:rPr>
        <w:fldChar w:fldCharType="begin"/>
      </w:r>
      <w:r w:rsidRPr="000369D0">
        <w:rPr>
          <w:szCs w:val="18"/>
        </w:rPr>
        <w:instrText xml:space="preserve"> REF _Ref204241952 \r \h  \* MERGEFORMAT </w:instrText>
      </w:r>
      <w:r w:rsidRPr="000369D0">
        <w:rPr>
          <w:szCs w:val="18"/>
        </w:rPr>
      </w:r>
      <w:r w:rsidRPr="000369D0">
        <w:rPr>
          <w:szCs w:val="18"/>
        </w:rPr>
        <w:fldChar w:fldCharType="separate"/>
      </w:r>
      <w:r w:rsidRPr="000369D0">
        <w:rPr>
          <w:szCs w:val="18"/>
        </w:rPr>
        <w:t>1</w:t>
      </w:r>
      <w:r w:rsidR="00BD4F2D">
        <w:rPr>
          <w:szCs w:val="18"/>
        </w:rPr>
        <w:t>5</w:t>
      </w:r>
      <w:r w:rsidRPr="000369D0">
        <w:rPr>
          <w:szCs w:val="18"/>
        </w:rPr>
        <w:t>.1</w:t>
      </w:r>
      <w:r w:rsidRPr="000369D0">
        <w:rPr>
          <w:szCs w:val="18"/>
        </w:rPr>
        <w:fldChar w:fldCharType="end"/>
      </w:r>
      <w:r w:rsidRPr="000369D0">
        <w:rPr>
          <w:szCs w:val="18"/>
        </w:rPr>
        <w:t xml:space="preserve"> této Přílohy stanoveny ve VVP, ZKB, Nařízení Komise pro digitály nebo Smlouvě (vč. této Přílohy) ani výkladovém dokumentu NÚKIB, uplatní se pro zpracování dokumentace příměřně požadavky mezinárodně platných bezpečnostních technických norem.</w:t>
      </w:r>
    </w:p>
    <w:p w14:paraId="3EB19CCC" w14:textId="5D87D8CD" w:rsidR="000369D0" w:rsidRPr="000369D0" w:rsidRDefault="000369D0" w:rsidP="00F96476">
      <w:pPr>
        <w:pStyle w:val="Odstavecseseznamem"/>
        <w:spacing w:after="60"/>
        <w:ind w:left="709" w:hanging="679"/>
        <w:jc w:val="both"/>
        <w:rPr>
          <w:szCs w:val="18"/>
        </w:rPr>
      </w:pPr>
      <w:r w:rsidRPr="000369D0">
        <w:rPr>
          <w:szCs w:val="18"/>
        </w:rPr>
        <w:lastRenderedPageBreak/>
        <w:t xml:space="preserve">Dokumentaci podle odst. </w:t>
      </w:r>
      <w:r w:rsidRPr="000369D0">
        <w:rPr>
          <w:szCs w:val="18"/>
        </w:rPr>
        <w:fldChar w:fldCharType="begin"/>
      </w:r>
      <w:r w:rsidRPr="000369D0">
        <w:rPr>
          <w:szCs w:val="18"/>
        </w:rPr>
        <w:instrText xml:space="preserve"> REF _Ref204241952 \r \h  \* MERGEFORMAT </w:instrText>
      </w:r>
      <w:r w:rsidRPr="000369D0">
        <w:rPr>
          <w:szCs w:val="18"/>
        </w:rPr>
      </w:r>
      <w:r w:rsidRPr="000369D0">
        <w:rPr>
          <w:szCs w:val="18"/>
        </w:rPr>
        <w:fldChar w:fldCharType="separate"/>
      </w:r>
      <w:r w:rsidRPr="000369D0">
        <w:rPr>
          <w:szCs w:val="18"/>
        </w:rPr>
        <w:t>1</w:t>
      </w:r>
      <w:r w:rsidR="00BD4F2D">
        <w:rPr>
          <w:szCs w:val="18"/>
        </w:rPr>
        <w:t>5</w:t>
      </w:r>
      <w:r w:rsidRPr="000369D0">
        <w:rPr>
          <w:szCs w:val="18"/>
        </w:rPr>
        <w:t>.1</w:t>
      </w:r>
      <w:r w:rsidRPr="000369D0">
        <w:rPr>
          <w:szCs w:val="18"/>
        </w:rPr>
        <w:fldChar w:fldCharType="end"/>
      </w:r>
      <w:r w:rsidRPr="000369D0">
        <w:rPr>
          <w:szCs w:val="18"/>
        </w:rPr>
        <w:t xml:space="preserve"> této Přílohy je Poskytovatel povinen revidovat a případně aktualizovat nejméně </w:t>
      </w:r>
      <w:r w:rsidRPr="000369D0">
        <w:rPr>
          <w:rFonts w:eastAsiaTheme="majorEastAsia" w:cstheme="majorBidi"/>
          <w:bCs/>
          <w:szCs w:val="18"/>
        </w:rPr>
        <w:t>jednou ročně</w:t>
      </w:r>
      <w:r w:rsidRPr="000369D0">
        <w:rPr>
          <w:szCs w:val="18"/>
        </w:rPr>
        <w:t xml:space="preserve"> a dále kdykoli při změně skutečností zachycených v</w:t>
      </w:r>
      <w:r w:rsidR="00236421">
        <w:rPr>
          <w:szCs w:val="18"/>
        </w:rPr>
        <w:t> </w:t>
      </w:r>
      <w:r w:rsidRPr="000369D0">
        <w:rPr>
          <w:szCs w:val="18"/>
        </w:rPr>
        <w:t>dokumentaci. Poskytovatel je povinen výsledek provedené revize a případné aktualizace oznámit Objednateli bez zbytečného odkladu od jejich provedení.</w:t>
      </w:r>
    </w:p>
    <w:p w14:paraId="3ED9146D"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Řízení změn</w:t>
      </w:r>
    </w:p>
    <w:p w14:paraId="28F17D07" w14:textId="4A3FB7A3" w:rsidR="000369D0" w:rsidRPr="0088766F" w:rsidRDefault="000369D0" w:rsidP="009D793A">
      <w:pPr>
        <w:pStyle w:val="Odstavecseseznamem"/>
        <w:spacing w:after="60"/>
        <w:ind w:left="709" w:hanging="679"/>
        <w:jc w:val="both"/>
      </w:pPr>
      <w:bookmarkStart w:id="12" w:name="_Ref204241993"/>
      <w:r w:rsidRPr="0088766F">
        <w:t>Poskytovatel se zavazuje sledovat a identifikovat změny, které mají nebo mohou mít vliv na</w:t>
      </w:r>
      <w:r w:rsidR="00236421">
        <w:t> </w:t>
      </w:r>
      <w:r w:rsidRPr="0088766F">
        <w:t>zajištění kybernetické bezpečnosti Dat a informovat Objednatele o této skutečnosti.</w:t>
      </w:r>
      <w:bookmarkEnd w:id="12"/>
    </w:p>
    <w:p w14:paraId="535650CE" w14:textId="77777777" w:rsidR="000369D0" w:rsidRPr="000369D0" w:rsidRDefault="000369D0" w:rsidP="009D793A">
      <w:pPr>
        <w:pStyle w:val="Odstavecseseznamem"/>
        <w:spacing w:after="60"/>
        <w:ind w:left="709" w:hanging="679"/>
        <w:jc w:val="both"/>
        <w:rPr>
          <w:szCs w:val="18"/>
        </w:rPr>
      </w:pPr>
      <w:r w:rsidRPr="000369D0">
        <w:rPr>
          <w:szCs w:val="18"/>
        </w:rPr>
        <w:t>Poskytovatel se zavazuje, vyjeví-li se skutečnost, že by změna mohla být významnou změnou nebo dá-li Objednatel Poskytovateli takový pokyn, zejména před nasazením nové technologie (hardware a software) nebo při změně stávající technologie nebo při změně postupu správy technologie, která je předmětem Plnění, zajistit:</w:t>
      </w:r>
    </w:p>
    <w:p w14:paraId="3166D1D1" w14:textId="77777777" w:rsidR="000369D0" w:rsidRPr="000369D0" w:rsidRDefault="000369D0" w:rsidP="00566418">
      <w:pPr>
        <w:pStyle w:val="Nadpis3"/>
        <w:ind w:left="1418" w:hanging="709"/>
      </w:pPr>
      <w:r w:rsidRPr="000369D0">
        <w:t>identifikaci a vyhodnocení možných dopadů změny na kybernetickou bezpečnost;</w:t>
      </w:r>
    </w:p>
    <w:p w14:paraId="508C16BE" w14:textId="77777777" w:rsidR="000369D0" w:rsidRPr="000369D0" w:rsidRDefault="000369D0" w:rsidP="004751E0">
      <w:pPr>
        <w:pStyle w:val="Nadpis3"/>
        <w:ind w:left="1418" w:hanging="709"/>
        <w:rPr>
          <w:szCs w:val="18"/>
        </w:rPr>
      </w:pPr>
      <w:r w:rsidRPr="000369D0">
        <w:rPr>
          <w:szCs w:val="18"/>
        </w:rPr>
        <w:t>vyhodnocení, zda změna je významnou změnou dle § 12 odst. 1 písm. c) VVP, a při tomto vyhodnocení zohlednit politiku řízení změn Objednatele;</w:t>
      </w:r>
    </w:p>
    <w:p w14:paraId="29514C5E" w14:textId="3EE0FA2B" w:rsidR="000369D0" w:rsidRPr="000369D0" w:rsidRDefault="000369D0" w:rsidP="004751E0">
      <w:pPr>
        <w:pStyle w:val="Nadpis3"/>
        <w:ind w:left="1418" w:hanging="709"/>
        <w:rPr>
          <w:szCs w:val="18"/>
        </w:rPr>
      </w:pPr>
      <w:r w:rsidRPr="000369D0">
        <w:rPr>
          <w:szCs w:val="18"/>
        </w:rPr>
        <w:t>předání dokumentace vyhodnocení změny dle předchozích písmen Objednateli k</w:t>
      </w:r>
      <w:r w:rsidR="00236421">
        <w:rPr>
          <w:szCs w:val="18"/>
        </w:rPr>
        <w:t> </w:t>
      </w:r>
      <w:r w:rsidRPr="000369D0">
        <w:rPr>
          <w:szCs w:val="18"/>
        </w:rPr>
        <w:t>určení změny jako významné změny dle § 12 odst. 1 písm. c) VVP;</w:t>
      </w:r>
    </w:p>
    <w:p w14:paraId="2EEB87B8" w14:textId="77777777" w:rsidR="000369D0" w:rsidRPr="000369D0" w:rsidRDefault="000369D0" w:rsidP="004751E0">
      <w:pPr>
        <w:pStyle w:val="Nadpis3"/>
        <w:ind w:left="1418" w:hanging="709"/>
        <w:rPr>
          <w:szCs w:val="18"/>
        </w:rPr>
      </w:pPr>
      <w:r w:rsidRPr="000369D0">
        <w:rPr>
          <w:szCs w:val="18"/>
        </w:rPr>
        <w:t>posouzení rizik související s významnou změnou ve vztahu k poskytování Plnění dle Smlouvy a dokumentovat toto posouzení.</w:t>
      </w:r>
    </w:p>
    <w:p w14:paraId="1CC261F5" w14:textId="77777777" w:rsidR="000369D0" w:rsidRPr="000369D0" w:rsidRDefault="000369D0" w:rsidP="00EA5911">
      <w:pPr>
        <w:pStyle w:val="Odstavecseseznamem"/>
        <w:spacing w:after="60"/>
        <w:ind w:left="709" w:hanging="679"/>
        <w:jc w:val="both"/>
        <w:rPr>
          <w:szCs w:val="18"/>
        </w:rPr>
      </w:pPr>
      <w:r w:rsidRPr="000369D0">
        <w:rPr>
          <w:szCs w:val="18"/>
        </w:rPr>
        <w:t>Poskytovatel se zavazuje při provádění významných změn zajistit:</w:t>
      </w:r>
    </w:p>
    <w:p w14:paraId="6834ABC0" w14:textId="77777777" w:rsidR="000369D0" w:rsidRPr="000369D0" w:rsidRDefault="000369D0" w:rsidP="00EA5911">
      <w:pPr>
        <w:pStyle w:val="Nadpis3"/>
        <w:ind w:left="1418" w:hanging="709"/>
        <w:rPr>
          <w:szCs w:val="18"/>
        </w:rPr>
      </w:pPr>
      <w:r w:rsidRPr="000369D0">
        <w:rPr>
          <w:szCs w:val="18"/>
        </w:rPr>
        <w:t>dokumentované řízení realizace významné změny;</w:t>
      </w:r>
    </w:p>
    <w:p w14:paraId="47ADC3FC" w14:textId="77777777" w:rsidR="000369D0" w:rsidRPr="000369D0" w:rsidRDefault="000369D0" w:rsidP="00EA5911">
      <w:pPr>
        <w:pStyle w:val="Nadpis3"/>
        <w:ind w:left="1418" w:hanging="709"/>
        <w:rPr>
          <w:szCs w:val="18"/>
        </w:rPr>
      </w:pPr>
      <w:r w:rsidRPr="000369D0">
        <w:rPr>
          <w:szCs w:val="18"/>
        </w:rPr>
        <w:t>bezpečnostní testování významné změny před jejím zavedením do provozu v souladu s požadavky § 12 odst. 2 písm. e) VVP a čl. 6.4 přílohy Nařízení Komise pro digitály o posouzení možnosti případného navrácení do původního stavu; a</w:t>
      </w:r>
    </w:p>
    <w:p w14:paraId="70446F37" w14:textId="2A7BAF34" w:rsidR="000369D0" w:rsidRPr="000369D0" w:rsidRDefault="000369D0" w:rsidP="00EA5911">
      <w:pPr>
        <w:pStyle w:val="Nadpis3"/>
        <w:ind w:left="1418" w:hanging="709"/>
        <w:rPr>
          <w:szCs w:val="18"/>
        </w:rPr>
      </w:pPr>
      <w:r w:rsidRPr="000369D0">
        <w:rPr>
          <w:szCs w:val="18"/>
        </w:rPr>
        <w:t>zpracování dokumentace skutečného provedení významné změny (popis konfigurace a bezpečnostních nastavení, způsob řízení přístupu včetně vytvořených účtů a</w:t>
      </w:r>
      <w:r w:rsidR="003976D7">
        <w:rPr>
          <w:szCs w:val="18"/>
        </w:rPr>
        <w:t> </w:t>
      </w:r>
      <w:r w:rsidRPr="000369D0">
        <w:rPr>
          <w:szCs w:val="18"/>
        </w:rPr>
        <w:t>přidělených oprávnění, postupy zálohování a obnovy Dat, postupy pro zajištění kontinuity provozu a obnovy po havárii) a související aktualizaci dokumentace dle článku 10 této Přílohy a provedení dalších činností.</w:t>
      </w:r>
    </w:p>
    <w:p w14:paraId="0C6B7490" w14:textId="77777777" w:rsidR="000369D0" w:rsidRPr="000369D0" w:rsidRDefault="000369D0" w:rsidP="001F4658">
      <w:pPr>
        <w:pStyle w:val="Odstavecseseznamem"/>
        <w:spacing w:after="60"/>
        <w:ind w:left="709" w:hanging="679"/>
        <w:jc w:val="both"/>
        <w:rPr>
          <w:szCs w:val="18"/>
        </w:rPr>
      </w:pPr>
      <w:r w:rsidRPr="000369D0">
        <w:rPr>
          <w:szCs w:val="18"/>
        </w:rPr>
        <w:t>Poskytovatel se zavazuje reagovat na změny, zejména aktualizovat hodnocení rizik, bezpečnostní a provozní dokumentaci a upravit na své straně bezpečnostní opatření tak, aby odpovídala novému stavu po provedení změny.</w:t>
      </w:r>
    </w:p>
    <w:p w14:paraId="11637B3A" w14:textId="77777777" w:rsidR="000369D0" w:rsidRPr="000369D0" w:rsidRDefault="000369D0" w:rsidP="001F4658">
      <w:pPr>
        <w:pStyle w:val="Odstavecseseznamem"/>
        <w:spacing w:after="60"/>
        <w:ind w:left="709" w:hanging="679"/>
        <w:jc w:val="both"/>
        <w:rPr>
          <w:szCs w:val="18"/>
        </w:rPr>
      </w:pPr>
      <w:r w:rsidRPr="000369D0">
        <w:rPr>
          <w:szCs w:val="18"/>
        </w:rPr>
        <w:t>Poskytovatel se zavazuje při poskytování Plnění dle Smlouvy přiměřeně postupovat dle systému řízení změn Objednatele vymezeným v souladu s čl. 6.4 přílohy Nařízení Komise pro digitály.</w:t>
      </w:r>
    </w:p>
    <w:p w14:paraId="307B1B6A"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bookmarkStart w:id="13" w:name="_Ref204242093"/>
      <w:r w:rsidRPr="000369D0">
        <w:rPr>
          <w:rFonts w:eastAsiaTheme="majorEastAsia" w:cstheme="majorBidi"/>
          <w:b/>
          <w:bCs/>
          <w:caps/>
          <w:sz w:val="20"/>
          <w:szCs w:val="28"/>
        </w:rPr>
        <w:t>Proces ukončení SMLOUVY a řízení kontinuity</w:t>
      </w:r>
      <w:bookmarkEnd w:id="13"/>
    </w:p>
    <w:p w14:paraId="7DD785F3" w14:textId="682F4A8A" w:rsidR="000369D0" w:rsidRPr="0088766F" w:rsidRDefault="000369D0" w:rsidP="00D234A0">
      <w:pPr>
        <w:pStyle w:val="Odstavecseseznamem"/>
        <w:spacing w:after="60"/>
        <w:ind w:left="709" w:hanging="679"/>
        <w:jc w:val="both"/>
      </w:pPr>
      <w:r w:rsidRPr="0088766F">
        <w:t xml:space="preserve">Není-li ve Smlouvě stanoveno jinak uplatní se na pravidla pro ukončení Smlouvy a řízení kontinuity čl. </w:t>
      </w:r>
      <w:r w:rsidRPr="0088766F">
        <w:fldChar w:fldCharType="begin"/>
      </w:r>
      <w:r w:rsidRPr="0088766F">
        <w:instrText xml:space="preserve"> REF _Ref204242093 \r \h  \* MERGEFORMAT </w:instrText>
      </w:r>
      <w:r w:rsidRPr="0088766F">
        <w:fldChar w:fldCharType="separate"/>
      </w:r>
      <w:r w:rsidRPr="0088766F">
        <w:t>XVII</w:t>
      </w:r>
      <w:r w:rsidRPr="0088766F">
        <w:fldChar w:fldCharType="end"/>
      </w:r>
      <w:r w:rsidRPr="0088766F">
        <w:t xml:space="preserve"> této Přílohy.</w:t>
      </w:r>
    </w:p>
    <w:p w14:paraId="503AB051" w14:textId="77777777" w:rsidR="000369D0" w:rsidRPr="000369D0" w:rsidRDefault="000369D0" w:rsidP="00D234A0">
      <w:pPr>
        <w:pStyle w:val="Odstavecseseznamem"/>
        <w:spacing w:after="60"/>
        <w:ind w:left="709" w:hanging="679"/>
        <w:jc w:val="both"/>
        <w:rPr>
          <w:szCs w:val="18"/>
        </w:rPr>
      </w:pPr>
      <w:r w:rsidRPr="000369D0">
        <w:rPr>
          <w:szCs w:val="18"/>
        </w:rPr>
        <w:t>Smluvní strany se dohodly, že při ukončení Smlouvy z jakéhokoli důvodu vyvinou veškeré úsilí k tomu, aby do doby dokončení migrace Dat či převodu poskytování Plnění dle Smlouvy k Objednateli nebo jinému provozovateli, nedošlo k narušení parametrů poskytování Plnění ve Smlouvě do té doby definovaných, a aby případný nový poskytovatel dostal veškeré informace o poskytování Plnění dle Smlouvy potřebné pro pokračování nebo nahrazení poskytovaných služeb.</w:t>
      </w:r>
    </w:p>
    <w:p w14:paraId="768AE2C6" w14:textId="77777777" w:rsidR="000369D0" w:rsidRPr="000369D0" w:rsidRDefault="000369D0" w:rsidP="00D234A0">
      <w:pPr>
        <w:pStyle w:val="Odstavecseseznamem"/>
        <w:spacing w:after="60"/>
        <w:ind w:left="709" w:hanging="679"/>
        <w:jc w:val="both"/>
        <w:rPr>
          <w:szCs w:val="18"/>
        </w:rPr>
      </w:pPr>
      <w:r w:rsidRPr="00D234A0">
        <w:t>Poskytovatel</w:t>
      </w:r>
      <w:r w:rsidRPr="000369D0">
        <w:rPr>
          <w:szCs w:val="18"/>
        </w:rPr>
        <w:t xml:space="preserve"> se zavazuje v rozsahu poskytovaného Plnění aktivně podílet na splnění povinností uvedených v čl. 4.1 přílohy Nařízení Komise pro digitály, které musí splnit Objednatel. Minimálně se Poskytovatel zavazuje v rozsahu poskytování Služeb na své straně:</w:t>
      </w:r>
    </w:p>
    <w:p w14:paraId="492AAD7B" w14:textId="1AE6031E" w:rsidR="000369D0" w:rsidRPr="000369D0" w:rsidRDefault="000369D0" w:rsidP="001B5FD7">
      <w:pPr>
        <w:pStyle w:val="Nadpis3"/>
        <w:ind w:left="1418" w:hanging="709"/>
      </w:pPr>
      <w:r w:rsidRPr="000369D0">
        <w:lastRenderedPageBreak/>
        <w:t>ve spolupráci s Objednatelem určit aktiva potřebná k poskytování Plnění dle Smlouvy, zpracovat a poskytnout Objednateli plány kontinuity a havarijní plány v souvislosti s</w:t>
      </w:r>
      <w:r w:rsidR="003976D7">
        <w:t> </w:t>
      </w:r>
      <w:r w:rsidRPr="000369D0">
        <w:t>těmito aktivy, a případně tyto plány upravit dle požadavků Objednatele;</w:t>
      </w:r>
    </w:p>
    <w:p w14:paraId="054E22BA" w14:textId="77777777" w:rsidR="000369D0" w:rsidRPr="000369D0" w:rsidRDefault="000369D0" w:rsidP="001B5FD7">
      <w:pPr>
        <w:pStyle w:val="Nadpis3"/>
        <w:ind w:left="1418" w:hanging="709"/>
        <w:rPr>
          <w:szCs w:val="18"/>
        </w:rPr>
      </w:pPr>
      <w:r w:rsidRPr="000369D0">
        <w:rPr>
          <w:szCs w:val="18"/>
        </w:rPr>
        <w:t>zajistit adekvátní kontinuitu svých aktiv, které jsou potřebné k poskytování Plnění dle Smlouvy; a</w:t>
      </w:r>
    </w:p>
    <w:p w14:paraId="2196E149" w14:textId="77777777" w:rsidR="000369D0" w:rsidRPr="000369D0" w:rsidRDefault="000369D0" w:rsidP="00CA5F56">
      <w:pPr>
        <w:pStyle w:val="Nadpis3"/>
        <w:ind w:left="1418" w:hanging="709"/>
        <w:rPr>
          <w:szCs w:val="18"/>
        </w:rPr>
      </w:pPr>
      <w:r w:rsidRPr="000369D0">
        <w:rPr>
          <w:szCs w:val="18"/>
        </w:rPr>
        <w:t>pravidelně kontrolovat a testovat, že je schopen kontinuitu aktiv zajistit dle sjednané úrovně služeb.</w:t>
      </w:r>
    </w:p>
    <w:p w14:paraId="344D6B56" w14:textId="5E0EDF71" w:rsidR="000369D0" w:rsidRPr="000369D0" w:rsidRDefault="000369D0" w:rsidP="00CA5F56">
      <w:pPr>
        <w:pStyle w:val="Odstavecseseznamem"/>
        <w:spacing w:after="60"/>
        <w:ind w:left="709" w:hanging="679"/>
        <w:jc w:val="both"/>
        <w:rPr>
          <w:szCs w:val="18"/>
        </w:rPr>
      </w:pPr>
      <w:r w:rsidRPr="000369D0">
        <w:rPr>
          <w:szCs w:val="18"/>
        </w:rPr>
        <w:t>Poskytovatel se zavazuje poskytnout nezbytnou součinnost při zpracování plánů obnovy a</w:t>
      </w:r>
      <w:r w:rsidR="003976D7">
        <w:rPr>
          <w:szCs w:val="18"/>
        </w:rPr>
        <w:t> </w:t>
      </w:r>
      <w:r w:rsidRPr="000369D0">
        <w:rPr>
          <w:szCs w:val="18"/>
        </w:rPr>
        <w:t>havarijních plánů a dalších povinností Objednatele.</w:t>
      </w:r>
    </w:p>
    <w:p w14:paraId="191B9677" w14:textId="77777777" w:rsidR="000369D0" w:rsidRPr="000369D0" w:rsidRDefault="000369D0" w:rsidP="00D977DD">
      <w:pPr>
        <w:pStyle w:val="Odstavecseseznamem"/>
        <w:keepNext/>
        <w:numPr>
          <w:ilvl w:val="0"/>
          <w:numId w:val="1"/>
        </w:numPr>
        <w:tabs>
          <w:tab w:val="left" w:pos="284"/>
        </w:tabs>
        <w:spacing w:before="360" w:after="120" w:line="360" w:lineRule="auto"/>
        <w:ind w:left="0" w:firstLine="426"/>
        <w:jc w:val="center"/>
        <w:outlineLvl w:val="0"/>
        <w:rPr>
          <w:rFonts w:eastAsiaTheme="majorEastAsia" w:cstheme="majorBidi"/>
          <w:b/>
          <w:bCs/>
          <w:caps/>
          <w:sz w:val="20"/>
          <w:szCs w:val="28"/>
        </w:rPr>
      </w:pPr>
      <w:r w:rsidRPr="000369D0">
        <w:rPr>
          <w:rFonts w:eastAsiaTheme="majorEastAsia" w:cstheme="majorBidi"/>
          <w:b/>
          <w:bCs/>
          <w:caps/>
          <w:sz w:val="20"/>
          <w:szCs w:val="28"/>
        </w:rPr>
        <w:t>Ostatní ujednání</w:t>
      </w:r>
    </w:p>
    <w:p w14:paraId="52680D00" w14:textId="21AA9E0A" w:rsidR="000369D0" w:rsidRPr="0088766F" w:rsidRDefault="000369D0" w:rsidP="0000545C">
      <w:pPr>
        <w:pStyle w:val="Odstavecseseznamem"/>
        <w:spacing w:after="60"/>
        <w:ind w:left="709" w:hanging="679"/>
        <w:jc w:val="both"/>
      </w:pPr>
      <w:r w:rsidRPr="0000545C">
        <w:rPr>
          <w:szCs w:val="18"/>
        </w:rPr>
        <w:t>Poskytovatel</w:t>
      </w:r>
      <w:r w:rsidRPr="0088766F">
        <w:t xml:space="preserve"> se zavazuje provádět veškerá Plnění dle Smlouvy v souladu se Smlouvou, příkazy Objednatele, s předanými podklady a dále v souladu s právními předpisy, zejména ZKB, VVP a Nařízením Komise pro digitály. Poskytovatel se zavazuje při výkonu své činnosti včas a prokazatelně upozornit Objednatele na zřejmou nevhodnost jeho příkazů či doporučení vztahujících se k pravidlům kybernetické bezpečnosti, jejichž následkem může vzniknout újma nebo nesoulad s právními předpisy a zajistit ve spolupráci s Objednatelem náhradní způsob naplnění pravidel bezpečnosti, pokud stávající řešení přestalo být funkční nebo efektivní.</w:t>
      </w:r>
    </w:p>
    <w:p w14:paraId="7CC7948F" w14:textId="77777777" w:rsidR="000369D0" w:rsidRPr="000369D0" w:rsidRDefault="000369D0" w:rsidP="0000545C">
      <w:pPr>
        <w:pStyle w:val="Odstavecseseznamem"/>
        <w:spacing w:after="60"/>
        <w:ind w:left="709" w:hanging="679"/>
        <w:jc w:val="both"/>
        <w:rPr>
          <w:szCs w:val="18"/>
        </w:rPr>
      </w:pPr>
      <w:r w:rsidRPr="000369D0">
        <w:rPr>
          <w:szCs w:val="18"/>
        </w:rPr>
        <w:t>Pokud není ve Smlouvě nebo v této Příloze výslovně uvedeno jinak, odměna za provádění povinností a opatření dle této Přílohy a Kybernetických požadavků je součástí odměny dle Smlouvy.</w:t>
      </w:r>
    </w:p>
    <w:p w14:paraId="3D817DA1" w14:textId="77777777" w:rsidR="0059643A" w:rsidRPr="002A2636" w:rsidRDefault="0059643A" w:rsidP="00147B11">
      <w:pPr>
        <w:spacing w:before="360"/>
        <w:jc w:val="both"/>
        <w:rPr>
          <w:rFonts w:cs="Arial"/>
          <w:b/>
          <w:bCs/>
          <w:color w:val="4F81BD" w:themeColor="accent1"/>
        </w:rPr>
      </w:pPr>
    </w:p>
    <w:p w14:paraId="3E856218" w14:textId="77777777" w:rsidR="00147B11" w:rsidRDefault="00147B11" w:rsidP="002A590A"/>
    <w:sectPr w:rsidR="00147B11" w:rsidSect="00013BC4">
      <w:headerReference w:type="even" r:id="rId25"/>
      <w:headerReference w:type="default" r:id="rId26"/>
      <w:footerReference w:type="even" r:id="rId27"/>
      <w:footerReference w:type="default" r:id="rId28"/>
      <w:headerReference w:type="first" r:id="rId29"/>
      <w:footerReference w:type="first" r:id="rId30"/>
      <w:pgSz w:w="11906" w:h="16838"/>
      <w:pgMar w:top="1843" w:right="1417" w:bottom="1417" w:left="1417" w:header="7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810B" w14:textId="77777777" w:rsidR="00A27206" w:rsidRDefault="00A27206" w:rsidP="002F4B17">
      <w:pPr>
        <w:spacing w:after="0" w:line="240" w:lineRule="auto"/>
      </w:pPr>
      <w:r>
        <w:separator/>
      </w:r>
    </w:p>
  </w:endnote>
  <w:endnote w:type="continuationSeparator" w:id="0">
    <w:p w14:paraId="4FB5ED03" w14:textId="77777777" w:rsidR="00A27206" w:rsidRDefault="00A27206" w:rsidP="002F4B17">
      <w:pPr>
        <w:spacing w:after="0" w:line="240" w:lineRule="auto"/>
      </w:pPr>
      <w:r>
        <w:continuationSeparator/>
      </w:r>
    </w:p>
  </w:endnote>
  <w:endnote w:type="continuationNotice" w:id="1">
    <w:p w14:paraId="237E91B8" w14:textId="77777777" w:rsidR="00A27206" w:rsidRDefault="00A27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ZWAdobeF">
    <w:altName w:val="Calibri"/>
    <w:panose1 w:val="00000000000000000000"/>
    <w:charset w:val="EE"/>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0A9686C2" w:rsidR="006F134B" w:rsidRDefault="003E457A">
    <w:pPr>
      <w:pStyle w:val="Zpat"/>
    </w:pPr>
    <w:r>
      <w:rPr>
        <w:noProof/>
      </w:rPr>
      <mc:AlternateContent>
        <mc:Choice Requires="wps">
          <w:drawing>
            <wp:anchor distT="0" distB="0" distL="0" distR="0" simplePos="0" relativeHeight="251658247" behindDoc="0" locked="0" layoutInCell="1" allowOverlap="1" wp14:anchorId="4BBC7D9E" wp14:editId="224FC6B1">
              <wp:simplePos x="635" y="635"/>
              <wp:positionH relativeFrom="page">
                <wp:align>right</wp:align>
              </wp:positionH>
              <wp:positionV relativeFrom="page">
                <wp:align>bottom</wp:align>
              </wp:positionV>
              <wp:extent cx="1602740" cy="403225"/>
              <wp:effectExtent l="0" t="0" r="0" b="0"/>
              <wp:wrapNone/>
              <wp:docPr id="2106119806"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6EE1759" w14:textId="3702898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BC7D9E" id="_x0000_t202" coordsize="21600,21600" o:spt="202" path="m,l,21600r21600,l21600,xe">
              <v:stroke joinstyle="miter"/>
              <v:path gradientshapeok="t" o:connecttype="rect"/>
            </v:shapetype>
            <v:shape id="Textové pole 20" o:spid="_x0000_s1028" type="#_x0000_t202" alt="TLP:AMBER  " style="position:absolute;margin-left:75pt;margin-top:0;width:126.2pt;height:31.7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46EE1759" w14:textId="3702898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5B602713" w:rsidR="000538AA" w:rsidRDefault="003E457A" w:rsidP="002A590A">
    <w:pPr>
      <w:pStyle w:val="Zpat"/>
      <w:spacing w:line="360" w:lineRule="auto"/>
      <w:jc w:val="center"/>
    </w:pPr>
    <w:r>
      <w:rPr>
        <w:noProof/>
      </w:rPr>
      <mc:AlternateContent>
        <mc:Choice Requires="wps">
          <w:drawing>
            <wp:anchor distT="0" distB="0" distL="0" distR="0" simplePos="0" relativeHeight="251658248" behindDoc="0" locked="0" layoutInCell="1" allowOverlap="1" wp14:anchorId="12C7EE74" wp14:editId="32CFB5D5">
              <wp:simplePos x="720725" y="10196195"/>
              <wp:positionH relativeFrom="page">
                <wp:align>right</wp:align>
              </wp:positionH>
              <wp:positionV relativeFrom="page">
                <wp:align>bottom</wp:align>
              </wp:positionV>
              <wp:extent cx="1602740" cy="403225"/>
              <wp:effectExtent l="0" t="0" r="0" b="0"/>
              <wp:wrapNone/>
              <wp:docPr id="766628816" name="Textové pole 2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8F2AAC" w14:textId="6464DD87"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7EE74" id="_x0000_t202" coordsize="21600,21600" o:spt="202" path="m,l,21600r21600,l21600,xe">
              <v:stroke joinstyle="miter"/>
              <v:path gradientshapeok="t" o:connecttype="rect"/>
            </v:shapetype>
            <v:shape id="Textové pole 21" o:spid="_x0000_s1029" type="#_x0000_t202" alt="TLP:AMBER  " style="position:absolute;left:0;text-align:left;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598F2AAC" w14:textId="6464DD87"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sdt>
      <w:sdtPr>
        <w:id w:val="1728636285"/>
        <w:docPartObj>
          <w:docPartGallery w:val="Page Numbers (Top of Page)"/>
          <w:docPartUnique/>
        </w:docPartObj>
      </w:sdtPr>
      <w:sdtEnd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693" w14:textId="0C7F1B58" w:rsidR="009623BB" w:rsidRDefault="003E457A" w:rsidP="009623BB">
    <w:pPr>
      <w:pStyle w:val="Zpat"/>
      <w:spacing w:line="360" w:lineRule="auto"/>
      <w:jc w:val="center"/>
    </w:pPr>
    <w:r>
      <w:rPr>
        <w:noProof/>
      </w:rPr>
      <mc:AlternateContent>
        <mc:Choice Requires="wps">
          <w:drawing>
            <wp:anchor distT="0" distB="0" distL="0" distR="0" simplePos="0" relativeHeight="251658246" behindDoc="0" locked="0" layoutInCell="1" allowOverlap="1" wp14:anchorId="0348B0F3" wp14:editId="18557685">
              <wp:simplePos x="720000" y="10058400"/>
              <wp:positionH relativeFrom="page">
                <wp:align>right</wp:align>
              </wp:positionH>
              <wp:positionV relativeFrom="page">
                <wp:align>bottom</wp:align>
              </wp:positionV>
              <wp:extent cx="1602740" cy="403225"/>
              <wp:effectExtent l="0" t="0" r="0" b="0"/>
              <wp:wrapNone/>
              <wp:docPr id="1022313862" name="Textové pole 1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348C92" w14:textId="5C019AC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48B0F3" id="_x0000_t202" coordsize="21600,21600" o:spt="202" path="m,l,21600r21600,l21600,xe">
              <v:stroke joinstyle="miter"/>
              <v:path gradientshapeok="t" o:connecttype="rect"/>
            </v:shapetype>
            <v:shape id="Textové pole 19" o:spid="_x0000_s1031" type="#_x0000_t202" alt="TLP:AMBER  " style="position:absolute;left:0;text-align:left;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55348C92" w14:textId="5C019AC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sdt>
      <w:sdtPr>
        <w:id w:val="-2090224050"/>
        <w:docPartObj>
          <w:docPartGallery w:val="Page Numbers (Top of Page)"/>
          <w:docPartUnique/>
        </w:docPartObj>
      </w:sdtPr>
      <w:sdtEndPr/>
      <w:sdtContent>
        <w:r w:rsidR="009623BB" w:rsidRPr="007E4468">
          <w:rPr>
            <w:bCs/>
            <w:szCs w:val="18"/>
          </w:rPr>
          <w:fldChar w:fldCharType="begin"/>
        </w:r>
        <w:r w:rsidR="009623BB" w:rsidRPr="007E4468">
          <w:rPr>
            <w:bCs/>
            <w:szCs w:val="18"/>
          </w:rPr>
          <w:instrText>PAGE</w:instrText>
        </w:r>
        <w:r w:rsidR="009623BB" w:rsidRPr="007E4468">
          <w:rPr>
            <w:bCs/>
            <w:szCs w:val="18"/>
          </w:rPr>
          <w:fldChar w:fldCharType="separate"/>
        </w:r>
        <w:r w:rsidR="009623BB">
          <w:rPr>
            <w:bCs/>
            <w:szCs w:val="18"/>
          </w:rPr>
          <w:t>13</w:t>
        </w:r>
        <w:r w:rsidR="009623BB" w:rsidRPr="007E4468">
          <w:rPr>
            <w:bCs/>
            <w:szCs w:val="18"/>
          </w:rPr>
          <w:fldChar w:fldCharType="end"/>
        </w:r>
        <w:r w:rsidR="009623BB" w:rsidRPr="007E4468">
          <w:rPr>
            <w:szCs w:val="18"/>
          </w:rPr>
          <w:t xml:space="preserve"> / </w:t>
        </w:r>
        <w:r w:rsidR="009623BB" w:rsidRPr="007E4468">
          <w:rPr>
            <w:bCs/>
            <w:szCs w:val="18"/>
          </w:rPr>
          <w:fldChar w:fldCharType="begin"/>
        </w:r>
        <w:r w:rsidR="009623BB" w:rsidRPr="007E4468">
          <w:rPr>
            <w:bCs/>
            <w:szCs w:val="18"/>
          </w:rPr>
          <w:instrText>NUMPAGES</w:instrText>
        </w:r>
        <w:r w:rsidR="009623BB" w:rsidRPr="007E4468">
          <w:rPr>
            <w:bCs/>
            <w:szCs w:val="18"/>
          </w:rPr>
          <w:fldChar w:fldCharType="separate"/>
        </w:r>
        <w:r w:rsidR="009623BB">
          <w:rPr>
            <w:bCs/>
            <w:szCs w:val="18"/>
          </w:rPr>
          <w:t>15</w:t>
        </w:r>
        <w:r w:rsidR="009623BB" w:rsidRPr="007E4468">
          <w:rPr>
            <w:bCs/>
            <w:szCs w:val="18"/>
          </w:rPr>
          <w:fldChar w:fldCharType="end"/>
        </w:r>
      </w:sdtContent>
    </w:sdt>
  </w:p>
  <w:p w14:paraId="21436D62" w14:textId="17E7103E" w:rsidR="006F134B" w:rsidRDefault="006F134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2A5A" w14:textId="77777777" w:rsidR="003B4D94" w:rsidRDefault="003B4D94">
    <w:pPr>
      <w:pStyle w:val="Zpat"/>
    </w:pPr>
    <w:r>
      <w:rPr>
        <w:noProof/>
      </w:rPr>
      <mc:AlternateContent>
        <mc:Choice Requires="wps">
          <w:drawing>
            <wp:anchor distT="0" distB="0" distL="0" distR="0" simplePos="0" relativeHeight="251658253" behindDoc="0" locked="0" layoutInCell="1" allowOverlap="1" wp14:anchorId="5B326AFD" wp14:editId="383F6419">
              <wp:simplePos x="635" y="635"/>
              <wp:positionH relativeFrom="page">
                <wp:align>right</wp:align>
              </wp:positionH>
              <wp:positionV relativeFrom="page">
                <wp:align>bottom</wp:align>
              </wp:positionV>
              <wp:extent cx="1602740" cy="403225"/>
              <wp:effectExtent l="0" t="0" r="0" b="0"/>
              <wp:wrapNone/>
              <wp:docPr id="151518440"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42BC4DB"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326AFD" id="_x0000_t202" coordsize="21600,21600" o:spt="202" path="m,l,21600r21600,l21600,xe">
              <v:stroke joinstyle="miter"/>
              <v:path gradientshapeok="t" o:connecttype="rect"/>
            </v:shapetype>
            <v:shape id="Textové pole 56" o:spid="_x0000_s1034" type="#_x0000_t202" alt="TLP:AMBER  " style="position:absolute;margin-left:75pt;margin-top:0;width:126.2pt;height:31.75pt;z-index:2516582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742BC4DB"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7AA0" w14:textId="77777777" w:rsidR="003B4D94" w:rsidRDefault="003B4D94" w:rsidP="00A17F85">
    <w:pPr>
      <w:pStyle w:val="Zpat"/>
      <w:spacing w:line="360" w:lineRule="auto"/>
      <w:jc w:val="center"/>
    </w:pPr>
    <w:r>
      <w:rPr>
        <w:noProof/>
      </w:rPr>
      <mc:AlternateContent>
        <mc:Choice Requires="wps">
          <w:drawing>
            <wp:anchor distT="0" distB="0" distL="0" distR="0" simplePos="0" relativeHeight="251658255" behindDoc="0" locked="0" layoutInCell="1" allowOverlap="1" wp14:anchorId="7C1FE0D8" wp14:editId="6E01B707">
              <wp:simplePos x="635" y="635"/>
              <wp:positionH relativeFrom="page">
                <wp:align>right</wp:align>
              </wp:positionH>
              <wp:positionV relativeFrom="page">
                <wp:align>bottom</wp:align>
              </wp:positionV>
              <wp:extent cx="1602740" cy="403225"/>
              <wp:effectExtent l="0" t="0" r="0" b="0"/>
              <wp:wrapNone/>
              <wp:docPr id="748590010"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EFD40B"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1FE0D8" id="_x0000_t202" coordsize="21600,21600" o:spt="202" path="m,l,21600r21600,l21600,xe">
              <v:stroke joinstyle="miter"/>
              <v:path gradientshapeok="t" o:connecttype="rect"/>
            </v:shapetype>
            <v:shape id="Textové pole 57" o:spid="_x0000_s1035" type="#_x0000_t202" alt="TLP:AMBER  " style="position:absolute;left:0;text-align:left;margin-left:75pt;margin-top:0;width:126.2pt;height:31.75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72EFD40B"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v:textbox>
              <w10:wrap anchorx="page" anchory="page"/>
            </v:shape>
          </w:pict>
        </mc:Fallback>
      </mc:AlternateContent>
    </w:r>
    <w:sdt>
      <w:sdtPr>
        <w:id w:val="-1361740058"/>
        <w:docPartObj>
          <w:docPartGallery w:val="Page Numbers (Top of Page)"/>
          <w:docPartUnique/>
        </w:docPartObj>
      </w:sdtPr>
      <w:sdtEndPr/>
      <w:sdtContent>
        <w:r w:rsidRPr="007E4468">
          <w:rPr>
            <w:bCs/>
            <w:szCs w:val="18"/>
          </w:rPr>
          <w:fldChar w:fldCharType="begin"/>
        </w:r>
        <w:r w:rsidRPr="007E4468">
          <w:rPr>
            <w:bCs/>
            <w:szCs w:val="18"/>
          </w:rPr>
          <w:instrText>PAGE</w:instrText>
        </w:r>
        <w:r w:rsidRPr="007E4468">
          <w:rPr>
            <w:bCs/>
            <w:szCs w:val="18"/>
          </w:rPr>
          <w:fldChar w:fldCharType="separate"/>
        </w:r>
        <w:r>
          <w:rPr>
            <w:bCs/>
            <w:szCs w:val="18"/>
          </w:rPr>
          <w:t>21</w:t>
        </w:r>
        <w:r w:rsidRPr="007E4468">
          <w:rPr>
            <w:bCs/>
            <w:szCs w:val="18"/>
          </w:rPr>
          <w:fldChar w:fldCharType="end"/>
        </w:r>
        <w:r w:rsidRPr="007E4468">
          <w:rPr>
            <w:szCs w:val="18"/>
          </w:rPr>
          <w:t xml:space="preserve"> / </w:t>
        </w:r>
        <w:r w:rsidRPr="007E4468">
          <w:rPr>
            <w:bCs/>
            <w:szCs w:val="18"/>
          </w:rPr>
          <w:fldChar w:fldCharType="begin"/>
        </w:r>
        <w:r w:rsidRPr="007E4468">
          <w:rPr>
            <w:bCs/>
            <w:szCs w:val="18"/>
          </w:rPr>
          <w:instrText>NUMPAGES</w:instrText>
        </w:r>
        <w:r w:rsidRPr="007E4468">
          <w:rPr>
            <w:bCs/>
            <w:szCs w:val="18"/>
          </w:rPr>
          <w:fldChar w:fldCharType="separate"/>
        </w:r>
        <w:r>
          <w:rPr>
            <w:bCs/>
            <w:szCs w:val="18"/>
          </w:rPr>
          <w:t>33</w:t>
        </w:r>
        <w:r w:rsidRPr="007E4468">
          <w:rPr>
            <w:bCs/>
            <w:szCs w:val="18"/>
          </w:rPr>
          <w:fldChar w:fldCharType="end"/>
        </w:r>
      </w:sdtContent>
    </w:sdt>
  </w:p>
  <w:p w14:paraId="1586F8B6" w14:textId="77777777" w:rsidR="003B4D94" w:rsidRDefault="003B4D9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12C7" w14:textId="77777777" w:rsidR="003B4D94" w:rsidRDefault="003B4D94">
    <w:pPr>
      <w:pStyle w:val="Zpat"/>
    </w:pPr>
    <w:r>
      <w:rPr>
        <w:noProof/>
      </w:rPr>
      <mc:AlternateContent>
        <mc:Choice Requires="wps">
          <w:drawing>
            <wp:anchor distT="0" distB="0" distL="0" distR="0" simplePos="0" relativeHeight="251658257" behindDoc="0" locked="0" layoutInCell="1" allowOverlap="1" wp14:anchorId="57F77CD9" wp14:editId="4C7D78C2">
              <wp:simplePos x="635" y="635"/>
              <wp:positionH relativeFrom="page">
                <wp:align>right</wp:align>
              </wp:positionH>
              <wp:positionV relativeFrom="page">
                <wp:align>bottom</wp:align>
              </wp:positionV>
              <wp:extent cx="1602740" cy="403225"/>
              <wp:effectExtent l="0" t="0" r="0" b="0"/>
              <wp:wrapNone/>
              <wp:docPr id="1712311498"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728027F"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F77CD9" id="_x0000_t202" coordsize="21600,21600" o:spt="202" path="m,l,21600r21600,l21600,xe">
              <v:stroke joinstyle="miter"/>
              <v:path gradientshapeok="t" o:connecttype="rect"/>
            </v:shapetype>
            <v:shape id="Textové pole 55" o:spid="_x0000_s1037" type="#_x0000_t202" alt="TLP:AMBER  " style="position:absolute;margin-left:75pt;margin-top:0;width:126.2pt;height:31.75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2728027F"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2DE" w14:textId="30D1BD15" w:rsidR="009623BB" w:rsidRDefault="003E457A">
    <w:pPr>
      <w:pStyle w:val="Zpat"/>
    </w:pPr>
    <w:r>
      <w:rPr>
        <w:noProof/>
      </w:rPr>
      <mc:AlternateContent>
        <mc:Choice Requires="wps">
          <w:drawing>
            <wp:anchor distT="0" distB="0" distL="0" distR="0" simplePos="0" relativeHeight="251658250" behindDoc="0" locked="0" layoutInCell="1" allowOverlap="1" wp14:anchorId="794F919D" wp14:editId="45CE329E">
              <wp:simplePos x="635" y="635"/>
              <wp:positionH relativeFrom="page">
                <wp:align>right</wp:align>
              </wp:positionH>
              <wp:positionV relativeFrom="page">
                <wp:align>bottom</wp:align>
              </wp:positionV>
              <wp:extent cx="1602740" cy="403225"/>
              <wp:effectExtent l="0" t="0" r="0" b="0"/>
              <wp:wrapNone/>
              <wp:docPr id="76019743" name="Textové pole 2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C644285" w14:textId="7D58980B"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F919D" id="_x0000_t202" coordsize="21600,21600" o:spt="202" path="m,l,21600r21600,l21600,xe">
              <v:stroke joinstyle="miter"/>
              <v:path gradientshapeok="t" o:connecttype="rect"/>
            </v:shapetype>
            <v:shape id="Textové pole 23" o:spid="_x0000_s1040" type="#_x0000_t202" alt="TLP:AMBER  " style="position:absolute;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j3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jIb599BfcK1HAyMe8vXLfbeMB+emUOKcVyU&#10;bXjCQyroKgpni5IG3I+/+WM+Io9RSjqUTEUNapoS9c0gI1Fdo+GSUcxneY7uXbpNP+fzeDMHfQ+o&#10;xik+DMuTiV4X1GhKB/oVVb2K3TDEDMeeFd2N5n0YBIyvgovVKiWhmiwLG7O1PJaOoEVEX/pX5uwZ&#10;9oCEPcIoKla+QX/IjX96uzoE5CBREwEe0DzjjkpM5J5fTZT6r/eUdX3by5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Yg&#10;WPcUAgAAIwQAAA4AAAAAAAAAAAAAAAAALgIAAGRycy9lMm9Eb2MueG1sUEsBAi0AFAAGAAgAAAAh&#10;AJDZvNPcAAAABAEAAA8AAAAAAAAAAAAAAAAAbgQAAGRycy9kb3ducmV2LnhtbFBLBQYAAAAABAAE&#10;APMAAAB3BQAAAAA=&#10;" filled="f" stroked="f">
              <v:textbox style="mso-fit-shape-to-text:t" inset="0,0,20pt,15pt">
                <w:txbxContent>
                  <w:p w14:paraId="0C644285" w14:textId="7D58980B"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EA4B" w14:textId="77777777" w:rsidR="003A1542" w:rsidRDefault="00A27206" w:rsidP="003A1542">
    <w:pPr>
      <w:pStyle w:val="Zpat"/>
      <w:spacing w:line="360" w:lineRule="auto"/>
      <w:jc w:val="center"/>
    </w:pPr>
    <w:sdt>
      <w:sdtPr>
        <w:id w:val="58220944"/>
        <w:docPartObj>
          <w:docPartGallery w:val="Page Numbers (Top of Page)"/>
          <w:docPartUnique/>
        </w:docPartObj>
      </w:sdtPr>
      <w:sdtEndPr/>
      <w:sdtContent>
        <w:r w:rsidR="003A1542" w:rsidRPr="007E4468">
          <w:rPr>
            <w:bCs/>
            <w:szCs w:val="18"/>
          </w:rPr>
          <w:fldChar w:fldCharType="begin"/>
        </w:r>
        <w:r w:rsidR="003A1542" w:rsidRPr="007E4468">
          <w:rPr>
            <w:bCs/>
            <w:szCs w:val="18"/>
          </w:rPr>
          <w:instrText>PAGE</w:instrText>
        </w:r>
        <w:r w:rsidR="003A1542" w:rsidRPr="007E4468">
          <w:rPr>
            <w:bCs/>
            <w:szCs w:val="18"/>
          </w:rPr>
          <w:fldChar w:fldCharType="separate"/>
        </w:r>
        <w:r w:rsidR="003A1542">
          <w:rPr>
            <w:bCs/>
            <w:szCs w:val="18"/>
          </w:rPr>
          <w:t>26</w:t>
        </w:r>
        <w:r w:rsidR="003A1542" w:rsidRPr="007E4468">
          <w:rPr>
            <w:bCs/>
            <w:szCs w:val="18"/>
          </w:rPr>
          <w:fldChar w:fldCharType="end"/>
        </w:r>
        <w:r w:rsidR="003A1542" w:rsidRPr="007E4468">
          <w:rPr>
            <w:szCs w:val="18"/>
          </w:rPr>
          <w:t xml:space="preserve"> / </w:t>
        </w:r>
        <w:r w:rsidR="003A1542" w:rsidRPr="007E4468">
          <w:rPr>
            <w:bCs/>
            <w:szCs w:val="18"/>
          </w:rPr>
          <w:fldChar w:fldCharType="begin"/>
        </w:r>
        <w:r w:rsidR="003A1542" w:rsidRPr="007E4468">
          <w:rPr>
            <w:bCs/>
            <w:szCs w:val="18"/>
          </w:rPr>
          <w:instrText>NUMPAGES</w:instrText>
        </w:r>
        <w:r w:rsidR="003A1542" w:rsidRPr="007E4468">
          <w:rPr>
            <w:bCs/>
            <w:szCs w:val="18"/>
          </w:rPr>
          <w:fldChar w:fldCharType="separate"/>
        </w:r>
        <w:r w:rsidR="003A1542">
          <w:rPr>
            <w:bCs/>
            <w:szCs w:val="18"/>
          </w:rPr>
          <w:t>36</w:t>
        </w:r>
        <w:r w:rsidR="003A1542" w:rsidRPr="007E4468">
          <w:rPr>
            <w:bCs/>
            <w:szCs w:val="18"/>
          </w:rPr>
          <w:fldChar w:fldCharType="end"/>
        </w:r>
      </w:sdtContent>
    </w:sdt>
  </w:p>
  <w:p w14:paraId="1AE88E80" w14:textId="39B8D3E7" w:rsidR="009623BB" w:rsidRDefault="003E457A">
    <w:pPr>
      <w:pStyle w:val="Zpat"/>
    </w:pPr>
    <w:r>
      <w:rPr>
        <w:noProof/>
      </w:rPr>
      <mc:AlternateContent>
        <mc:Choice Requires="wps">
          <w:drawing>
            <wp:anchor distT="0" distB="0" distL="0" distR="0" simplePos="0" relativeHeight="251658251" behindDoc="0" locked="0" layoutInCell="1" allowOverlap="1" wp14:anchorId="02A62534" wp14:editId="73C13B52">
              <wp:simplePos x="635" y="635"/>
              <wp:positionH relativeFrom="page">
                <wp:align>right</wp:align>
              </wp:positionH>
              <wp:positionV relativeFrom="page">
                <wp:align>bottom</wp:align>
              </wp:positionV>
              <wp:extent cx="1602740" cy="403225"/>
              <wp:effectExtent l="0" t="0" r="0" b="0"/>
              <wp:wrapNone/>
              <wp:docPr id="980538475" name="Textové pole 2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5D7FCB" w14:textId="38FC6DD5"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62534" id="_x0000_t202" coordsize="21600,21600" o:spt="202" path="m,l,21600r21600,l21600,xe">
              <v:stroke joinstyle="miter"/>
              <v:path gradientshapeok="t" o:connecttype="rect"/>
            </v:shapetype>
            <v:shape id="Textové pole 24" o:spid="_x0000_s1041" type="#_x0000_t202" alt="TLP:AMBER  " style="position:absolute;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575D7FCB" w14:textId="38FC6DD5"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81EC" w14:textId="77777777" w:rsidR="003A1542" w:rsidRDefault="00A27206" w:rsidP="003A1542">
    <w:pPr>
      <w:pStyle w:val="Zpat"/>
      <w:spacing w:line="360" w:lineRule="auto"/>
      <w:jc w:val="center"/>
    </w:pPr>
    <w:sdt>
      <w:sdtPr>
        <w:id w:val="322246893"/>
        <w:docPartObj>
          <w:docPartGallery w:val="Page Numbers (Top of Page)"/>
          <w:docPartUnique/>
        </w:docPartObj>
      </w:sdtPr>
      <w:sdtEndPr/>
      <w:sdtContent>
        <w:r w:rsidR="003A1542" w:rsidRPr="007E4468">
          <w:rPr>
            <w:bCs/>
            <w:szCs w:val="18"/>
          </w:rPr>
          <w:fldChar w:fldCharType="begin"/>
        </w:r>
        <w:r w:rsidR="003A1542" w:rsidRPr="007E4468">
          <w:rPr>
            <w:bCs/>
            <w:szCs w:val="18"/>
          </w:rPr>
          <w:instrText>PAGE</w:instrText>
        </w:r>
        <w:r w:rsidR="003A1542" w:rsidRPr="007E4468">
          <w:rPr>
            <w:bCs/>
            <w:szCs w:val="18"/>
          </w:rPr>
          <w:fldChar w:fldCharType="separate"/>
        </w:r>
        <w:r w:rsidR="003A1542">
          <w:rPr>
            <w:bCs/>
            <w:szCs w:val="18"/>
          </w:rPr>
          <w:t>26</w:t>
        </w:r>
        <w:r w:rsidR="003A1542" w:rsidRPr="007E4468">
          <w:rPr>
            <w:bCs/>
            <w:szCs w:val="18"/>
          </w:rPr>
          <w:fldChar w:fldCharType="end"/>
        </w:r>
        <w:r w:rsidR="003A1542" w:rsidRPr="007E4468">
          <w:rPr>
            <w:szCs w:val="18"/>
          </w:rPr>
          <w:t xml:space="preserve"> / </w:t>
        </w:r>
        <w:r w:rsidR="003A1542" w:rsidRPr="007E4468">
          <w:rPr>
            <w:bCs/>
            <w:szCs w:val="18"/>
          </w:rPr>
          <w:fldChar w:fldCharType="begin"/>
        </w:r>
        <w:r w:rsidR="003A1542" w:rsidRPr="007E4468">
          <w:rPr>
            <w:bCs/>
            <w:szCs w:val="18"/>
          </w:rPr>
          <w:instrText>NUMPAGES</w:instrText>
        </w:r>
        <w:r w:rsidR="003A1542" w:rsidRPr="007E4468">
          <w:rPr>
            <w:bCs/>
            <w:szCs w:val="18"/>
          </w:rPr>
          <w:fldChar w:fldCharType="separate"/>
        </w:r>
        <w:r w:rsidR="003A1542">
          <w:rPr>
            <w:bCs/>
            <w:szCs w:val="18"/>
          </w:rPr>
          <w:t>36</w:t>
        </w:r>
        <w:r w:rsidR="003A1542" w:rsidRPr="007E4468">
          <w:rPr>
            <w:bCs/>
            <w:szCs w:val="18"/>
          </w:rPr>
          <w:fldChar w:fldCharType="end"/>
        </w:r>
      </w:sdtContent>
    </w:sdt>
  </w:p>
  <w:p w14:paraId="0690EC69" w14:textId="68A32022" w:rsidR="009623BB" w:rsidRDefault="003E457A">
    <w:pPr>
      <w:pStyle w:val="Zpat"/>
    </w:pPr>
    <w:r>
      <w:rPr>
        <w:noProof/>
      </w:rPr>
      <mc:AlternateContent>
        <mc:Choice Requires="wps">
          <w:drawing>
            <wp:anchor distT="0" distB="0" distL="0" distR="0" simplePos="0" relativeHeight="251658249" behindDoc="0" locked="0" layoutInCell="1" allowOverlap="1" wp14:anchorId="5514AF90" wp14:editId="3829C1C6">
              <wp:simplePos x="635" y="635"/>
              <wp:positionH relativeFrom="page">
                <wp:align>right</wp:align>
              </wp:positionH>
              <wp:positionV relativeFrom="page">
                <wp:align>bottom</wp:align>
              </wp:positionV>
              <wp:extent cx="1602740" cy="403225"/>
              <wp:effectExtent l="0" t="0" r="0" b="0"/>
              <wp:wrapNone/>
              <wp:docPr id="1612380670" name="Textové pole 2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64AA77D" w14:textId="69082E0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14AF90" id="_x0000_t202" coordsize="21600,21600" o:spt="202" path="m,l,21600r21600,l21600,xe">
              <v:stroke joinstyle="miter"/>
              <v:path gradientshapeok="t" o:connecttype="rect"/>
            </v:shapetype>
            <v:shape id="Textové pole 22" o:spid="_x0000_s1043" type="#_x0000_t202" alt="TLP:AMBER  " style="position:absolute;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u1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e2&#10;q7UUAgAAIwQAAA4AAAAAAAAAAAAAAAAALgIAAGRycy9lMm9Eb2MueG1sUEsBAi0AFAAGAAgAAAAh&#10;AJDZvNPcAAAABAEAAA8AAAAAAAAAAAAAAAAAbgQAAGRycy9kb3ducmV2LnhtbFBLBQYAAAAABAAE&#10;APMAAAB3BQAAAAA=&#10;" filled="f" stroked="f">
              <v:textbox style="mso-fit-shape-to-text:t" inset="0,0,20pt,15pt">
                <w:txbxContent>
                  <w:p w14:paraId="364AA77D" w14:textId="69082E0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96ED" w14:textId="77777777" w:rsidR="00A27206" w:rsidRDefault="00A27206" w:rsidP="002F4B17">
      <w:pPr>
        <w:spacing w:after="0" w:line="240" w:lineRule="auto"/>
      </w:pPr>
      <w:r>
        <w:separator/>
      </w:r>
    </w:p>
  </w:footnote>
  <w:footnote w:type="continuationSeparator" w:id="0">
    <w:p w14:paraId="40FBE6DD" w14:textId="77777777" w:rsidR="00A27206" w:rsidRDefault="00A27206" w:rsidP="002F4B17">
      <w:pPr>
        <w:spacing w:after="0" w:line="240" w:lineRule="auto"/>
      </w:pPr>
      <w:r>
        <w:continuationSeparator/>
      </w:r>
    </w:p>
  </w:footnote>
  <w:footnote w:type="continuationNotice" w:id="1">
    <w:p w14:paraId="62FFAFC4" w14:textId="77777777" w:rsidR="00A27206" w:rsidRDefault="00A27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0F3BBEFD" w:rsidR="006F134B" w:rsidRDefault="003E457A">
    <w:pPr>
      <w:pStyle w:val="Zhlav"/>
    </w:pPr>
    <w:r>
      <w:rPr>
        <w:noProof/>
      </w:rPr>
      <mc:AlternateContent>
        <mc:Choice Requires="wps">
          <w:drawing>
            <wp:anchor distT="0" distB="0" distL="0" distR="0" simplePos="0" relativeHeight="251658241" behindDoc="0" locked="0" layoutInCell="1" allowOverlap="1" wp14:anchorId="021A9CF2" wp14:editId="655C4F58">
              <wp:simplePos x="635" y="635"/>
              <wp:positionH relativeFrom="page">
                <wp:align>right</wp:align>
              </wp:positionH>
              <wp:positionV relativeFrom="page">
                <wp:align>top</wp:align>
              </wp:positionV>
              <wp:extent cx="1602740" cy="403225"/>
              <wp:effectExtent l="0" t="0" r="0" b="15875"/>
              <wp:wrapNone/>
              <wp:docPr id="954690150" name="Textové pole 1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945A02" w14:textId="634DEA19"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1A9CF2" id="_x0000_t202" coordsize="21600,21600" o:spt="202" path="m,l,21600r21600,l21600,xe">
              <v:stroke joinstyle="miter"/>
              <v:path gradientshapeok="t" o:connecttype="rect"/>
            </v:shapetype>
            <v:shape id="Textové pole 14" o:spid="_x0000_s1026"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1945A02" w14:textId="634DEA19"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00BDE09B" w:rsidR="00303ABF" w:rsidRDefault="003E457A" w:rsidP="002A590A">
    <w:r>
      <w:rPr>
        <w:noProof/>
        <w:lang w:eastAsia="cs-CZ"/>
      </w:rPr>
      <mc:AlternateContent>
        <mc:Choice Requires="wps">
          <w:drawing>
            <wp:anchor distT="0" distB="0" distL="0" distR="0" simplePos="0" relativeHeight="251658242" behindDoc="0" locked="0" layoutInCell="1" allowOverlap="1" wp14:anchorId="0F5E3B6E" wp14:editId="79E18B66">
              <wp:simplePos x="720725" y="288925"/>
              <wp:positionH relativeFrom="page">
                <wp:align>right</wp:align>
              </wp:positionH>
              <wp:positionV relativeFrom="page">
                <wp:align>top</wp:align>
              </wp:positionV>
              <wp:extent cx="1602740" cy="403225"/>
              <wp:effectExtent l="0" t="0" r="0" b="15875"/>
              <wp:wrapNone/>
              <wp:docPr id="843857177" name="Textové pole 1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E0B8FA" w14:textId="322542F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5E3B6E" id="_x0000_t202" coordsize="21600,21600" o:spt="202" path="m,l,21600r21600,l21600,xe">
              <v:stroke joinstyle="miter"/>
              <v:path gradientshapeok="t" o:connecttype="rect"/>
            </v:shapetype>
            <v:shape id="Textové pole 15" o:spid="_x0000_s1027"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72E0B8FA" w14:textId="322542F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331125" w:rsidRPr="00836A84">
      <w:rPr>
        <w:noProof/>
        <w:lang w:eastAsia="cs-CZ"/>
      </w:rPr>
      <w:drawing>
        <wp:inline distT="0" distB="0" distL="0" distR="0" wp14:anchorId="39E70367" wp14:editId="6E7A61E7">
          <wp:extent cx="1304290" cy="548640"/>
          <wp:effectExtent l="0" t="0" r="0" b="3810"/>
          <wp:docPr id="2053116077" name="Obrázek 205311607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3975BFB4" w:rsidR="00303ABF" w:rsidRDefault="003E457A" w:rsidP="00822813">
    <w:pPr>
      <w:pStyle w:val="Zhlav"/>
    </w:pPr>
    <w:r>
      <w:rPr>
        <w:noProof/>
        <w:szCs w:val="18"/>
        <w:lang w:eastAsia="cs-CZ"/>
      </w:rPr>
      <mc:AlternateContent>
        <mc:Choice Requires="wps">
          <w:drawing>
            <wp:anchor distT="0" distB="0" distL="0" distR="0" simplePos="0" relativeHeight="251658240" behindDoc="0" locked="0" layoutInCell="1" allowOverlap="1" wp14:anchorId="7548376E" wp14:editId="31A5A01A">
              <wp:simplePos x="720000" y="288000"/>
              <wp:positionH relativeFrom="page">
                <wp:align>right</wp:align>
              </wp:positionH>
              <wp:positionV relativeFrom="page">
                <wp:align>top</wp:align>
              </wp:positionV>
              <wp:extent cx="1602740" cy="403225"/>
              <wp:effectExtent l="0" t="0" r="0" b="15875"/>
              <wp:wrapNone/>
              <wp:docPr id="1735657557" name="Textové pole 1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06EC6D2" w14:textId="74CE425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48376E" id="_x0000_t202" coordsize="21600,21600" o:spt="202" path="m,l,21600r21600,l21600,xe">
              <v:stroke joinstyle="miter"/>
              <v:path gradientshapeok="t" o:connecttype="rect"/>
            </v:shapetype>
            <v:shape id="Textové pole 13" o:spid="_x0000_s1030" type="#_x0000_t202" alt="TLP:AMBE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406EC6D2" w14:textId="74CE425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1306818887"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22487F" w14:textId="77777777" w:rsidR="004C4C14" w:rsidRPr="00E51A3F" w:rsidRDefault="004C4C14" w:rsidP="0082281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1760" w14:textId="77777777" w:rsidR="003B4D94" w:rsidRDefault="003B4D94">
    <w:pPr>
      <w:pStyle w:val="Zhlav"/>
    </w:pPr>
    <w:r>
      <w:rPr>
        <w:noProof/>
      </w:rPr>
      <mc:AlternateContent>
        <mc:Choice Requires="wps">
          <w:drawing>
            <wp:anchor distT="0" distB="0" distL="0" distR="0" simplePos="0" relativeHeight="251658256" behindDoc="0" locked="0" layoutInCell="1" allowOverlap="1" wp14:anchorId="0460EB85" wp14:editId="15380A17">
              <wp:simplePos x="635" y="635"/>
              <wp:positionH relativeFrom="page">
                <wp:align>right</wp:align>
              </wp:positionH>
              <wp:positionV relativeFrom="page">
                <wp:align>top</wp:align>
              </wp:positionV>
              <wp:extent cx="1602740" cy="403225"/>
              <wp:effectExtent l="0" t="0" r="0" b="15875"/>
              <wp:wrapNone/>
              <wp:docPr id="885835829"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297A581"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60EB85" id="_x0000_t202" coordsize="21600,21600" o:spt="202" path="m,l,21600r21600,l21600,xe">
              <v:stroke joinstyle="miter"/>
              <v:path gradientshapeok="t" o:connecttype="rect"/>
            </v:shapetype>
            <v:shape id="Textové pole 41" o:spid="_x0000_s1032" type="#_x0000_t202" alt="TLP:AMBER  " style="position:absolute;margin-left:75pt;margin-top:0;width:126.2pt;height:31.75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4297A581"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3BE3" w14:textId="77777777" w:rsidR="003B4D94" w:rsidRDefault="003B4D94" w:rsidP="002A590A">
    <w:r>
      <w:rPr>
        <w:noProof/>
        <w:szCs w:val="18"/>
        <w:lang w:eastAsia="cs-CZ"/>
      </w:rPr>
      <mc:AlternateContent>
        <mc:Choice Requires="wps">
          <w:drawing>
            <wp:anchor distT="0" distB="0" distL="0" distR="0" simplePos="0" relativeHeight="251658252" behindDoc="0" locked="0" layoutInCell="1" allowOverlap="1" wp14:anchorId="2BC272F0" wp14:editId="5DC038DA">
              <wp:simplePos x="635" y="635"/>
              <wp:positionH relativeFrom="page">
                <wp:align>right</wp:align>
              </wp:positionH>
              <wp:positionV relativeFrom="page">
                <wp:align>top</wp:align>
              </wp:positionV>
              <wp:extent cx="1602740" cy="403225"/>
              <wp:effectExtent l="0" t="0" r="0" b="15875"/>
              <wp:wrapNone/>
              <wp:docPr id="26449566"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E7C461"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C272F0" id="_x0000_t202" coordsize="21600,21600" o:spt="202" path="m,l,21600r21600,l21600,xe">
              <v:stroke joinstyle="miter"/>
              <v:path gradientshapeok="t" o:connecttype="rect"/>
            </v:shapetype>
            <v:shape id="Textové pole 42" o:spid="_x0000_s1033" type="#_x0000_t202" alt="TLP:AMBER  " style="position:absolute;margin-left:75pt;margin-top:0;width:126.2pt;height:31.75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21E7C461"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v:textbox>
              <w10:wrap anchorx="page" anchory="page"/>
            </v:shape>
          </w:pict>
        </mc:Fallback>
      </mc:AlternateContent>
    </w:r>
    <w:r>
      <w:rPr>
        <w:noProof/>
        <w:szCs w:val="18"/>
        <w:lang w:eastAsia="cs-CZ"/>
      </w:rPr>
      <w:drawing>
        <wp:inline distT="0" distB="0" distL="0" distR="0" wp14:anchorId="3251F0F7" wp14:editId="0C96118B">
          <wp:extent cx="1304925" cy="542925"/>
          <wp:effectExtent l="0" t="0" r="9525" b="9525"/>
          <wp:docPr id="176317939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AA0A" w14:textId="77777777" w:rsidR="003B4D94" w:rsidRDefault="003B4D94">
    <w:pPr>
      <w:pStyle w:val="Zhlav"/>
    </w:pPr>
    <w:r>
      <w:rPr>
        <w:noProof/>
      </w:rPr>
      <mc:AlternateContent>
        <mc:Choice Requires="wps">
          <w:drawing>
            <wp:anchor distT="0" distB="0" distL="0" distR="0" simplePos="0" relativeHeight="251658254" behindDoc="0" locked="0" layoutInCell="1" allowOverlap="1" wp14:anchorId="7316495A" wp14:editId="3908F190">
              <wp:simplePos x="635" y="635"/>
              <wp:positionH relativeFrom="page">
                <wp:align>right</wp:align>
              </wp:positionH>
              <wp:positionV relativeFrom="page">
                <wp:align>top</wp:align>
              </wp:positionV>
              <wp:extent cx="1602740" cy="403225"/>
              <wp:effectExtent l="0" t="0" r="0" b="15875"/>
              <wp:wrapNone/>
              <wp:docPr id="542612152"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D76B6C"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16495A" id="_x0000_t202" coordsize="21600,21600" o:spt="202" path="m,l,21600r21600,l21600,xe">
              <v:stroke joinstyle="miter"/>
              <v:path gradientshapeok="t" o:connecttype="rect"/>
            </v:shapetype>
            <v:shape id="Textové pole 40" o:spid="_x0000_s1036" type="#_x0000_t202" alt="TLP:AMBER  " style="position:absolute;margin-left:75pt;margin-top:0;width:126.2pt;height:31.75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52D76B6C" w14:textId="77777777" w:rsidR="003B4D94" w:rsidRPr="00A83F1D" w:rsidRDefault="003B4D94" w:rsidP="00A83F1D">
                    <w:pPr>
                      <w:spacing w:after="0"/>
                      <w:rPr>
                        <w:rFonts w:eastAsia="Verdana" w:cs="Verdana"/>
                        <w:noProof/>
                        <w:color w:val="FFC000"/>
                        <w:sz w:val="24"/>
                        <w:szCs w:val="24"/>
                      </w:rPr>
                    </w:pPr>
                    <w:r w:rsidRPr="00A83F1D">
                      <w:rPr>
                        <w:rFonts w:eastAsia="Verdana" w:cs="Verdana"/>
                        <w:noProof/>
                        <w:color w:val="FFC000"/>
                        <w:sz w:val="24"/>
                        <w:szCs w:val="24"/>
                      </w:rPr>
                      <w:t>TLP:AMBER</w:t>
                    </w:r>
                    <w:r w:rsidRPr="00A83F1D">
                      <w:rPr>
                        <w:rFonts w:eastAsia="Verdana" w:cs="Verdana"/>
                        <w:noProof/>
                        <w:color w:val="FFC000"/>
                        <w:sz w:val="24"/>
                        <w:szCs w:val="24"/>
                      </w:rPr>
                      <w:tab/>
                    </w:r>
                    <w:r w:rsidRPr="00A83F1D">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533" w14:textId="31E2D9D1" w:rsidR="009623BB" w:rsidRDefault="003E457A">
    <w:pPr>
      <w:pStyle w:val="Zhlav"/>
    </w:pPr>
    <w:r>
      <w:rPr>
        <w:noProof/>
      </w:rPr>
      <mc:AlternateContent>
        <mc:Choice Requires="wps">
          <w:drawing>
            <wp:anchor distT="0" distB="0" distL="0" distR="0" simplePos="0" relativeHeight="251658244" behindDoc="0" locked="0" layoutInCell="1" allowOverlap="1" wp14:anchorId="66CAE590" wp14:editId="16D966B7">
              <wp:simplePos x="635" y="635"/>
              <wp:positionH relativeFrom="page">
                <wp:align>right</wp:align>
              </wp:positionH>
              <wp:positionV relativeFrom="page">
                <wp:align>top</wp:align>
              </wp:positionV>
              <wp:extent cx="1602740" cy="403225"/>
              <wp:effectExtent l="0" t="0" r="0" b="15875"/>
              <wp:wrapNone/>
              <wp:docPr id="869608884" name="Textové pole 1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2CB473" w14:textId="1513A5D4"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CAE590" id="_x0000_t202" coordsize="21600,21600" o:spt="202" path="m,l,21600r21600,l21600,xe">
              <v:stroke joinstyle="miter"/>
              <v:path gradientshapeok="t" o:connecttype="rect"/>
            </v:shapetype>
            <v:shape id="Textové pole 17" o:spid="_x0000_s1038"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W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JinH8H9QnXcjAw7i1ft9h7w3x4Zg4pxnFR&#10;tuEJD6mgqyicLUoacD/+dh/zEXmMUtKhZCpqUNOUqG8GGYnqSsb0cz7P0XPJK+azPHq7Mckc9D2g&#10;Gqf4MCxPZkwOajSlA/2Kql7FbhhihmPPiobRvA+DgPFVcLFapSRUk2VhY7aWx9IRtIjoS//KnD3D&#10;HpCwRxhFxco36A+58U9vV4eAHCRqIsADmmfcUYmJ3POriVL/1U9Z17e9/Ak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B9uWEwIAACMEAAAOAAAAAAAAAAAAAAAAAC4CAABkcnMvZTJvRG9jLnhtbFBLAQItABQABgAIAAAA&#10;IQDh/hwQ3gAAAAQBAAAPAAAAAAAAAAAAAAAAAG0EAABkcnMvZG93bnJldi54bWxQSwUGAAAAAAQA&#10;BADzAAAAeAUAAAAA&#10;" filled="f" stroked="f">
              <v:textbox style="mso-fit-shape-to-text:t" inset="0,15pt,20pt,0">
                <w:txbxContent>
                  <w:p w14:paraId="732CB473" w14:textId="1513A5D4"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0E8" w14:textId="5FE20CF5" w:rsidR="009623BB" w:rsidRDefault="003E457A">
    <w:pPr>
      <w:pStyle w:val="Zhlav"/>
    </w:pPr>
    <w:r>
      <w:rPr>
        <w:noProof/>
      </w:rPr>
      <mc:AlternateContent>
        <mc:Choice Requires="wps">
          <w:drawing>
            <wp:anchor distT="0" distB="0" distL="0" distR="0" simplePos="0" relativeHeight="251658245" behindDoc="0" locked="0" layoutInCell="1" allowOverlap="1" wp14:anchorId="640EAD1D" wp14:editId="20BE493C">
              <wp:simplePos x="635" y="635"/>
              <wp:positionH relativeFrom="page">
                <wp:align>right</wp:align>
              </wp:positionH>
              <wp:positionV relativeFrom="page">
                <wp:align>top</wp:align>
              </wp:positionV>
              <wp:extent cx="1602740" cy="403225"/>
              <wp:effectExtent l="0" t="0" r="0" b="15875"/>
              <wp:wrapNone/>
              <wp:docPr id="322332311" name="Textové pole 1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76F6340" w14:textId="073F797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0EAD1D" id="_x0000_t202" coordsize="21600,21600" o:spt="202" path="m,l,21600r21600,l21600,xe">
              <v:stroke joinstyle="miter"/>
              <v:path gradientshapeok="t" o:connecttype="rect"/>
            </v:shapetype>
            <v:shape id="Textové pole 18" o:spid="_x0000_s1039"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776F6340" w14:textId="073F797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8116F2">
      <w:rPr>
        <w:noProof/>
      </w:rPr>
      <w:drawing>
        <wp:inline distT="0" distB="0" distL="0" distR="0" wp14:anchorId="1E45148C" wp14:editId="32E6EB6A">
          <wp:extent cx="1304925" cy="548640"/>
          <wp:effectExtent l="0" t="0" r="9525" b="3810"/>
          <wp:docPr id="41199105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8640"/>
                  </a:xfrm>
                  <a:prstGeom prst="rect">
                    <a:avLst/>
                  </a:prstGeom>
                  <a:noFill/>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0F9DF81C" w:rsidR="00EA7577" w:rsidRDefault="003E457A" w:rsidP="00E51A3F">
    <w:pPr>
      <w:pStyle w:val="Zhlav"/>
    </w:pPr>
    <w:r>
      <w:rPr>
        <w:noProof/>
        <w:lang w:eastAsia="cs-CZ"/>
      </w:rPr>
      <mc:AlternateContent>
        <mc:Choice Requires="wps">
          <w:drawing>
            <wp:anchor distT="0" distB="0" distL="0" distR="0" simplePos="0" relativeHeight="251658243" behindDoc="0" locked="0" layoutInCell="1" allowOverlap="1" wp14:anchorId="3A4400DF" wp14:editId="084799D9">
              <wp:simplePos x="635" y="635"/>
              <wp:positionH relativeFrom="page">
                <wp:align>right</wp:align>
              </wp:positionH>
              <wp:positionV relativeFrom="page">
                <wp:align>top</wp:align>
              </wp:positionV>
              <wp:extent cx="1602740" cy="403225"/>
              <wp:effectExtent l="0" t="0" r="0" b="15875"/>
              <wp:wrapNone/>
              <wp:docPr id="939854335" name="Textové pole 1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280B82" w14:textId="7D4E588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400DF" id="_x0000_t202" coordsize="21600,21600" o:spt="202" path="m,l,21600r21600,l21600,xe">
              <v:stroke joinstyle="miter"/>
              <v:path gradientshapeok="t" o:connecttype="rect"/>
            </v:shapetype>
            <v:shape id="Textové pole 16" o:spid="_x0000_s1042"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7Z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4yTj/DuoT7iWg4Fxb/m6xd4b5sMzc0gxjouy&#10;DU94SAVdReFsUdKA+/G3+5iPyGOUkg4lU1GDmqZEfTPISFRXMqaf83mOnkteMZ/l0duNSeag7wHV&#10;OMWHYXkyY3JQoykd6FdU9Sp2wxAzHHtWNIzmfRgEjK+Ci9UqJaGaLAsbs7U8lo6gRURf+lfm7Bn2&#10;gIQ9wigqVr5Bf8iNf3q7OgTkIFETAR7QPOOOSkzknl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C&#10;Mk7ZEwIAACMEAAAOAAAAAAAAAAAAAAAAAC4CAABkcnMvZTJvRG9jLnhtbFBLAQItABQABgAIAAAA&#10;IQDh/hwQ3gAAAAQBAAAPAAAAAAAAAAAAAAAAAG0EAABkcnMvZG93bnJldi54bWxQSwUGAAAAAAQA&#10;BADzAAAAeAUAAAAA&#10;" filled="f" stroked="f">
              <v:textbox style="mso-fit-shape-to-text:t" inset="0,15pt,20pt,0">
                <w:txbxContent>
                  <w:p w14:paraId="4A280B82" w14:textId="7D4E588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98100F" w:rsidRPr="00836A84">
      <w:rPr>
        <w:noProof/>
        <w:lang w:eastAsia="cs-CZ"/>
      </w:rPr>
      <w:drawing>
        <wp:inline distT="0" distB="0" distL="0" distR="0" wp14:anchorId="57B087D1" wp14:editId="2A5751BE">
          <wp:extent cx="1304290" cy="548640"/>
          <wp:effectExtent l="0" t="0" r="0" b="3810"/>
          <wp:docPr id="1373883358" name="Obrázek 137388335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2ED604B1" w14:textId="55D3282E" w:rsidR="004C4C14" w:rsidRPr="00E51A3F" w:rsidRDefault="004C4C14"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 w15:restartNumberingAfterBreak="0">
    <w:nsid w:val="289D516A"/>
    <w:multiLevelType w:val="multilevel"/>
    <w:tmpl w:val="72D6E86A"/>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476D6CCD"/>
    <w:multiLevelType w:val="hybridMultilevel"/>
    <w:tmpl w:val="184EE6EE"/>
    <w:lvl w:ilvl="0" w:tplc="5824EB28">
      <w:start w:val="3"/>
      <w:numFmt w:val="bullet"/>
      <w:lvlText w:val="-"/>
      <w:lvlJc w:val="left"/>
      <w:pPr>
        <w:ind w:left="720" w:hanging="360"/>
      </w:pPr>
      <w:rPr>
        <w:rFonts w:ascii="Verdana" w:eastAsiaTheme="majorEastAsia" w:hAnsi="Verdana" w:cstheme="maj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EE3104"/>
    <w:multiLevelType w:val="hybridMultilevel"/>
    <w:tmpl w:val="4F1C7306"/>
    <w:lvl w:ilvl="0" w:tplc="D33AF4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084815"/>
    <w:multiLevelType w:val="multilevel"/>
    <w:tmpl w:val="1ABA9F7A"/>
    <w:lvl w:ilvl="0">
      <w:start w:val="1"/>
      <w:numFmt w:val="upperRoman"/>
      <w:lvlText w:val="%1."/>
      <w:lvlJc w:val="right"/>
      <w:pPr>
        <w:ind w:left="2740" w:hanging="360"/>
      </w:pPr>
      <w:rPr>
        <w:rFonts w:hint="default"/>
      </w:rPr>
    </w:lvl>
    <w:lvl w:ilvl="1">
      <w:start w:val="1"/>
      <w:numFmt w:val="decimal"/>
      <w:lvlText w:val="%1.%2"/>
      <w:lvlJc w:val="left"/>
      <w:pPr>
        <w:ind w:left="-4132" w:hanging="576"/>
      </w:pPr>
      <w:rPr>
        <w:rFonts w:hint="default"/>
      </w:rPr>
    </w:lvl>
    <w:lvl w:ilvl="2">
      <w:start w:val="1"/>
      <w:numFmt w:val="decimal"/>
      <w:lvlText w:val="%1.%2.%3"/>
      <w:lvlJc w:val="left"/>
      <w:pPr>
        <w:ind w:left="-3988" w:hanging="720"/>
      </w:pPr>
      <w:rPr>
        <w:rFonts w:hint="default"/>
      </w:rPr>
    </w:lvl>
    <w:lvl w:ilvl="3">
      <w:start w:val="1"/>
      <w:numFmt w:val="decimal"/>
      <w:pStyle w:val="Nadpis4"/>
      <w:isLgl/>
      <w:lvlText w:val="%10.13.4.%3"/>
      <w:lvlJc w:val="left"/>
      <w:pPr>
        <w:ind w:left="0" w:hanging="4708"/>
      </w:pPr>
      <w:rPr>
        <w:rFonts w:hint="default"/>
      </w:rPr>
    </w:lvl>
    <w:lvl w:ilvl="4">
      <w:start w:val="1"/>
      <w:numFmt w:val="decimal"/>
      <w:pStyle w:val="Nadpis5"/>
      <w:lvlText w:val="%1.%2.%3.%4.%5"/>
      <w:lvlJc w:val="left"/>
      <w:pPr>
        <w:ind w:left="-3700" w:hanging="1008"/>
      </w:pPr>
      <w:rPr>
        <w:rFonts w:hint="default"/>
      </w:rPr>
    </w:lvl>
    <w:lvl w:ilvl="5">
      <w:start w:val="1"/>
      <w:numFmt w:val="decimal"/>
      <w:pStyle w:val="Nadpis6"/>
      <w:lvlText w:val="%1.%2.%3.%4.%5.%6"/>
      <w:lvlJc w:val="left"/>
      <w:pPr>
        <w:ind w:left="-3556" w:hanging="1152"/>
      </w:pPr>
      <w:rPr>
        <w:rFonts w:hint="default"/>
      </w:rPr>
    </w:lvl>
    <w:lvl w:ilvl="6">
      <w:start w:val="1"/>
      <w:numFmt w:val="decimal"/>
      <w:pStyle w:val="Nadpis7"/>
      <w:lvlText w:val="%1.%2.%3.%4.%5.%6.%7"/>
      <w:lvlJc w:val="left"/>
      <w:pPr>
        <w:ind w:left="-3412" w:hanging="1296"/>
      </w:pPr>
      <w:rPr>
        <w:rFonts w:hint="default"/>
      </w:rPr>
    </w:lvl>
    <w:lvl w:ilvl="7">
      <w:start w:val="1"/>
      <w:numFmt w:val="decimal"/>
      <w:pStyle w:val="Nadpis8"/>
      <w:lvlText w:val="%1.%2.%3.%4.%5.%6.%7.%8"/>
      <w:lvlJc w:val="left"/>
      <w:pPr>
        <w:ind w:left="-3268" w:hanging="1440"/>
      </w:pPr>
      <w:rPr>
        <w:rFonts w:hint="default"/>
      </w:rPr>
    </w:lvl>
    <w:lvl w:ilvl="8">
      <w:start w:val="1"/>
      <w:numFmt w:val="decimal"/>
      <w:pStyle w:val="Nadpis9"/>
      <w:lvlText w:val="%1.%2.%3.%4.%5.%6.%7.%8.%9"/>
      <w:lvlJc w:val="left"/>
      <w:pPr>
        <w:ind w:left="-3124" w:hanging="1584"/>
      </w:pPr>
      <w:rPr>
        <w:rFonts w:hint="default"/>
      </w:rPr>
    </w:lvl>
  </w:abstractNum>
  <w:abstractNum w:abstractNumId="5" w15:restartNumberingAfterBreak="0">
    <w:nsid w:val="67B900CB"/>
    <w:multiLevelType w:val="hybridMultilevel"/>
    <w:tmpl w:val="27E4A79A"/>
    <w:lvl w:ilvl="0" w:tplc="345041C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3C0F8E"/>
    <w:multiLevelType w:val="hybridMultilevel"/>
    <w:tmpl w:val="715C5DBC"/>
    <w:lvl w:ilvl="0" w:tplc="D33AF4E0">
      <w:start w:val="1"/>
      <w:numFmt w:val="bullet"/>
      <w:lvlText w:val=""/>
      <w:lvlJc w:val="left"/>
      <w:pPr>
        <w:ind w:left="720" w:hanging="360"/>
      </w:pPr>
      <w:rPr>
        <w:rFonts w:ascii="Symbol" w:hAnsi="Symbol" w:hint="default"/>
      </w:rPr>
    </w:lvl>
    <w:lvl w:ilvl="1" w:tplc="72EA1D1A">
      <w:numFmt w:val="bullet"/>
      <w:lvlText w:val="•"/>
      <w:lvlJc w:val="left"/>
      <w:pPr>
        <w:ind w:left="1788" w:hanging="708"/>
      </w:pPr>
      <w:rPr>
        <w:rFonts w:ascii="Verdana" w:eastAsiaTheme="minorHAnsi" w:hAnsi="Verdan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7999992">
    <w:abstractNumId w:val="1"/>
  </w:num>
  <w:num w:numId="2" w16cid:durableId="1398625341">
    <w:abstractNumId w:val="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 w16cid:durableId="649866733">
    <w:abstractNumId w:val="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227691050">
    <w:abstractNumId w:val="0"/>
  </w:num>
  <w:num w:numId="5" w16cid:durableId="669256256">
    <w:abstractNumId w:val="1"/>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 w16cid:durableId="1318916082">
    <w:abstractNumId w:val="6"/>
  </w:num>
  <w:num w:numId="7" w16cid:durableId="617296940">
    <w:abstractNumId w:val="3"/>
  </w:num>
  <w:num w:numId="8" w16cid:durableId="577444498">
    <w:abstractNumId w:val="5"/>
  </w:num>
  <w:num w:numId="9" w16cid:durableId="837235168">
    <w:abstractNumId w:val="2"/>
  </w:num>
  <w:num w:numId="10" w16cid:durableId="214051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6884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1AD2"/>
    <w:rsid w:val="00001E99"/>
    <w:rsid w:val="0000474F"/>
    <w:rsid w:val="0000545C"/>
    <w:rsid w:val="0000558C"/>
    <w:rsid w:val="0000596B"/>
    <w:rsid w:val="00005ADB"/>
    <w:rsid w:val="000070BC"/>
    <w:rsid w:val="00007B1C"/>
    <w:rsid w:val="00010447"/>
    <w:rsid w:val="0001072A"/>
    <w:rsid w:val="00011B09"/>
    <w:rsid w:val="00012AD4"/>
    <w:rsid w:val="00012C27"/>
    <w:rsid w:val="00013BC4"/>
    <w:rsid w:val="00014215"/>
    <w:rsid w:val="000143AF"/>
    <w:rsid w:val="0001457F"/>
    <w:rsid w:val="0001461B"/>
    <w:rsid w:val="00015B16"/>
    <w:rsid w:val="00015D35"/>
    <w:rsid w:val="00017070"/>
    <w:rsid w:val="000176D6"/>
    <w:rsid w:val="000206C8"/>
    <w:rsid w:val="00020BAF"/>
    <w:rsid w:val="0002103D"/>
    <w:rsid w:val="000223EB"/>
    <w:rsid w:val="000227CF"/>
    <w:rsid w:val="00023FB3"/>
    <w:rsid w:val="00024F4A"/>
    <w:rsid w:val="00025570"/>
    <w:rsid w:val="000307E7"/>
    <w:rsid w:val="00030A14"/>
    <w:rsid w:val="00030BF0"/>
    <w:rsid w:val="0003112D"/>
    <w:rsid w:val="00031BC3"/>
    <w:rsid w:val="0003324D"/>
    <w:rsid w:val="000339A1"/>
    <w:rsid w:val="00033F1A"/>
    <w:rsid w:val="000346BD"/>
    <w:rsid w:val="00035614"/>
    <w:rsid w:val="000369D0"/>
    <w:rsid w:val="00037A99"/>
    <w:rsid w:val="00037CE4"/>
    <w:rsid w:val="000401F4"/>
    <w:rsid w:val="0004075F"/>
    <w:rsid w:val="00040D52"/>
    <w:rsid w:val="0004114D"/>
    <w:rsid w:val="000411D9"/>
    <w:rsid w:val="00041999"/>
    <w:rsid w:val="00043740"/>
    <w:rsid w:val="00044059"/>
    <w:rsid w:val="000446E8"/>
    <w:rsid w:val="00045146"/>
    <w:rsid w:val="000457B3"/>
    <w:rsid w:val="00047C78"/>
    <w:rsid w:val="00047FD4"/>
    <w:rsid w:val="0005142F"/>
    <w:rsid w:val="000518A5"/>
    <w:rsid w:val="000521EB"/>
    <w:rsid w:val="000526D0"/>
    <w:rsid w:val="00053368"/>
    <w:rsid w:val="000538AA"/>
    <w:rsid w:val="0005579B"/>
    <w:rsid w:val="0005618F"/>
    <w:rsid w:val="00057111"/>
    <w:rsid w:val="000574B2"/>
    <w:rsid w:val="000577ED"/>
    <w:rsid w:val="00057A90"/>
    <w:rsid w:val="000603F1"/>
    <w:rsid w:val="00061510"/>
    <w:rsid w:val="00063117"/>
    <w:rsid w:val="0006335A"/>
    <w:rsid w:val="0006455D"/>
    <w:rsid w:val="00066A26"/>
    <w:rsid w:val="00066E69"/>
    <w:rsid w:val="0006725A"/>
    <w:rsid w:val="0006741E"/>
    <w:rsid w:val="000701C6"/>
    <w:rsid w:val="00070D29"/>
    <w:rsid w:val="000714BD"/>
    <w:rsid w:val="00071E4A"/>
    <w:rsid w:val="00072A3E"/>
    <w:rsid w:val="00072D85"/>
    <w:rsid w:val="0007365F"/>
    <w:rsid w:val="00074842"/>
    <w:rsid w:val="00074ADF"/>
    <w:rsid w:val="00074C7F"/>
    <w:rsid w:val="00074FC0"/>
    <w:rsid w:val="00075D3E"/>
    <w:rsid w:val="000772E8"/>
    <w:rsid w:val="00083611"/>
    <w:rsid w:val="00083C68"/>
    <w:rsid w:val="0008469D"/>
    <w:rsid w:val="00084C7C"/>
    <w:rsid w:val="00084EA3"/>
    <w:rsid w:val="0008563E"/>
    <w:rsid w:val="0008651A"/>
    <w:rsid w:val="00090A1F"/>
    <w:rsid w:val="00090CC4"/>
    <w:rsid w:val="000919C8"/>
    <w:rsid w:val="000928FA"/>
    <w:rsid w:val="00094166"/>
    <w:rsid w:val="0009486B"/>
    <w:rsid w:val="0009524F"/>
    <w:rsid w:val="00095E6E"/>
    <w:rsid w:val="00096006"/>
    <w:rsid w:val="000965B8"/>
    <w:rsid w:val="0009676A"/>
    <w:rsid w:val="00097057"/>
    <w:rsid w:val="0009747B"/>
    <w:rsid w:val="000A0244"/>
    <w:rsid w:val="000A0A4B"/>
    <w:rsid w:val="000A11B1"/>
    <w:rsid w:val="000A14FE"/>
    <w:rsid w:val="000A3132"/>
    <w:rsid w:val="000A3AE6"/>
    <w:rsid w:val="000A42DA"/>
    <w:rsid w:val="000A62C2"/>
    <w:rsid w:val="000A6C34"/>
    <w:rsid w:val="000A6D21"/>
    <w:rsid w:val="000A71F6"/>
    <w:rsid w:val="000A78E3"/>
    <w:rsid w:val="000B0E53"/>
    <w:rsid w:val="000B1623"/>
    <w:rsid w:val="000B1710"/>
    <w:rsid w:val="000B1B49"/>
    <w:rsid w:val="000B1B96"/>
    <w:rsid w:val="000B3566"/>
    <w:rsid w:val="000B54DE"/>
    <w:rsid w:val="000B5FED"/>
    <w:rsid w:val="000B63F0"/>
    <w:rsid w:val="000B6A09"/>
    <w:rsid w:val="000B6F5C"/>
    <w:rsid w:val="000C0405"/>
    <w:rsid w:val="000C05E9"/>
    <w:rsid w:val="000C0632"/>
    <w:rsid w:val="000C20D1"/>
    <w:rsid w:val="000C2262"/>
    <w:rsid w:val="000C2750"/>
    <w:rsid w:val="000C2F5B"/>
    <w:rsid w:val="000C332D"/>
    <w:rsid w:val="000C3418"/>
    <w:rsid w:val="000C527C"/>
    <w:rsid w:val="000C5A48"/>
    <w:rsid w:val="000C6AF4"/>
    <w:rsid w:val="000C72D3"/>
    <w:rsid w:val="000C766F"/>
    <w:rsid w:val="000C7A0D"/>
    <w:rsid w:val="000C7B01"/>
    <w:rsid w:val="000C7D6D"/>
    <w:rsid w:val="000D0593"/>
    <w:rsid w:val="000D08F7"/>
    <w:rsid w:val="000D09D9"/>
    <w:rsid w:val="000D11B4"/>
    <w:rsid w:val="000D20A5"/>
    <w:rsid w:val="000D5671"/>
    <w:rsid w:val="000D5861"/>
    <w:rsid w:val="000D711D"/>
    <w:rsid w:val="000E0751"/>
    <w:rsid w:val="000E0AF4"/>
    <w:rsid w:val="000E2462"/>
    <w:rsid w:val="000E2722"/>
    <w:rsid w:val="000E2D7F"/>
    <w:rsid w:val="000E33F1"/>
    <w:rsid w:val="000E3537"/>
    <w:rsid w:val="000E3CD7"/>
    <w:rsid w:val="000E52B0"/>
    <w:rsid w:val="000E59C4"/>
    <w:rsid w:val="000F028A"/>
    <w:rsid w:val="000F04FB"/>
    <w:rsid w:val="000F0B76"/>
    <w:rsid w:val="000F0F39"/>
    <w:rsid w:val="000F199B"/>
    <w:rsid w:val="000F1F8B"/>
    <w:rsid w:val="000F24E8"/>
    <w:rsid w:val="000F24F8"/>
    <w:rsid w:val="000F3A57"/>
    <w:rsid w:val="000F3BE9"/>
    <w:rsid w:val="000F436E"/>
    <w:rsid w:val="000F48B9"/>
    <w:rsid w:val="000F5620"/>
    <w:rsid w:val="000F6C44"/>
    <w:rsid w:val="000F705F"/>
    <w:rsid w:val="000F7BDB"/>
    <w:rsid w:val="00100269"/>
    <w:rsid w:val="001004CE"/>
    <w:rsid w:val="001019BB"/>
    <w:rsid w:val="001019C6"/>
    <w:rsid w:val="00102377"/>
    <w:rsid w:val="00103776"/>
    <w:rsid w:val="001045AE"/>
    <w:rsid w:val="00105353"/>
    <w:rsid w:val="0010571F"/>
    <w:rsid w:val="00105741"/>
    <w:rsid w:val="001057DB"/>
    <w:rsid w:val="001058B0"/>
    <w:rsid w:val="001068B0"/>
    <w:rsid w:val="00106D16"/>
    <w:rsid w:val="001076DD"/>
    <w:rsid w:val="00107D19"/>
    <w:rsid w:val="0011049A"/>
    <w:rsid w:val="00112211"/>
    <w:rsid w:val="00112AC5"/>
    <w:rsid w:val="001131A9"/>
    <w:rsid w:val="00114591"/>
    <w:rsid w:val="00114A85"/>
    <w:rsid w:val="00114FC3"/>
    <w:rsid w:val="0011515E"/>
    <w:rsid w:val="0011625D"/>
    <w:rsid w:val="00117A3E"/>
    <w:rsid w:val="00120062"/>
    <w:rsid w:val="001200B8"/>
    <w:rsid w:val="00120BA5"/>
    <w:rsid w:val="00121378"/>
    <w:rsid w:val="00122B14"/>
    <w:rsid w:val="00122E0E"/>
    <w:rsid w:val="0012359C"/>
    <w:rsid w:val="0012376C"/>
    <w:rsid w:val="00124749"/>
    <w:rsid w:val="00125E1C"/>
    <w:rsid w:val="00126435"/>
    <w:rsid w:val="00126BC8"/>
    <w:rsid w:val="001309B5"/>
    <w:rsid w:val="001317A2"/>
    <w:rsid w:val="001317DF"/>
    <w:rsid w:val="0013196D"/>
    <w:rsid w:val="00131EE8"/>
    <w:rsid w:val="001320A8"/>
    <w:rsid w:val="00132956"/>
    <w:rsid w:val="001331F8"/>
    <w:rsid w:val="00136A72"/>
    <w:rsid w:val="001375EC"/>
    <w:rsid w:val="00140EE9"/>
    <w:rsid w:val="00141CE5"/>
    <w:rsid w:val="00141DE6"/>
    <w:rsid w:val="00141EE2"/>
    <w:rsid w:val="00143678"/>
    <w:rsid w:val="00143947"/>
    <w:rsid w:val="00144682"/>
    <w:rsid w:val="00145216"/>
    <w:rsid w:val="0014538E"/>
    <w:rsid w:val="0014541E"/>
    <w:rsid w:val="0014554C"/>
    <w:rsid w:val="001458B4"/>
    <w:rsid w:val="00146182"/>
    <w:rsid w:val="001461B2"/>
    <w:rsid w:val="00146491"/>
    <w:rsid w:val="0014705F"/>
    <w:rsid w:val="00147716"/>
    <w:rsid w:val="00147B11"/>
    <w:rsid w:val="00147FE0"/>
    <w:rsid w:val="00150124"/>
    <w:rsid w:val="001503DC"/>
    <w:rsid w:val="00150930"/>
    <w:rsid w:val="00150C0D"/>
    <w:rsid w:val="00153D6C"/>
    <w:rsid w:val="00155E0F"/>
    <w:rsid w:val="00155F03"/>
    <w:rsid w:val="00157459"/>
    <w:rsid w:val="0015749E"/>
    <w:rsid w:val="00157861"/>
    <w:rsid w:val="00157DE9"/>
    <w:rsid w:val="0016013F"/>
    <w:rsid w:val="001602BD"/>
    <w:rsid w:val="00160E3C"/>
    <w:rsid w:val="001619CC"/>
    <w:rsid w:val="00162C12"/>
    <w:rsid w:val="00163239"/>
    <w:rsid w:val="001639AE"/>
    <w:rsid w:val="00163CC4"/>
    <w:rsid w:val="00163E4B"/>
    <w:rsid w:val="001640C3"/>
    <w:rsid w:val="0016469E"/>
    <w:rsid w:val="00165FA3"/>
    <w:rsid w:val="00166E3F"/>
    <w:rsid w:val="001679A2"/>
    <w:rsid w:val="00170C77"/>
    <w:rsid w:val="00171E94"/>
    <w:rsid w:val="0017227E"/>
    <w:rsid w:val="0017254A"/>
    <w:rsid w:val="001730C2"/>
    <w:rsid w:val="00174150"/>
    <w:rsid w:val="00174328"/>
    <w:rsid w:val="00175C1B"/>
    <w:rsid w:val="0017651E"/>
    <w:rsid w:val="00176B07"/>
    <w:rsid w:val="001776E9"/>
    <w:rsid w:val="00180418"/>
    <w:rsid w:val="0018090C"/>
    <w:rsid w:val="00181426"/>
    <w:rsid w:val="00181A08"/>
    <w:rsid w:val="0018211E"/>
    <w:rsid w:val="0018231C"/>
    <w:rsid w:val="0018314E"/>
    <w:rsid w:val="00183ED1"/>
    <w:rsid w:val="0018432F"/>
    <w:rsid w:val="00185084"/>
    <w:rsid w:val="00185273"/>
    <w:rsid w:val="00185999"/>
    <w:rsid w:val="001926D4"/>
    <w:rsid w:val="00192E8B"/>
    <w:rsid w:val="001935D3"/>
    <w:rsid w:val="001941F0"/>
    <w:rsid w:val="001942E6"/>
    <w:rsid w:val="00195C2A"/>
    <w:rsid w:val="00195D98"/>
    <w:rsid w:val="001961E9"/>
    <w:rsid w:val="00197FA3"/>
    <w:rsid w:val="001A07C6"/>
    <w:rsid w:val="001A0C28"/>
    <w:rsid w:val="001A1B4D"/>
    <w:rsid w:val="001A25F4"/>
    <w:rsid w:val="001A3AF1"/>
    <w:rsid w:val="001A4740"/>
    <w:rsid w:val="001A51F5"/>
    <w:rsid w:val="001A5FF7"/>
    <w:rsid w:val="001A6007"/>
    <w:rsid w:val="001A6C23"/>
    <w:rsid w:val="001A792D"/>
    <w:rsid w:val="001A7E55"/>
    <w:rsid w:val="001B0A8A"/>
    <w:rsid w:val="001B0C2A"/>
    <w:rsid w:val="001B1B68"/>
    <w:rsid w:val="001B2C71"/>
    <w:rsid w:val="001B3CCF"/>
    <w:rsid w:val="001B47C9"/>
    <w:rsid w:val="001B48FF"/>
    <w:rsid w:val="001B52CE"/>
    <w:rsid w:val="001B54E5"/>
    <w:rsid w:val="001B5FD7"/>
    <w:rsid w:val="001B6E16"/>
    <w:rsid w:val="001B7DF2"/>
    <w:rsid w:val="001B7EFB"/>
    <w:rsid w:val="001C10B9"/>
    <w:rsid w:val="001C122C"/>
    <w:rsid w:val="001C3781"/>
    <w:rsid w:val="001C557C"/>
    <w:rsid w:val="001C6AAE"/>
    <w:rsid w:val="001D119B"/>
    <w:rsid w:val="001D1E58"/>
    <w:rsid w:val="001D2265"/>
    <w:rsid w:val="001D261A"/>
    <w:rsid w:val="001D2DFD"/>
    <w:rsid w:val="001D301E"/>
    <w:rsid w:val="001D33CE"/>
    <w:rsid w:val="001D3CAA"/>
    <w:rsid w:val="001D4240"/>
    <w:rsid w:val="001D579B"/>
    <w:rsid w:val="001D5F67"/>
    <w:rsid w:val="001D6232"/>
    <w:rsid w:val="001D6315"/>
    <w:rsid w:val="001D654C"/>
    <w:rsid w:val="001D6DCB"/>
    <w:rsid w:val="001D6E94"/>
    <w:rsid w:val="001D790E"/>
    <w:rsid w:val="001D7E31"/>
    <w:rsid w:val="001E2404"/>
    <w:rsid w:val="001E253A"/>
    <w:rsid w:val="001E6974"/>
    <w:rsid w:val="001E6BB1"/>
    <w:rsid w:val="001E70C4"/>
    <w:rsid w:val="001F0A3D"/>
    <w:rsid w:val="001F1068"/>
    <w:rsid w:val="001F1F79"/>
    <w:rsid w:val="001F2C9C"/>
    <w:rsid w:val="001F441C"/>
    <w:rsid w:val="001F4658"/>
    <w:rsid w:val="001F5986"/>
    <w:rsid w:val="001F6175"/>
    <w:rsid w:val="001F74D7"/>
    <w:rsid w:val="001F7A60"/>
    <w:rsid w:val="00201C5C"/>
    <w:rsid w:val="00203EB0"/>
    <w:rsid w:val="00204603"/>
    <w:rsid w:val="00204A32"/>
    <w:rsid w:val="00205081"/>
    <w:rsid w:val="00206715"/>
    <w:rsid w:val="00206F17"/>
    <w:rsid w:val="0020714D"/>
    <w:rsid w:val="002073B5"/>
    <w:rsid w:val="00207640"/>
    <w:rsid w:val="0020787B"/>
    <w:rsid w:val="0021028B"/>
    <w:rsid w:val="00210E60"/>
    <w:rsid w:val="00210F52"/>
    <w:rsid w:val="002120B0"/>
    <w:rsid w:val="00212710"/>
    <w:rsid w:val="00213A1E"/>
    <w:rsid w:val="00215759"/>
    <w:rsid w:val="00215FDE"/>
    <w:rsid w:val="0021602F"/>
    <w:rsid w:val="00217762"/>
    <w:rsid w:val="002214DC"/>
    <w:rsid w:val="002221BC"/>
    <w:rsid w:val="002223E2"/>
    <w:rsid w:val="00223BB5"/>
    <w:rsid w:val="002240E1"/>
    <w:rsid w:val="0022469D"/>
    <w:rsid w:val="00224B81"/>
    <w:rsid w:val="00224EDC"/>
    <w:rsid w:val="0022528A"/>
    <w:rsid w:val="00225743"/>
    <w:rsid w:val="002266B9"/>
    <w:rsid w:val="00226BE4"/>
    <w:rsid w:val="00227561"/>
    <w:rsid w:val="002278AC"/>
    <w:rsid w:val="002308F4"/>
    <w:rsid w:val="00230DB6"/>
    <w:rsid w:val="00231040"/>
    <w:rsid w:val="002330A6"/>
    <w:rsid w:val="00234290"/>
    <w:rsid w:val="00234728"/>
    <w:rsid w:val="00234F8B"/>
    <w:rsid w:val="002363A9"/>
    <w:rsid w:val="00236421"/>
    <w:rsid w:val="0023744B"/>
    <w:rsid w:val="00242861"/>
    <w:rsid w:val="0024308F"/>
    <w:rsid w:val="00244588"/>
    <w:rsid w:val="00246C89"/>
    <w:rsid w:val="00246F9F"/>
    <w:rsid w:val="0024701B"/>
    <w:rsid w:val="00247949"/>
    <w:rsid w:val="00252D01"/>
    <w:rsid w:val="002533A1"/>
    <w:rsid w:val="00255C07"/>
    <w:rsid w:val="00257104"/>
    <w:rsid w:val="00257DBA"/>
    <w:rsid w:val="00262776"/>
    <w:rsid w:val="00262AD2"/>
    <w:rsid w:val="00262F3B"/>
    <w:rsid w:val="00263F32"/>
    <w:rsid w:val="00264216"/>
    <w:rsid w:val="0026489C"/>
    <w:rsid w:val="00265440"/>
    <w:rsid w:val="0026549F"/>
    <w:rsid w:val="002654AC"/>
    <w:rsid w:val="00265722"/>
    <w:rsid w:val="002657F6"/>
    <w:rsid w:val="00265899"/>
    <w:rsid w:val="00265FFF"/>
    <w:rsid w:val="002673B0"/>
    <w:rsid w:val="002677E4"/>
    <w:rsid w:val="00267D5B"/>
    <w:rsid w:val="00267D6D"/>
    <w:rsid w:val="00271058"/>
    <w:rsid w:val="00271342"/>
    <w:rsid w:val="0027188E"/>
    <w:rsid w:val="00272CA5"/>
    <w:rsid w:val="00272D40"/>
    <w:rsid w:val="00274DC5"/>
    <w:rsid w:val="002779BE"/>
    <w:rsid w:val="00277A8D"/>
    <w:rsid w:val="00280957"/>
    <w:rsid w:val="00280B9C"/>
    <w:rsid w:val="00281AA3"/>
    <w:rsid w:val="002823AD"/>
    <w:rsid w:val="00283097"/>
    <w:rsid w:val="002844A8"/>
    <w:rsid w:val="002852B1"/>
    <w:rsid w:val="0028560D"/>
    <w:rsid w:val="00285634"/>
    <w:rsid w:val="00285EE4"/>
    <w:rsid w:val="0028658F"/>
    <w:rsid w:val="00287A03"/>
    <w:rsid w:val="00291398"/>
    <w:rsid w:val="00291999"/>
    <w:rsid w:val="00292F49"/>
    <w:rsid w:val="00294C08"/>
    <w:rsid w:val="00294EFC"/>
    <w:rsid w:val="002969E7"/>
    <w:rsid w:val="00296BCD"/>
    <w:rsid w:val="00296E51"/>
    <w:rsid w:val="002978D2"/>
    <w:rsid w:val="00297BA8"/>
    <w:rsid w:val="00297E36"/>
    <w:rsid w:val="002A02A3"/>
    <w:rsid w:val="002A0A04"/>
    <w:rsid w:val="002A0B24"/>
    <w:rsid w:val="002A1E76"/>
    <w:rsid w:val="002A23EF"/>
    <w:rsid w:val="002A2944"/>
    <w:rsid w:val="002A2F19"/>
    <w:rsid w:val="002A590A"/>
    <w:rsid w:val="002A6703"/>
    <w:rsid w:val="002A682A"/>
    <w:rsid w:val="002A6D4A"/>
    <w:rsid w:val="002A790A"/>
    <w:rsid w:val="002A797A"/>
    <w:rsid w:val="002B0A61"/>
    <w:rsid w:val="002B1583"/>
    <w:rsid w:val="002B1E11"/>
    <w:rsid w:val="002B3B62"/>
    <w:rsid w:val="002B5A3D"/>
    <w:rsid w:val="002B67A1"/>
    <w:rsid w:val="002C02C4"/>
    <w:rsid w:val="002C0F80"/>
    <w:rsid w:val="002C1AED"/>
    <w:rsid w:val="002C1E47"/>
    <w:rsid w:val="002C2022"/>
    <w:rsid w:val="002C330A"/>
    <w:rsid w:val="002C36F2"/>
    <w:rsid w:val="002C3900"/>
    <w:rsid w:val="002C3E9F"/>
    <w:rsid w:val="002C5D1D"/>
    <w:rsid w:val="002C60F9"/>
    <w:rsid w:val="002C617B"/>
    <w:rsid w:val="002D070F"/>
    <w:rsid w:val="002D07AB"/>
    <w:rsid w:val="002D0A62"/>
    <w:rsid w:val="002D2B49"/>
    <w:rsid w:val="002D2E52"/>
    <w:rsid w:val="002D5574"/>
    <w:rsid w:val="002D5B06"/>
    <w:rsid w:val="002D6613"/>
    <w:rsid w:val="002D675B"/>
    <w:rsid w:val="002D714E"/>
    <w:rsid w:val="002E43B1"/>
    <w:rsid w:val="002E4F9D"/>
    <w:rsid w:val="002E53F9"/>
    <w:rsid w:val="002E734C"/>
    <w:rsid w:val="002E7AFA"/>
    <w:rsid w:val="002F006D"/>
    <w:rsid w:val="002F0FCE"/>
    <w:rsid w:val="002F1011"/>
    <w:rsid w:val="002F26B1"/>
    <w:rsid w:val="002F3442"/>
    <w:rsid w:val="002F4B17"/>
    <w:rsid w:val="002F52A2"/>
    <w:rsid w:val="002F613F"/>
    <w:rsid w:val="002F710A"/>
    <w:rsid w:val="002F7EA4"/>
    <w:rsid w:val="00303ABF"/>
    <w:rsid w:val="003045C7"/>
    <w:rsid w:val="00304731"/>
    <w:rsid w:val="00304D17"/>
    <w:rsid w:val="00305A8D"/>
    <w:rsid w:val="00305C5D"/>
    <w:rsid w:val="0030688E"/>
    <w:rsid w:val="0031033C"/>
    <w:rsid w:val="0031057C"/>
    <w:rsid w:val="0031136D"/>
    <w:rsid w:val="00312BBD"/>
    <w:rsid w:val="00315257"/>
    <w:rsid w:val="003158CC"/>
    <w:rsid w:val="00316D7D"/>
    <w:rsid w:val="00317862"/>
    <w:rsid w:val="00317A54"/>
    <w:rsid w:val="00320C5C"/>
    <w:rsid w:val="003216E0"/>
    <w:rsid w:val="00323EA3"/>
    <w:rsid w:val="00325853"/>
    <w:rsid w:val="003263E1"/>
    <w:rsid w:val="003269B3"/>
    <w:rsid w:val="00326ED3"/>
    <w:rsid w:val="00327945"/>
    <w:rsid w:val="00327E66"/>
    <w:rsid w:val="00330AD5"/>
    <w:rsid w:val="00331125"/>
    <w:rsid w:val="00332CAA"/>
    <w:rsid w:val="003344B1"/>
    <w:rsid w:val="00335070"/>
    <w:rsid w:val="0033547C"/>
    <w:rsid w:val="0033554D"/>
    <w:rsid w:val="00335A4A"/>
    <w:rsid w:val="00336C67"/>
    <w:rsid w:val="00341113"/>
    <w:rsid w:val="0034322F"/>
    <w:rsid w:val="00343230"/>
    <w:rsid w:val="003433AD"/>
    <w:rsid w:val="00344813"/>
    <w:rsid w:val="0034593E"/>
    <w:rsid w:val="00345E93"/>
    <w:rsid w:val="003462BB"/>
    <w:rsid w:val="00346B85"/>
    <w:rsid w:val="0034778B"/>
    <w:rsid w:val="00347ED9"/>
    <w:rsid w:val="0035185D"/>
    <w:rsid w:val="00351ED4"/>
    <w:rsid w:val="003524AD"/>
    <w:rsid w:val="0035335B"/>
    <w:rsid w:val="003538D8"/>
    <w:rsid w:val="00354003"/>
    <w:rsid w:val="003545A6"/>
    <w:rsid w:val="00355707"/>
    <w:rsid w:val="00355829"/>
    <w:rsid w:val="003559F0"/>
    <w:rsid w:val="00356CB1"/>
    <w:rsid w:val="00356D50"/>
    <w:rsid w:val="00357DF3"/>
    <w:rsid w:val="003609E5"/>
    <w:rsid w:val="00360AB0"/>
    <w:rsid w:val="00361306"/>
    <w:rsid w:val="003615F2"/>
    <w:rsid w:val="00362B43"/>
    <w:rsid w:val="00362CE3"/>
    <w:rsid w:val="003631D3"/>
    <w:rsid w:val="00364592"/>
    <w:rsid w:val="00364883"/>
    <w:rsid w:val="00367185"/>
    <w:rsid w:val="0036724B"/>
    <w:rsid w:val="00367D56"/>
    <w:rsid w:val="00367ED0"/>
    <w:rsid w:val="00370642"/>
    <w:rsid w:val="003706CB"/>
    <w:rsid w:val="0037076C"/>
    <w:rsid w:val="00370D3E"/>
    <w:rsid w:val="00371435"/>
    <w:rsid w:val="00371B4F"/>
    <w:rsid w:val="003724A6"/>
    <w:rsid w:val="00372931"/>
    <w:rsid w:val="00372B96"/>
    <w:rsid w:val="0037364C"/>
    <w:rsid w:val="003737FB"/>
    <w:rsid w:val="00373901"/>
    <w:rsid w:val="00375EB1"/>
    <w:rsid w:val="00377F45"/>
    <w:rsid w:val="00381FAE"/>
    <w:rsid w:val="003823FA"/>
    <w:rsid w:val="003836B4"/>
    <w:rsid w:val="00384A97"/>
    <w:rsid w:val="00384F2F"/>
    <w:rsid w:val="00384F3F"/>
    <w:rsid w:val="00386CE7"/>
    <w:rsid w:val="003878FA"/>
    <w:rsid w:val="00390409"/>
    <w:rsid w:val="00390DC1"/>
    <w:rsid w:val="00391D95"/>
    <w:rsid w:val="0039228E"/>
    <w:rsid w:val="0039239F"/>
    <w:rsid w:val="00392946"/>
    <w:rsid w:val="00392D86"/>
    <w:rsid w:val="00393020"/>
    <w:rsid w:val="00395BCE"/>
    <w:rsid w:val="003966D7"/>
    <w:rsid w:val="003974C2"/>
    <w:rsid w:val="003976D7"/>
    <w:rsid w:val="00397BBB"/>
    <w:rsid w:val="003A0F50"/>
    <w:rsid w:val="003A1542"/>
    <w:rsid w:val="003A3245"/>
    <w:rsid w:val="003A4797"/>
    <w:rsid w:val="003A543F"/>
    <w:rsid w:val="003A6498"/>
    <w:rsid w:val="003A6739"/>
    <w:rsid w:val="003A6AED"/>
    <w:rsid w:val="003A76D5"/>
    <w:rsid w:val="003A7890"/>
    <w:rsid w:val="003B177E"/>
    <w:rsid w:val="003B39A9"/>
    <w:rsid w:val="003B4D94"/>
    <w:rsid w:val="003B62B7"/>
    <w:rsid w:val="003B7B70"/>
    <w:rsid w:val="003C01E6"/>
    <w:rsid w:val="003C177F"/>
    <w:rsid w:val="003C1F74"/>
    <w:rsid w:val="003C290E"/>
    <w:rsid w:val="003C42D4"/>
    <w:rsid w:val="003C46CB"/>
    <w:rsid w:val="003C5CF1"/>
    <w:rsid w:val="003C5EDB"/>
    <w:rsid w:val="003C6142"/>
    <w:rsid w:val="003C6B49"/>
    <w:rsid w:val="003C7BEA"/>
    <w:rsid w:val="003D0AAA"/>
    <w:rsid w:val="003D0BEB"/>
    <w:rsid w:val="003D0DD6"/>
    <w:rsid w:val="003D13DA"/>
    <w:rsid w:val="003D191E"/>
    <w:rsid w:val="003D1F11"/>
    <w:rsid w:val="003D3BCC"/>
    <w:rsid w:val="003D5203"/>
    <w:rsid w:val="003D6E64"/>
    <w:rsid w:val="003D73E3"/>
    <w:rsid w:val="003E06FD"/>
    <w:rsid w:val="003E0974"/>
    <w:rsid w:val="003E0DEF"/>
    <w:rsid w:val="003E15EF"/>
    <w:rsid w:val="003E19C8"/>
    <w:rsid w:val="003E2784"/>
    <w:rsid w:val="003E3A6B"/>
    <w:rsid w:val="003E457A"/>
    <w:rsid w:val="003E512D"/>
    <w:rsid w:val="003E5E47"/>
    <w:rsid w:val="003E636B"/>
    <w:rsid w:val="003E70A6"/>
    <w:rsid w:val="003E75D0"/>
    <w:rsid w:val="003F0869"/>
    <w:rsid w:val="003F0974"/>
    <w:rsid w:val="003F0AD1"/>
    <w:rsid w:val="003F10C4"/>
    <w:rsid w:val="003F1EA9"/>
    <w:rsid w:val="003F39DE"/>
    <w:rsid w:val="003F4340"/>
    <w:rsid w:val="003F4892"/>
    <w:rsid w:val="003F4F37"/>
    <w:rsid w:val="003F50D0"/>
    <w:rsid w:val="003F64F6"/>
    <w:rsid w:val="003F67B7"/>
    <w:rsid w:val="003F67C4"/>
    <w:rsid w:val="003F75E2"/>
    <w:rsid w:val="00400878"/>
    <w:rsid w:val="00401B43"/>
    <w:rsid w:val="00401B8A"/>
    <w:rsid w:val="00402253"/>
    <w:rsid w:val="00403275"/>
    <w:rsid w:val="0040356C"/>
    <w:rsid w:val="0040374E"/>
    <w:rsid w:val="0040474B"/>
    <w:rsid w:val="00405A98"/>
    <w:rsid w:val="00405FCC"/>
    <w:rsid w:val="0040627D"/>
    <w:rsid w:val="0041085F"/>
    <w:rsid w:val="00410DEC"/>
    <w:rsid w:val="00411BA8"/>
    <w:rsid w:val="0041361E"/>
    <w:rsid w:val="00413847"/>
    <w:rsid w:val="00413B3F"/>
    <w:rsid w:val="00413F34"/>
    <w:rsid w:val="00414E75"/>
    <w:rsid w:val="00415203"/>
    <w:rsid w:val="00415A19"/>
    <w:rsid w:val="00415B23"/>
    <w:rsid w:val="004162CD"/>
    <w:rsid w:val="00417292"/>
    <w:rsid w:val="0041729D"/>
    <w:rsid w:val="0041730C"/>
    <w:rsid w:val="00420011"/>
    <w:rsid w:val="00420339"/>
    <w:rsid w:val="0042075B"/>
    <w:rsid w:val="00420D9B"/>
    <w:rsid w:val="0042132D"/>
    <w:rsid w:val="00421856"/>
    <w:rsid w:val="00422CF5"/>
    <w:rsid w:val="0042318F"/>
    <w:rsid w:val="00423B61"/>
    <w:rsid w:val="00423DBC"/>
    <w:rsid w:val="00423EA6"/>
    <w:rsid w:val="00424182"/>
    <w:rsid w:val="004242FF"/>
    <w:rsid w:val="004244BC"/>
    <w:rsid w:val="00424A2B"/>
    <w:rsid w:val="00425159"/>
    <w:rsid w:val="004258D4"/>
    <w:rsid w:val="00425C48"/>
    <w:rsid w:val="00425E78"/>
    <w:rsid w:val="004315E9"/>
    <w:rsid w:val="004316CC"/>
    <w:rsid w:val="0043190F"/>
    <w:rsid w:val="00432E8E"/>
    <w:rsid w:val="0043324C"/>
    <w:rsid w:val="00433F93"/>
    <w:rsid w:val="0043443B"/>
    <w:rsid w:val="00434736"/>
    <w:rsid w:val="004348CA"/>
    <w:rsid w:val="00434E9D"/>
    <w:rsid w:val="00434FE8"/>
    <w:rsid w:val="004352D7"/>
    <w:rsid w:val="00435400"/>
    <w:rsid w:val="00435612"/>
    <w:rsid w:val="00435FA1"/>
    <w:rsid w:val="004360CE"/>
    <w:rsid w:val="00436136"/>
    <w:rsid w:val="00437480"/>
    <w:rsid w:val="004375AD"/>
    <w:rsid w:val="00437C02"/>
    <w:rsid w:val="004400CE"/>
    <w:rsid w:val="00440CC4"/>
    <w:rsid w:val="004436EF"/>
    <w:rsid w:val="00443CEB"/>
    <w:rsid w:val="004443B4"/>
    <w:rsid w:val="004451D1"/>
    <w:rsid w:val="004457AC"/>
    <w:rsid w:val="004460A0"/>
    <w:rsid w:val="00451740"/>
    <w:rsid w:val="0045337C"/>
    <w:rsid w:val="00456043"/>
    <w:rsid w:val="00457869"/>
    <w:rsid w:val="00457877"/>
    <w:rsid w:val="00457CF0"/>
    <w:rsid w:val="00460FCA"/>
    <w:rsid w:val="00461A15"/>
    <w:rsid w:val="0046202F"/>
    <w:rsid w:val="004626D1"/>
    <w:rsid w:val="00462B30"/>
    <w:rsid w:val="004637EF"/>
    <w:rsid w:val="00464026"/>
    <w:rsid w:val="004714AE"/>
    <w:rsid w:val="004720C9"/>
    <w:rsid w:val="0047210E"/>
    <w:rsid w:val="004733B0"/>
    <w:rsid w:val="00474A3E"/>
    <w:rsid w:val="00474F1C"/>
    <w:rsid w:val="004751E0"/>
    <w:rsid w:val="004759AE"/>
    <w:rsid w:val="00475C45"/>
    <w:rsid w:val="004760A3"/>
    <w:rsid w:val="00476290"/>
    <w:rsid w:val="004762AA"/>
    <w:rsid w:val="0047646A"/>
    <w:rsid w:val="00476DA7"/>
    <w:rsid w:val="00476FF2"/>
    <w:rsid w:val="00481F34"/>
    <w:rsid w:val="00482606"/>
    <w:rsid w:val="00483314"/>
    <w:rsid w:val="004833E0"/>
    <w:rsid w:val="00485502"/>
    <w:rsid w:val="0048560D"/>
    <w:rsid w:val="00485FF4"/>
    <w:rsid w:val="00486217"/>
    <w:rsid w:val="00486A9C"/>
    <w:rsid w:val="00486ACF"/>
    <w:rsid w:val="004875BA"/>
    <w:rsid w:val="00487F87"/>
    <w:rsid w:val="004906BB"/>
    <w:rsid w:val="00491C43"/>
    <w:rsid w:val="00492829"/>
    <w:rsid w:val="0049315B"/>
    <w:rsid w:val="0049478C"/>
    <w:rsid w:val="0049558A"/>
    <w:rsid w:val="004A019A"/>
    <w:rsid w:val="004A1651"/>
    <w:rsid w:val="004A30F7"/>
    <w:rsid w:val="004A33A5"/>
    <w:rsid w:val="004A3F79"/>
    <w:rsid w:val="004A4FC5"/>
    <w:rsid w:val="004A5872"/>
    <w:rsid w:val="004A6ACB"/>
    <w:rsid w:val="004A6FC9"/>
    <w:rsid w:val="004B057A"/>
    <w:rsid w:val="004B1544"/>
    <w:rsid w:val="004B32ED"/>
    <w:rsid w:val="004B50B7"/>
    <w:rsid w:val="004B5B59"/>
    <w:rsid w:val="004B5C0F"/>
    <w:rsid w:val="004B67EC"/>
    <w:rsid w:val="004B69CB"/>
    <w:rsid w:val="004B7686"/>
    <w:rsid w:val="004C0132"/>
    <w:rsid w:val="004C147D"/>
    <w:rsid w:val="004C2D42"/>
    <w:rsid w:val="004C2DCA"/>
    <w:rsid w:val="004C452D"/>
    <w:rsid w:val="004C46DB"/>
    <w:rsid w:val="004C4C14"/>
    <w:rsid w:val="004C4CFF"/>
    <w:rsid w:val="004C54B8"/>
    <w:rsid w:val="004C6408"/>
    <w:rsid w:val="004D155D"/>
    <w:rsid w:val="004D2054"/>
    <w:rsid w:val="004D2390"/>
    <w:rsid w:val="004D281F"/>
    <w:rsid w:val="004D2BBF"/>
    <w:rsid w:val="004D44D7"/>
    <w:rsid w:val="004D582C"/>
    <w:rsid w:val="004D64C8"/>
    <w:rsid w:val="004D6657"/>
    <w:rsid w:val="004D7E88"/>
    <w:rsid w:val="004D7FAA"/>
    <w:rsid w:val="004E0E93"/>
    <w:rsid w:val="004E1069"/>
    <w:rsid w:val="004E1095"/>
    <w:rsid w:val="004E112A"/>
    <w:rsid w:val="004E124B"/>
    <w:rsid w:val="004E1A54"/>
    <w:rsid w:val="004E1DC1"/>
    <w:rsid w:val="004E2093"/>
    <w:rsid w:val="004E429E"/>
    <w:rsid w:val="004E4C7D"/>
    <w:rsid w:val="004E4E17"/>
    <w:rsid w:val="004E50E3"/>
    <w:rsid w:val="004E5ADF"/>
    <w:rsid w:val="004E7756"/>
    <w:rsid w:val="004F0724"/>
    <w:rsid w:val="004F0B17"/>
    <w:rsid w:val="004F119C"/>
    <w:rsid w:val="004F147D"/>
    <w:rsid w:val="004F1A94"/>
    <w:rsid w:val="004F1AD2"/>
    <w:rsid w:val="004F33A7"/>
    <w:rsid w:val="004F4932"/>
    <w:rsid w:val="004F4AAA"/>
    <w:rsid w:val="004F5D90"/>
    <w:rsid w:val="004F6A8D"/>
    <w:rsid w:val="004F7F21"/>
    <w:rsid w:val="00500F25"/>
    <w:rsid w:val="005011C1"/>
    <w:rsid w:val="005013BC"/>
    <w:rsid w:val="00501A57"/>
    <w:rsid w:val="00501BF0"/>
    <w:rsid w:val="00502784"/>
    <w:rsid w:val="005029F1"/>
    <w:rsid w:val="00502C71"/>
    <w:rsid w:val="00503579"/>
    <w:rsid w:val="00503BD2"/>
    <w:rsid w:val="00505FEF"/>
    <w:rsid w:val="00506799"/>
    <w:rsid w:val="00506835"/>
    <w:rsid w:val="00511B76"/>
    <w:rsid w:val="005129CF"/>
    <w:rsid w:val="00512DA3"/>
    <w:rsid w:val="00513AB9"/>
    <w:rsid w:val="0051547E"/>
    <w:rsid w:val="00515A11"/>
    <w:rsid w:val="00515B4A"/>
    <w:rsid w:val="0051661E"/>
    <w:rsid w:val="00516866"/>
    <w:rsid w:val="00516E8F"/>
    <w:rsid w:val="005201F6"/>
    <w:rsid w:val="00520DA8"/>
    <w:rsid w:val="00520E18"/>
    <w:rsid w:val="00521522"/>
    <w:rsid w:val="005215D2"/>
    <w:rsid w:val="005224E7"/>
    <w:rsid w:val="00522E47"/>
    <w:rsid w:val="00523482"/>
    <w:rsid w:val="005239CF"/>
    <w:rsid w:val="00523ACF"/>
    <w:rsid w:val="00524D4B"/>
    <w:rsid w:val="005258B4"/>
    <w:rsid w:val="00525D81"/>
    <w:rsid w:val="00526EB3"/>
    <w:rsid w:val="00527749"/>
    <w:rsid w:val="00531872"/>
    <w:rsid w:val="00533196"/>
    <w:rsid w:val="0053348C"/>
    <w:rsid w:val="005347E5"/>
    <w:rsid w:val="00534DBF"/>
    <w:rsid w:val="005358CA"/>
    <w:rsid w:val="00536225"/>
    <w:rsid w:val="00536720"/>
    <w:rsid w:val="005369D7"/>
    <w:rsid w:val="005404F6"/>
    <w:rsid w:val="00541458"/>
    <w:rsid w:val="0054280A"/>
    <w:rsid w:val="0054293C"/>
    <w:rsid w:val="0054345B"/>
    <w:rsid w:val="005437F2"/>
    <w:rsid w:val="005446F3"/>
    <w:rsid w:val="0054513E"/>
    <w:rsid w:val="0055072E"/>
    <w:rsid w:val="0055077D"/>
    <w:rsid w:val="00550817"/>
    <w:rsid w:val="00550AFA"/>
    <w:rsid w:val="00550FBF"/>
    <w:rsid w:val="0055100D"/>
    <w:rsid w:val="005530D1"/>
    <w:rsid w:val="005532C7"/>
    <w:rsid w:val="0055343E"/>
    <w:rsid w:val="00554609"/>
    <w:rsid w:val="005561B1"/>
    <w:rsid w:val="005568E5"/>
    <w:rsid w:val="00556E49"/>
    <w:rsid w:val="00557F30"/>
    <w:rsid w:val="00560A1A"/>
    <w:rsid w:val="00560DEA"/>
    <w:rsid w:val="0056147B"/>
    <w:rsid w:val="00561B8E"/>
    <w:rsid w:val="005628BD"/>
    <w:rsid w:val="0056300F"/>
    <w:rsid w:val="00564F62"/>
    <w:rsid w:val="005662E6"/>
    <w:rsid w:val="00566418"/>
    <w:rsid w:val="0056760C"/>
    <w:rsid w:val="0057059F"/>
    <w:rsid w:val="00572A6D"/>
    <w:rsid w:val="005734AB"/>
    <w:rsid w:val="005739C7"/>
    <w:rsid w:val="00574338"/>
    <w:rsid w:val="005744F7"/>
    <w:rsid w:val="00575E4C"/>
    <w:rsid w:val="00576F8F"/>
    <w:rsid w:val="00577AC6"/>
    <w:rsid w:val="00577AD6"/>
    <w:rsid w:val="0058055E"/>
    <w:rsid w:val="005818B3"/>
    <w:rsid w:val="005871A0"/>
    <w:rsid w:val="005878FE"/>
    <w:rsid w:val="005879DD"/>
    <w:rsid w:val="00587AFA"/>
    <w:rsid w:val="00590A24"/>
    <w:rsid w:val="005912D5"/>
    <w:rsid w:val="00591332"/>
    <w:rsid w:val="0059133C"/>
    <w:rsid w:val="0059135B"/>
    <w:rsid w:val="00591BB2"/>
    <w:rsid w:val="00591F39"/>
    <w:rsid w:val="00592073"/>
    <w:rsid w:val="00593F8C"/>
    <w:rsid w:val="005940EC"/>
    <w:rsid w:val="0059437C"/>
    <w:rsid w:val="00594A78"/>
    <w:rsid w:val="00595C35"/>
    <w:rsid w:val="00596344"/>
    <w:rsid w:val="0059643A"/>
    <w:rsid w:val="00596E30"/>
    <w:rsid w:val="00596FF3"/>
    <w:rsid w:val="005978C1"/>
    <w:rsid w:val="005A31FF"/>
    <w:rsid w:val="005A578A"/>
    <w:rsid w:val="005A6B96"/>
    <w:rsid w:val="005A7304"/>
    <w:rsid w:val="005B069A"/>
    <w:rsid w:val="005B2154"/>
    <w:rsid w:val="005B2309"/>
    <w:rsid w:val="005B34C8"/>
    <w:rsid w:val="005B34E5"/>
    <w:rsid w:val="005B4178"/>
    <w:rsid w:val="005B4649"/>
    <w:rsid w:val="005B4A72"/>
    <w:rsid w:val="005B50AC"/>
    <w:rsid w:val="005B54FE"/>
    <w:rsid w:val="005B6232"/>
    <w:rsid w:val="005B6EB7"/>
    <w:rsid w:val="005C0072"/>
    <w:rsid w:val="005C086F"/>
    <w:rsid w:val="005C37FC"/>
    <w:rsid w:val="005C3D5B"/>
    <w:rsid w:val="005C493D"/>
    <w:rsid w:val="005C4D5E"/>
    <w:rsid w:val="005C5644"/>
    <w:rsid w:val="005C59E8"/>
    <w:rsid w:val="005C6393"/>
    <w:rsid w:val="005C6D94"/>
    <w:rsid w:val="005D0C8D"/>
    <w:rsid w:val="005D13C1"/>
    <w:rsid w:val="005D217B"/>
    <w:rsid w:val="005D3674"/>
    <w:rsid w:val="005D3861"/>
    <w:rsid w:val="005D3961"/>
    <w:rsid w:val="005D447D"/>
    <w:rsid w:val="005D4B4D"/>
    <w:rsid w:val="005D5635"/>
    <w:rsid w:val="005D72D2"/>
    <w:rsid w:val="005D7E12"/>
    <w:rsid w:val="005E09F3"/>
    <w:rsid w:val="005E153C"/>
    <w:rsid w:val="005E1707"/>
    <w:rsid w:val="005E1BE1"/>
    <w:rsid w:val="005E1F30"/>
    <w:rsid w:val="005E4D42"/>
    <w:rsid w:val="005E4D7C"/>
    <w:rsid w:val="005E56BF"/>
    <w:rsid w:val="005E6148"/>
    <w:rsid w:val="005E73D2"/>
    <w:rsid w:val="005E7A07"/>
    <w:rsid w:val="005F1911"/>
    <w:rsid w:val="005F1D9A"/>
    <w:rsid w:val="005F2050"/>
    <w:rsid w:val="005F26CE"/>
    <w:rsid w:val="005F2AB2"/>
    <w:rsid w:val="005F2BC3"/>
    <w:rsid w:val="005F2C35"/>
    <w:rsid w:val="005F5852"/>
    <w:rsid w:val="005F6192"/>
    <w:rsid w:val="005F69EC"/>
    <w:rsid w:val="005F7962"/>
    <w:rsid w:val="005F7F47"/>
    <w:rsid w:val="00601064"/>
    <w:rsid w:val="00601859"/>
    <w:rsid w:val="00601A77"/>
    <w:rsid w:val="006036D9"/>
    <w:rsid w:val="006039FD"/>
    <w:rsid w:val="00603AD9"/>
    <w:rsid w:val="00604715"/>
    <w:rsid w:val="00604F68"/>
    <w:rsid w:val="0060552F"/>
    <w:rsid w:val="00606537"/>
    <w:rsid w:val="00606ABD"/>
    <w:rsid w:val="006077DD"/>
    <w:rsid w:val="00607E9E"/>
    <w:rsid w:val="00610332"/>
    <w:rsid w:val="0061054A"/>
    <w:rsid w:val="00610A0A"/>
    <w:rsid w:val="00610C10"/>
    <w:rsid w:val="00610CEB"/>
    <w:rsid w:val="00611874"/>
    <w:rsid w:val="0061199D"/>
    <w:rsid w:val="00611B13"/>
    <w:rsid w:val="00611E47"/>
    <w:rsid w:val="00613AF5"/>
    <w:rsid w:val="00614FA1"/>
    <w:rsid w:val="00615F0C"/>
    <w:rsid w:val="00616446"/>
    <w:rsid w:val="006164F7"/>
    <w:rsid w:val="00616987"/>
    <w:rsid w:val="006201CA"/>
    <w:rsid w:val="00620742"/>
    <w:rsid w:val="006218A8"/>
    <w:rsid w:val="00622781"/>
    <w:rsid w:val="00622E30"/>
    <w:rsid w:val="006252A2"/>
    <w:rsid w:val="006255A0"/>
    <w:rsid w:val="00626289"/>
    <w:rsid w:val="00627273"/>
    <w:rsid w:val="00630FDC"/>
    <w:rsid w:val="00631503"/>
    <w:rsid w:val="00631538"/>
    <w:rsid w:val="00632027"/>
    <w:rsid w:val="0063282A"/>
    <w:rsid w:val="0063293A"/>
    <w:rsid w:val="0063551E"/>
    <w:rsid w:val="00635A77"/>
    <w:rsid w:val="00635CB4"/>
    <w:rsid w:val="00635D33"/>
    <w:rsid w:val="00636178"/>
    <w:rsid w:val="00636E1F"/>
    <w:rsid w:val="00636ECE"/>
    <w:rsid w:val="00640268"/>
    <w:rsid w:val="00641763"/>
    <w:rsid w:val="00642DB7"/>
    <w:rsid w:val="00642FC7"/>
    <w:rsid w:val="0064361A"/>
    <w:rsid w:val="006444EE"/>
    <w:rsid w:val="00644ABC"/>
    <w:rsid w:val="00644CA6"/>
    <w:rsid w:val="00644D01"/>
    <w:rsid w:val="00644D07"/>
    <w:rsid w:val="00644DEF"/>
    <w:rsid w:val="00645CB1"/>
    <w:rsid w:val="00646503"/>
    <w:rsid w:val="00650F24"/>
    <w:rsid w:val="006518B2"/>
    <w:rsid w:val="00652604"/>
    <w:rsid w:val="00652993"/>
    <w:rsid w:val="00652AFE"/>
    <w:rsid w:val="0065423D"/>
    <w:rsid w:val="006549DB"/>
    <w:rsid w:val="00654F12"/>
    <w:rsid w:val="0065542F"/>
    <w:rsid w:val="00656007"/>
    <w:rsid w:val="006560EC"/>
    <w:rsid w:val="00656F1C"/>
    <w:rsid w:val="006578E3"/>
    <w:rsid w:val="0066024A"/>
    <w:rsid w:val="006602C6"/>
    <w:rsid w:val="0066053E"/>
    <w:rsid w:val="00663FDE"/>
    <w:rsid w:val="00664254"/>
    <w:rsid w:val="006651E6"/>
    <w:rsid w:val="00667228"/>
    <w:rsid w:val="006677B7"/>
    <w:rsid w:val="006700AD"/>
    <w:rsid w:val="00670997"/>
    <w:rsid w:val="00670DA1"/>
    <w:rsid w:val="006718EA"/>
    <w:rsid w:val="00671D22"/>
    <w:rsid w:val="0067273E"/>
    <w:rsid w:val="006729C9"/>
    <w:rsid w:val="00672DCD"/>
    <w:rsid w:val="00674BBC"/>
    <w:rsid w:val="0067523E"/>
    <w:rsid w:val="0067628D"/>
    <w:rsid w:val="00676431"/>
    <w:rsid w:val="00676C13"/>
    <w:rsid w:val="00680F86"/>
    <w:rsid w:val="006822B8"/>
    <w:rsid w:val="0068306D"/>
    <w:rsid w:val="00684C75"/>
    <w:rsid w:val="00684F5A"/>
    <w:rsid w:val="00685FDD"/>
    <w:rsid w:val="00686057"/>
    <w:rsid w:val="00686295"/>
    <w:rsid w:val="006862AD"/>
    <w:rsid w:val="0068643C"/>
    <w:rsid w:val="00686B37"/>
    <w:rsid w:val="006875A9"/>
    <w:rsid w:val="00691010"/>
    <w:rsid w:val="00691646"/>
    <w:rsid w:val="00692B8A"/>
    <w:rsid w:val="0069444E"/>
    <w:rsid w:val="006946A4"/>
    <w:rsid w:val="006949F4"/>
    <w:rsid w:val="00695A51"/>
    <w:rsid w:val="00695C30"/>
    <w:rsid w:val="0069651A"/>
    <w:rsid w:val="0069686C"/>
    <w:rsid w:val="006969DD"/>
    <w:rsid w:val="00696A0A"/>
    <w:rsid w:val="006975A0"/>
    <w:rsid w:val="006979E7"/>
    <w:rsid w:val="00697A32"/>
    <w:rsid w:val="00697B7A"/>
    <w:rsid w:val="006A128E"/>
    <w:rsid w:val="006A16EE"/>
    <w:rsid w:val="006A1A1F"/>
    <w:rsid w:val="006A2AC7"/>
    <w:rsid w:val="006A4363"/>
    <w:rsid w:val="006A4449"/>
    <w:rsid w:val="006A48A5"/>
    <w:rsid w:val="006A56EA"/>
    <w:rsid w:val="006A5D24"/>
    <w:rsid w:val="006A5D78"/>
    <w:rsid w:val="006A6541"/>
    <w:rsid w:val="006A6A50"/>
    <w:rsid w:val="006A6C51"/>
    <w:rsid w:val="006A6E88"/>
    <w:rsid w:val="006A6EAA"/>
    <w:rsid w:val="006A76CD"/>
    <w:rsid w:val="006B07B8"/>
    <w:rsid w:val="006B0835"/>
    <w:rsid w:val="006B0FFF"/>
    <w:rsid w:val="006B2A33"/>
    <w:rsid w:val="006B3C47"/>
    <w:rsid w:val="006B3CBC"/>
    <w:rsid w:val="006B44A6"/>
    <w:rsid w:val="006B464B"/>
    <w:rsid w:val="006B4EAA"/>
    <w:rsid w:val="006B5E74"/>
    <w:rsid w:val="006B77FF"/>
    <w:rsid w:val="006B7825"/>
    <w:rsid w:val="006C0BB3"/>
    <w:rsid w:val="006C16C1"/>
    <w:rsid w:val="006C21A0"/>
    <w:rsid w:val="006C341C"/>
    <w:rsid w:val="006C3AEA"/>
    <w:rsid w:val="006C503E"/>
    <w:rsid w:val="006C5170"/>
    <w:rsid w:val="006C5895"/>
    <w:rsid w:val="006C5CE0"/>
    <w:rsid w:val="006C6306"/>
    <w:rsid w:val="006C7272"/>
    <w:rsid w:val="006C768A"/>
    <w:rsid w:val="006D082D"/>
    <w:rsid w:val="006D1DCA"/>
    <w:rsid w:val="006D2FFB"/>
    <w:rsid w:val="006D484E"/>
    <w:rsid w:val="006D516D"/>
    <w:rsid w:val="006D55CE"/>
    <w:rsid w:val="006D6350"/>
    <w:rsid w:val="006D6380"/>
    <w:rsid w:val="006D696E"/>
    <w:rsid w:val="006D6C1E"/>
    <w:rsid w:val="006E0E23"/>
    <w:rsid w:val="006E2766"/>
    <w:rsid w:val="006E3706"/>
    <w:rsid w:val="006E3CFA"/>
    <w:rsid w:val="006E6521"/>
    <w:rsid w:val="006E65B3"/>
    <w:rsid w:val="006E693F"/>
    <w:rsid w:val="006E7859"/>
    <w:rsid w:val="006E7BA0"/>
    <w:rsid w:val="006F09D9"/>
    <w:rsid w:val="006F134B"/>
    <w:rsid w:val="006F1C9F"/>
    <w:rsid w:val="006F1EB3"/>
    <w:rsid w:val="006F2023"/>
    <w:rsid w:val="006F2090"/>
    <w:rsid w:val="006F2E66"/>
    <w:rsid w:val="006F3AE7"/>
    <w:rsid w:val="006F44E2"/>
    <w:rsid w:val="006F4C69"/>
    <w:rsid w:val="006F51A4"/>
    <w:rsid w:val="006F537A"/>
    <w:rsid w:val="006F5BFF"/>
    <w:rsid w:val="006F5F77"/>
    <w:rsid w:val="006F68AA"/>
    <w:rsid w:val="006F68C8"/>
    <w:rsid w:val="006F73CD"/>
    <w:rsid w:val="006F7538"/>
    <w:rsid w:val="00700A58"/>
    <w:rsid w:val="00701456"/>
    <w:rsid w:val="00701904"/>
    <w:rsid w:val="007033B2"/>
    <w:rsid w:val="00703B7E"/>
    <w:rsid w:val="00703C83"/>
    <w:rsid w:val="0070480B"/>
    <w:rsid w:val="00705F7A"/>
    <w:rsid w:val="0070725A"/>
    <w:rsid w:val="007100D7"/>
    <w:rsid w:val="00711545"/>
    <w:rsid w:val="00712C39"/>
    <w:rsid w:val="0071342E"/>
    <w:rsid w:val="00713838"/>
    <w:rsid w:val="00713E40"/>
    <w:rsid w:val="0071575D"/>
    <w:rsid w:val="00715C6F"/>
    <w:rsid w:val="00716242"/>
    <w:rsid w:val="00716C2E"/>
    <w:rsid w:val="00716EA8"/>
    <w:rsid w:val="00720D68"/>
    <w:rsid w:val="007211E2"/>
    <w:rsid w:val="007215B8"/>
    <w:rsid w:val="00721A3A"/>
    <w:rsid w:val="007228BC"/>
    <w:rsid w:val="00723402"/>
    <w:rsid w:val="00724336"/>
    <w:rsid w:val="007244CA"/>
    <w:rsid w:val="007245DF"/>
    <w:rsid w:val="0072478D"/>
    <w:rsid w:val="00724C50"/>
    <w:rsid w:val="00725008"/>
    <w:rsid w:val="00725781"/>
    <w:rsid w:val="00725D2F"/>
    <w:rsid w:val="00726E34"/>
    <w:rsid w:val="007303CB"/>
    <w:rsid w:val="007307FF"/>
    <w:rsid w:val="00732878"/>
    <w:rsid w:val="00732D32"/>
    <w:rsid w:val="00734CA3"/>
    <w:rsid w:val="00734F54"/>
    <w:rsid w:val="00735421"/>
    <w:rsid w:val="00735832"/>
    <w:rsid w:val="00735AE3"/>
    <w:rsid w:val="00735F9B"/>
    <w:rsid w:val="007361EF"/>
    <w:rsid w:val="0073620A"/>
    <w:rsid w:val="00741583"/>
    <w:rsid w:val="007440F7"/>
    <w:rsid w:val="007450FE"/>
    <w:rsid w:val="007452BD"/>
    <w:rsid w:val="00745D85"/>
    <w:rsid w:val="00746CA8"/>
    <w:rsid w:val="00746F4B"/>
    <w:rsid w:val="007475AD"/>
    <w:rsid w:val="007502D0"/>
    <w:rsid w:val="00751355"/>
    <w:rsid w:val="0075162C"/>
    <w:rsid w:val="00753987"/>
    <w:rsid w:val="00753AAF"/>
    <w:rsid w:val="00753F06"/>
    <w:rsid w:val="00754D2A"/>
    <w:rsid w:val="0075583B"/>
    <w:rsid w:val="00756942"/>
    <w:rsid w:val="00756F30"/>
    <w:rsid w:val="007611B8"/>
    <w:rsid w:val="007618F5"/>
    <w:rsid w:val="00761E5F"/>
    <w:rsid w:val="00762C9E"/>
    <w:rsid w:val="00763D4A"/>
    <w:rsid w:val="00764663"/>
    <w:rsid w:val="0076559B"/>
    <w:rsid w:val="007659DE"/>
    <w:rsid w:val="0076672F"/>
    <w:rsid w:val="00766793"/>
    <w:rsid w:val="00771C11"/>
    <w:rsid w:val="00771CDE"/>
    <w:rsid w:val="00773052"/>
    <w:rsid w:val="007739D4"/>
    <w:rsid w:val="0077440F"/>
    <w:rsid w:val="00775052"/>
    <w:rsid w:val="00776983"/>
    <w:rsid w:val="00776BBB"/>
    <w:rsid w:val="0077743A"/>
    <w:rsid w:val="00780961"/>
    <w:rsid w:val="007824A1"/>
    <w:rsid w:val="0078490F"/>
    <w:rsid w:val="00785718"/>
    <w:rsid w:val="00785AEB"/>
    <w:rsid w:val="00791C35"/>
    <w:rsid w:val="00792499"/>
    <w:rsid w:val="00792D91"/>
    <w:rsid w:val="00793716"/>
    <w:rsid w:val="007939BB"/>
    <w:rsid w:val="0079498D"/>
    <w:rsid w:val="0079571F"/>
    <w:rsid w:val="0079585B"/>
    <w:rsid w:val="00796383"/>
    <w:rsid w:val="007963E2"/>
    <w:rsid w:val="007A1827"/>
    <w:rsid w:val="007A21D5"/>
    <w:rsid w:val="007A310D"/>
    <w:rsid w:val="007A4749"/>
    <w:rsid w:val="007A49AB"/>
    <w:rsid w:val="007A4BE2"/>
    <w:rsid w:val="007A4D60"/>
    <w:rsid w:val="007A66F4"/>
    <w:rsid w:val="007A6EA5"/>
    <w:rsid w:val="007A7115"/>
    <w:rsid w:val="007B14EB"/>
    <w:rsid w:val="007B154E"/>
    <w:rsid w:val="007B21E3"/>
    <w:rsid w:val="007B2427"/>
    <w:rsid w:val="007B2998"/>
    <w:rsid w:val="007B43DD"/>
    <w:rsid w:val="007B4747"/>
    <w:rsid w:val="007B4C38"/>
    <w:rsid w:val="007B5284"/>
    <w:rsid w:val="007B5B2C"/>
    <w:rsid w:val="007B6202"/>
    <w:rsid w:val="007B7989"/>
    <w:rsid w:val="007C03C4"/>
    <w:rsid w:val="007C0A9A"/>
    <w:rsid w:val="007C2A3F"/>
    <w:rsid w:val="007C30F4"/>
    <w:rsid w:val="007C33DB"/>
    <w:rsid w:val="007C36DB"/>
    <w:rsid w:val="007C40A5"/>
    <w:rsid w:val="007C4E70"/>
    <w:rsid w:val="007C68E6"/>
    <w:rsid w:val="007C7776"/>
    <w:rsid w:val="007D1BA4"/>
    <w:rsid w:val="007D1F16"/>
    <w:rsid w:val="007D36D1"/>
    <w:rsid w:val="007D4905"/>
    <w:rsid w:val="007D59A2"/>
    <w:rsid w:val="007D6314"/>
    <w:rsid w:val="007D68D9"/>
    <w:rsid w:val="007D77C0"/>
    <w:rsid w:val="007D7E93"/>
    <w:rsid w:val="007E15E1"/>
    <w:rsid w:val="007E327D"/>
    <w:rsid w:val="007E5100"/>
    <w:rsid w:val="007E5B36"/>
    <w:rsid w:val="007E63AB"/>
    <w:rsid w:val="007E6D31"/>
    <w:rsid w:val="007F03DB"/>
    <w:rsid w:val="007F0C76"/>
    <w:rsid w:val="007F0D2C"/>
    <w:rsid w:val="007F1537"/>
    <w:rsid w:val="007F1A3B"/>
    <w:rsid w:val="007F1F88"/>
    <w:rsid w:val="007F2142"/>
    <w:rsid w:val="007F26D8"/>
    <w:rsid w:val="007F2F37"/>
    <w:rsid w:val="007F3072"/>
    <w:rsid w:val="007F32B3"/>
    <w:rsid w:val="007F56B6"/>
    <w:rsid w:val="007F6118"/>
    <w:rsid w:val="007F6143"/>
    <w:rsid w:val="007F6261"/>
    <w:rsid w:val="007F7103"/>
    <w:rsid w:val="007F7B4B"/>
    <w:rsid w:val="00801031"/>
    <w:rsid w:val="00801E12"/>
    <w:rsid w:val="00803403"/>
    <w:rsid w:val="00803988"/>
    <w:rsid w:val="00803D5D"/>
    <w:rsid w:val="00810AB9"/>
    <w:rsid w:val="008116F2"/>
    <w:rsid w:val="008127D7"/>
    <w:rsid w:val="008132F0"/>
    <w:rsid w:val="0081394B"/>
    <w:rsid w:val="008140BD"/>
    <w:rsid w:val="00814726"/>
    <w:rsid w:val="00814D8D"/>
    <w:rsid w:val="0081513A"/>
    <w:rsid w:val="0081524A"/>
    <w:rsid w:val="00815272"/>
    <w:rsid w:val="008152B5"/>
    <w:rsid w:val="00815A14"/>
    <w:rsid w:val="00815A30"/>
    <w:rsid w:val="0081629C"/>
    <w:rsid w:val="00817541"/>
    <w:rsid w:val="0081763F"/>
    <w:rsid w:val="00817E4D"/>
    <w:rsid w:val="00821485"/>
    <w:rsid w:val="008215BB"/>
    <w:rsid w:val="00821CA5"/>
    <w:rsid w:val="00822813"/>
    <w:rsid w:val="00824358"/>
    <w:rsid w:val="00824954"/>
    <w:rsid w:val="008255D1"/>
    <w:rsid w:val="0082655C"/>
    <w:rsid w:val="00827570"/>
    <w:rsid w:val="008278F1"/>
    <w:rsid w:val="00831829"/>
    <w:rsid w:val="00831D20"/>
    <w:rsid w:val="00832129"/>
    <w:rsid w:val="0083249C"/>
    <w:rsid w:val="00832682"/>
    <w:rsid w:val="00832AD4"/>
    <w:rsid w:val="0083335E"/>
    <w:rsid w:val="00834052"/>
    <w:rsid w:val="00834ECA"/>
    <w:rsid w:val="008350E0"/>
    <w:rsid w:val="00841524"/>
    <w:rsid w:val="008423B6"/>
    <w:rsid w:val="00842ABE"/>
    <w:rsid w:val="00842BD2"/>
    <w:rsid w:val="008434C1"/>
    <w:rsid w:val="00843505"/>
    <w:rsid w:val="008451FA"/>
    <w:rsid w:val="00845699"/>
    <w:rsid w:val="00847976"/>
    <w:rsid w:val="00850A67"/>
    <w:rsid w:val="0085115A"/>
    <w:rsid w:val="008516B1"/>
    <w:rsid w:val="00851AD4"/>
    <w:rsid w:val="0085227B"/>
    <w:rsid w:val="00852361"/>
    <w:rsid w:val="008529A1"/>
    <w:rsid w:val="00853B5F"/>
    <w:rsid w:val="00855118"/>
    <w:rsid w:val="008571F8"/>
    <w:rsid w:val="008571FB"/>
    <w:rsid w:val="00857296"/>
    <w:rsid w:val="008578AD"/>
    <w:rsid w:val="00861A27"/>
    <w:rsid w:val="00861F09"/>
    <w:rsid w:val="0086220F"/>
    <w:rsid w:val="00862338"/>
    <w:rsid w:val="00863189"/>
    <w:rsid w:val="00863B0F"/>
    <w:rsid w:val="008644E1"/>
    <w:rsid w:val="00864A94"/>
    <w:rsid w:val="00865E23"/>
    <w:rsid w:val="008662FA"/>
    <w:rsid w:val="008675C5"/>
    <w:rsid w:val="00867C8F"/>
    <w:rsid w:val="0087134F"/>
    <w:rsid w:val="008737DC"/>
    <w:rsid w:val="00874BC6"/>
    <w:rsid w:val="00874CF8"/>
    <w:rsid w:val="00876615"/>
    <w:rsid w:val="008777EE"/>
    <w:rsid w:val="0087780D"/>
    <w:rsid w:val="008779B1"/>
    <w:rsid w:val="00877C2B"/>
    <w:rsid w:val="00877DED"/>
    <w:rsid w:val="00880655"/>
    <w:rsid w:val="00880EBE"/>
    <w:rsid w:val="0088104A"/>
    <w:rsid w:val="008826D3"/>
    <w:rsid w:val="008826FA"/>
    <w:rsid w:val="00882D76"/>
    <w:rsid w:val="00884220"/>
    <w:rsid w:val="00884991"/>
    <w:rsid w:val="0088766F"/>
    <w:rsid w:val="00887C8C"/>
    <w:rsid w:val="00887E1E"/>
    <w:rsid w:val="00890182"/>
    <w:rsid w:val="00891761"/>
    <w:rsid w:val="00891DAB"/>
    <w:rsid w:val="00892C8D"/>
    <w:rsid w:val="00892E79"/>
    <w:rsid w:val="00893986"/>
    <w:rsid w:val="00894459"/>
    <w:rsid w:val="008947EF"/>
    <w:rsid w:val="00894DAD"/>
    <w:rsid w:val="008958E5"/>
    <w:rsid w:val="0089603D"/>
    <w:rsid w:val="00896116"/>
    <w:rsid w:val="008A02A4"/>
    <w:rsid w:val="008A0E42"/>
    <w:rsid w:val="008A1611"/>
    <w:rsid w:val="008A219D"/>
    <w:rsid w:val="008A2840"/>
    <w:rsid w:val="008A3524"/>
    <w:rsid w:val="008A3EB2"/>
    <w:rsid w:val="008A3FAB"/>
    <w:rsid w:val="008A430E"/>
    <w:rsid w:val="008A54B4"/>
    <w:rsid w:val="008A6170"/>
    <w:rsid w:val="008A6352"/>
    <w:rsid w:val="008A6EF2"/>
    <w:rsid w:val="008A73C3"/>
    <w:rsid w:val="008A7D5E"/>
    <w:rsid w:val="008A7E8F"/>
    <w:rsid w:val="008B03BE"/>
    <w:rsid w:val="008B169D"/>
    <w:rsid w:val="008B18D6"/>
    <w:rsid w:val="008B1BC6"/>
    <w:rsid w:val="008B1FF9"/>
    <w:rsid w:val="008B2EF9"/>
    <w:rsid w:val="008B5738"/>
    <w:rsid w:val="008B5F4B"/>
    <w:rsid w:val="008B65A0"/>
    <w:rsid w:val="008B74BD"/>
    <w:rsid w:val="008B7B41"/>
    <w:rsid w:val="008C16E9"/>
    <w:rsid w:val="008C1E0C"/>
    <w:rsid w:val="008C2432"/>
    <w:rsid w:val="008C26B7"/>
    <w:rsid w:val="008C28AC"/>
    <w:rsid w:val="008C2ABE"/>
    <w:rsid w:val="008C2D07"/>
    <w:rsid w:val="008C459A"/>
    <w:rsid w:val="008C4D28"/>
    <w:rsid w:val="008C6AE4"/>
    <w:rsid w:val="008C6AF8"/>
    <w:rsid w:val="008C703B"/>
    <w:rsid w:val="008C7411"/>
    <w:rsid w:val="008C7680"/>
    <w:rsid w:val="008C7FBD"/>
    <w:rsid w:val="008D0C6C"/>
    <w:rsid w:val="008D1998"/>
    <w:rsid w:val="008D1B89"/>
    <w:rsid w:val="008D2737"/>
    <w:rsid w:val="008D28BF"/>
    <w:rsid w:val="008D340E"/>
    <w:rsid w:val="008D485A"/>
    <w:rsid w:val="008D4A66"/>
    <w:rsid w:val="008D4E7B"/>
    <w:rsid w:val="008D6A0A"/>
    <w:rsid w:val="008D6DEA"/>
    <w:rsid w:val="008D6E13"/>
    <w:rsid w:val="008D729F"/>
    <w:rsid w:val="008D7541"/>
    <w:rsid w:val="008D7C59"/>
    <w:rsid w:val="008D7D6E"/>
    <w:rsid w:val="008E1C4D"/>
    <w:rsid w:val="008E1ED8"/>
    <w:rsid w:val="008E2220"/>
    <w:rsid w:val="008E32E3"/>
    <w:rsid w:val="008E3797"/>
    <w:rsid w:val="008E5910"/>
    <w:rsid w:val="008E6B77"/>
    <w:rsid w:val="008E6C1D"/>
    <w:rsid w:val="008E7046"/>
    <w:rsid w:val="008E77B6"/>
    <w:rsid w:val="008F0B35"/>
    <w:rsid w:val="008F169F"/>
    <w:rsid w:val="008F2D63"/>
    <w:rsid w:val="008F3F31"/>
    <w:rsid w:val="008F52E2"/>
    <w:rsid w:val="008F7837"/>
    <w:rsid w:val="008F7B0E"/>
    <w:rsid w:val="00900C0C"/>
    <w:rsid w:val="009024CA"/>
    <w:rsid w:val="009025B4"/>
    <w:rsid w:val="009026B3"/>
    <w:rsid w:val="009030BF"/>
    <w:rsid w:val="009036B7"/>
    <w:rsid w:val="00903C2D"/>
    <w:rsid w:val="009040E2"/>
    <w:rsid w:val="0090529E"/>
    <w:rsid w:val="0090680C"/>
    <w:rsid w:val="009078A9"/>
    <w:rsid w:val="0091018D"/>
    <w:rsid w:val="00912C89"/>
    <w:rsid w:val="00914A81"/>
    <w:rsid w:val="00915CDD"/>
    <w:rsid w:val="00917936"/>
    <w:rsid w:val="00917F50"/>
    <w:rsid w:val="00920948"/>
    <w:rsid w:val="00921633"/>
    <w:rsid w:val="0092165D"/>
    <w:rsid w:val="00922D15"/>
    <w:rsid w:val="00922FC4"/>
    <w:rsid w:val="00923CEF"/>
    <w:rsid w:val="00924280"/>
    <w:rsid w:val="00926856"/>
    <w:rsid w:val="00926950"/>
    <w:rsid w:val="0092718C"/>
    <w:rsid w:val="0093094D"/>
    <w:rsid w:val="0093237E"/>
    <w:rsid w:val="009323D5"/>
    <w:rsid w:val="00932E47"/>
    <w:rsid w:val="00933172"/>
    <w:rsid w:val="00934127"/>
    <w:rsid w:val="0093457A"/>
    <w:rsid w:val="00935371"/>
    <w:rsid w:val="00935923"/>
    <w:rsid w:val="00935944"/>
    <w:rsid w:val="00935FE4"/>
    <w:rsid w:val="00937891"/>
    <w:rsid w:val="009378E1"/>
    <w:rsid w:val="009379B8"/>
    <w:rsid w:val="00937A62"/>
    <w:rsid w:val="00940705"/>
    <w:rsid w:val="00940E51"/>
    <w:rsid w:val="009412DD"/>
    <w:rsid w:val="00941D9C"/>
    <w:rsid w:val="009425D8"/>
    <w:rsid w:val="009425FF"/>
    <w:rsid w:val="00942D0A"/>
    <w:rsid w:val="0094327C"/>
    <w:rsid w:val="009451EB"/>
    <w:rsid w:val="0094643F"/>
    <w:rsid w:val="00951382"/>
    <w:rsid w:val="0095163D"/>
    <w:rsid w:val="00951778"/>
    <w:rsid w:val="009519D6"/>
    <w:rsid w:val="00951CBA"/>
    <w:rsid w:val="009525D9"/>
    <w:rsid w:val="009525F8"/>
    <w:rsid w:val="009529A6"/>
    <w:rsid w:val="00953FD5"/>
    <w:rsid w:val="0095574A"/>
    <w:rsid w:val="00955D02"/>
    <w:rsid w:val="00960CFF"/>
    <w:rsid w:val="009612CB"/>
    <w:rsid w:val="0096207C"/>
    <w:rsid w:val="009623BB"/>
    <w:rsid w:val="00962546"/>
    <w:rsid w:val="0096279A"/>
    <w:rsid w:val="00962BEF"/>
    <w:rsid w:val="009635CF"/>
    <w:rsid w:val="00964984"/>
    <w:rsid w:val="009649B4"/>
    <w:rsid w:val="00966117"/>
    <w:rsid w:val="00970FBA"/>
    <w:rsid w:val="009712E3"/>
    <w:rsid w:val="00971703"/>
    <w:rsid w:val="00971B2A"/>
    <w:rsid w:val="0097335F"/>
    <w:rsid w:val="00973462"/>
    <w:rsid w:val="00973BC2"/>
    <w:rsid w:val="00977E53"/>
    <w:rsid w:val="0098100F"/>
    <w:rsid w:val="00981083"/>
    <w:rsid w:val="00981847"/>
    <w:rsid w:val="00981A6D"/>
    <w:rsid w:val="009821C8"/>
    <w:rsid w:val="00982403"/>
    <w:rsid w:val="009826F7"/>
    <w:rsid w:val="00985D2F"/>
    <w:rsid w:val="00985F26"/>
    <w:rsid w:val="009861CD"/>
    <w:rsid w:val="00986AE4"/>
    <w:rsid w:val="009871FD"/>
    <w:rsid w:val="0099172E"/>
    <w:rsid w:val="00991A49"/>
    <w:rsid w:val="00992672"/>
    <w:rsid w:val="00992AA5"/>
    <w:rsid w:val="00992E2B"/>
    <w:rsid w:val="00993723"/>
    <w:rsid w:val="009943B8"/>
    <w:rsid w:val="009966E1"/>
    <w:rsid w:val="00996AF7"/>
    <w:rsid w:val="0099758E"/>
    <w:rsid w:val="009A1301"/>
    <w:rsid w:val="009A13CB"/>
    <w:rsid w:val="009A1B01"/>
    <w:rsid w:val="009A1E17"/>
    <w:rsid w:val="009A2319"/>
    <w:rsid w:val="009A389F"/>
    <w:rsid w:val="009A6619"/>
    <w:rsid w:val="009A6BCD"/>
    <w:rsid w:val="009B0167"/>
    <w:rsid w:val="009B0F51"/>
    <w:rsid w:val="009B1D20"/>
    <w:rsid w:val="009B2935"/>
    <w:rsid w:val="009B3004"/>
    <w:rsid w:val="009B3F5A"/>
    <w:rsid w:val="009B443A"/>
    <w:rsid w:val="009B4ADF"/>
    <w:rsid w:val="009B536B"/>
    <w:rsid w:val="009B53EC"/>
    <w:rsid w:val="009B5CD3"/>
    <w:rsid w:val="009B6210"/>
    <w:rsid w:val="009B6321"/>
    <w:rsid w:val="009B765C"/>
    <w:rsid w:val="009C047D"/>
    <w:rsid w:val="009C192C"/>
    <w:rsid w:val="009C1DDB"/>
    <w:rsid w:val="009C1E05"/>
    <w:rsid w:val="009C20CF"/>
    <w:rsid w:val="009C2140"/>
    <w:rsid w:val="009C2A44"/>
    <w:rsid w:val="009C2D91"/>
    <w:rsid w:val="009C4CB0"/>
    <w:rsid w:val="009C6BDD"/>
    <w:rsid w:val="009C77C4"/>
    <w:rsid w:val="009D08E1"/>
    <w:rsid w:val="009D1A50"/>
    <w:rsid w:val="009D3E85"/>
    <w:rsid w:val="009D40B4"/>
    <w:rsid w:val="009D44F2"/>
    <w:rsid w:val="009D6551"/>
    <w:rsid w:val="009D68CE"/>
    <w:rsid w:val="009D6AB3"/>
    <w:rsid w:val="009D71A7"/>
    <w:rsid w:val="009D74E3"/>
    <w:rsid w:val="009D793A"/>
    <w:rsid w:val="009E0C1F"/>
    <w:rsid w:val="009E1F13"/>
    <w:rsid w:val="009E1F79"/>
    <w:rsid w:val="009E20AE"/>
    <w:rsid w:val="009E378E"/>
    <w:rsid w:val="009E38DB"/>
    <w:rsid w:val="009E3F7E"/>
    <w:rsid w:val="009E46B0"/>
    <w:rsid w:val="009E522D"/>
    <w:rsid w:val="009E56D6"/>
    <w:rsid w:val="009E5784"/>
    <w:rsid w:val="009F0098"/>
    <w:rsid w:val="009F1983"/>
    <w:rsid w:val="009F2297"/>
    <w:rsid w:val="009F280A"/>
    <w:rsid w:val="009F294D"/>
    <w:rsid w:val="009F3D87"/>
    <w:rsid w:val="009F56BC"/>
    <w:rsid w:val="009F5858"/>
    <w:rsid w:val="009F5B48"/>
    <w:rsid w:val="009F6E48"/>
    <w:rsid w:val="009F78AD"/>
    <w:rsid w:val="00A001AC"/>
    <w:rsid w:val="00A01D42"/>
    <w:rsid w:val="00A02C13"/>
    <w:rsid w:val="00A0335C"/>
    <w:rsid w:val="00A04501"/>
    <w:rsid w:val="00A049B5"/>
    <w:rsid w:val="00A053E9"/>
    <w:rsid w:val="00A05BF9"/>
    <w:rsid w:val="00A06E47"/>
    <w:rsid w:val="00A11E22"/>
    <w:rsid w:val="00A1241D"/>
    <w:rsid w:val="00A12720"/>
    <w:rsid w:val="00A14D4B"/>
    <w:rsid w:val="00A15B61"/>
    <w:rsid w:val="00A16AF2"/>
    <w:rsid w:val="00A17500"/>
    <w:rsid w:val="00A178E6"/>
    <w:rsid w:val="00A1796E"/>
    <w:rsid w:val="00A179CA"/>
    <w:rsid w:val="00A17A36"/>
    <w:rsid w:val="00A17E89"/>
    <w:rsid w:val="00A20F72"/>
    <w:rsid w:val="00A211C1"/>
    <w:rsid w:val="00A214D8"/>
    <w:rsid w:val="00A228F0"/>
    <w:rsid w:val="00A22C61"/>
    <w:rsid w:val="00A22FA0"/>
    <w:rsid w:val="00A239ED"/>
    <w:rsid w:val="00A241DA"/>
    <w:rsid w:val="00A242E7"/>
    <w:rsid w:val="00A24E26"/>
    <w:rsid w:val="00A25172"/>
    <w:rsid w:val="00A25751"/>
    <w:rsid w:val="00A25852"/>
    <w:rsid w:val="00A262D1"/>
    <w:rsid w:val="00A27206"/>
    <w:rsid w:val="00A3553D"/>
    <w:rsid w:val="00A3589B"/>
    <w:rsid w:val="00A35B46"/>
    <w:rsid w:val="00A362B4"/>
    <w:rsid w:val="00A3690B"/>
    <w:rsid w:val="00A36E75"/>
    <w:rsid w:val="00A3799E"/>
    <w:rsid w:val="00A4089F"/>
    <w:rsid w:val="00A4137A"/>
    <w:rsid w:val="00A422D5"/>
    <w:rsid w:val="00A424F2"/>
    <w:rsid w:val="00A42DE3"/>
    <w:rsid w:val="00A43635"/>
    <w:rsid w:val="00A43826"/>
    <w:rsid w:val="00A443F9"/>
    <w:rsid w:val="00A4579F"/>
    <w:rsid w:val="00A470F7"/>
    <w:rsid w:val="00A470F9"/>
    <w:rsid w:val="00A47967"/>
    <w:rsid w:val="00A5156E"/>
    <w:rsid w:val="00A5162E"/>
    <w:rsid w:val="00A51A79"/>
    <w:rsid w:val="00A523A6"/>
    <w:rsid w:val="00A526B1"/>
    <w:rsid w:val="00A52993"/>
    <w:rsid w:val="00A53256"/>
    <w:rsid w:val="00A53352"/>
    <w:rsid w:val="00A5408C"/>
    <w:rsid w:val="00A5475B"/>
    <w:rsid w:val="00A55A10"/>
    <w:rsid w:val="00A563C2"/>
    <w:rsid w:val="00A566D1"/>
    <w:rsid w:val="00A56EEC"/>
    <w:rsid w:val="00A57220"/>
    <w:rsid w:val="00A57D04"/>
    <w:rsid w:val="00A60762"/>
    <w:rsid w:val="00A616AF"/>
    <w:rsid w:val="00A63679"/>
    <w:rsid w:val="00A637AF"/>
    <w:rsid w:val="00A6496F"/>
    <w:rsid w:val="00A71AC2"/>
    <w:rsid w:val="00A71DEE"/>
    <w:rsid w:val="00A722BF"/>
    <w:rsid w:val="00A72487"/>
    <w:rsid w:val="00A72723"/>
    <w:rsid w:val="00A7279A"/>
    <w:rsid w:val="00A72A43"/>
    <w:rsid w:val="00A73F83"/>
    <w:rsid w:val="00A748AC"/>
    <w:rsid w:val="00A7498F"/>
    <w:rsid w:val="00A753CD"/>
    <w:rsid w:val="00A758E9"/>
    <w:rsid w:val="00A76B46"/>
    <w:rsid w:val="00A7725B"/>
    <w:rsid w:val="00A77A30"/>
    <w:rsid w:val="00A801B2"/>
    <w:rsid w:val="00A84728"/>
    <w:rsid w:val="00A851A6"/>
    <w:rsid w:val="00A860F6"/>
    <w:rsid w:val="00A87D68"/>
    <w:rsid w:val="00A90172"/>
    <w:rsid w:val="00A9024E"/>
    <w:rsid w:val="00A903EA"/>
    <w:rsid w:val="00A908BC"/>
    <w:rsid w:val="00A90D72"/>
    <w:rsid w:val="00A9121B"/>
    <w:rsid w:val="00A91EB0"/>
    <w:rsid w:val="00A937EB"/>
    <w:rsid w:val="00A94CF9"/>
    <w:rsid w:val="00A94EDE"/>
    <w:rsid w:val="00A94F03"/>
    <w:rsid w:val="00A95757"/>
    <w:rsid w:val="00A95930"/>
    <w:rsid w:val="00A962DD"/>
    <w:rsid w:val="00A96332"/>
    <w:rsid w:val="00A96EF9"/>
    <w:rsid w:val="00AA0115"/>
    <w:rsid w:val="00AA2868"/>
    <w:rsid w:val="00AA3D28"/>
    <w:rsid w:val="00AA550B"/>
    <w:rsid w:val="00AA57A2"/>
    <w:rsid w:val="00AA7D84"/>
    <w:rsid w:val="00AB124B"/>
    <w:rsid w:val="00AB1B40"/>
    <w:rsid w:val="00AB2E61"/>
    <w:rsid w:val="00AB3389"/>
    <w:rsid w:val="00AB3AA9"/>
    <w:rsid w:val="00AB4D6D"/>
    <w:rsid w:val="00AB56F1"/>
    <w:rsid w:val="00AB602F"/>
    <w:rsid w:val="00AB64DF"/>
    <w:rsid w:val="00AB7BD2"/>
    <w:rsid w:val="00AB7FB3"/>
    <w:rsid w:val="00AC113F"/>
    <w:rsid w:val="00AC1DBE"/>
    <w:rsid w:val="00AC24FD"/>
    <w:rsid w:val="00AC32E1"/>
    <w:rsid w:val="00AC3477"/>
    <w:rsid w:val="00AC3FDD"/>
    <w:rsid w:val="00AC47AA"/>
    <w:rsid w:val="00AC53C1"/>
    <w:rsid w:val="00AC69AD"/>
    <w:rsid w:val="00AC6BE4"/>
    <w:rsid w:val="00AD0E06"/>
    <w:rsid w:val="00AD2623"/>
    <w:rsid w:val="00AD28B3"/>
    <w:rsid w:val="00AD2FCC"/>
    <w:rsid w:val="00AD306D"/>
    <w:rsid w:val="00AD693E"/>
    <w:rsid w:val="00AD739B"/>
    <w:rsid w:val="00AE07F0"/>
    <w:rsid w:val="00AE0CDD"/>
    <w:rsid w:val="00AE1E20"/>
    <w:rsid w:val="00AE2144"/>
    <w:rsid w:val="00AE23F3"/>
    <w:rsid w:val="00AE3EC4"/>
    <w:rsid w:val="00AE41F8"/>
    <w:rsid w:val="00AE45AC"/>
    <w:rsid w:val="00AE4751"/>
    <w:rsid w:val="00AE5488"/>
    <w:rsid w:val="00AE5A82"/>
    <w:rsid w:val="00AE6146"/>
    <w:rsid w:val="00AF24BC"/>
    <w:rsid w:val="00AF4192"/>
    <w:rsid w:val="00AF46A1"/>
    <w:rsid w:val="00AF5C15"/>
    <w:rsid w:val="00AF6892"/>
    <w:rsid w:val="00AF7330"/>
    <w:rsid w:val="00AF797D"/>
    <w:rsid w:val="00AF7D44"/>
    <w:rsid w:val="00AF7F21"/>
    <w:rsid w:val="00B005C7"/>
    <w:rsid w:val="00B00789"/>
    <w:rsid w:val="00B0139B"/>
    <w:rsid w:val="00B03ACE"/>
    <w:rsid w:val="00B0432C"/>
    <w:rsid w:val="00B0549A"/>
    <w:rsid w:val="00B072B4"/>
    <w:rsid w:val="00B10669"/>
    <w:rsid w:val="00B10A75"/>
    <w:rsid w:val="00B10EB2"/>
    <w:rsid w:val="00B1260C"/>
    <w:rsid w:val="00B1445F"/>
    <w:rsid w:val="00B14C2A"/>
    <w:rsid w:val="00B1537E"/>
    <w:rsid w:val="00B15BC4"/>
    <w:rsid w:val="00B16131"/>
    <w:rsid w:val="00B16695"/>
    <w:rsid w:val="00B1695B"/>
    <w:rsid w:val="00B16DE0"/>
    <w:rsid w:val="00B16E1D"/>
    <w:rsid w:val="00B17D43"/>
    <w:rsid w:val="00B215B1"/>
    <w:rsid w:val="00B21B3C"/>
    <w:rsid w:val="00B21F82"/>
    <w:rsid w:val="00B22921"/>
    <w:rsid w:val="00B257FE"/>
    <w:rsid w:val="00B264A8"/>
    <w:rsid w:val="00B26EFF"/>
    <w:rsid w:val="00B3023C"/>
    <w:rsid w:val="00B3127D"/>
    <w:rsid w:val="00B32EE6"/>
    <w:rsid w:val="00B345F2"/>
    <w:rsid w:val="00B34B4F"/>
    <w:rsid w:val="00B36195"/>
    <w:rsid w:val="00B37ED2"/>
    <w:rsid w:val="00B37FC3"/>
    <w:rsid w:val="00B404B8"/>
    <w:rsid w:val="00B4052B"/>
    <w:rsid w:val="00B417BC"/>
    <w:rsid w:val="00B430DF"/>
    <w:rsid w:val="00B4448A"/>
    <w:rsid w:val="00B448A0"/>
    <w:rsid w:val="00B45B31"/>
    <w:rsid w:val="00B46965"/>
    <w:rsid w:val="00B4711E"/>
    <w:rsid w:val="00B471B4"/>
    <w:rsid w:val="00B4762F"/>
    <w:rsid w:val="00B47EEB"/>
    <w:rsid w:val="00B53348"/>
    <w:rsid w:val="00B5462D"/>
    <w:rsid w:val="00B54637"/>
    <w:rsid w:val="00B54A8D"/>
    <w:rsid w:val="00B54F7D"/>
    <w:rsid w:val="00B55D0F"/>
    <w:rsid w:val="00B56C04"/>
    <w:rsid w:val="00B56E26"/>
    <w:rsid w:val="00B57657"/>
    <w:rsid w:val="00B60C9F"/>
    <w:rsid w:val="00B60DB4"/>
    <w:rsid w:val="00B61008"/>
    <w:rsid w:val="00B61FF7"/>
    <w:rsid w:val="00B64307"/>
    <w:rsid w:val="00B64CDB"/>
    <w:rsid w:val="00B6592C"/>
    <w:rsid w:val="00B65DC6"/>
    <w:rsid w:val="00B6655C"/>
    <w:rsid w:val="00B672BA"/>
    <w:rsid w:val="00B70748"/>
    <w:rsid w:val="00B707F1"/>
    <w:rsid w:val="00B714A6"/>
    <w:rsid w:val="00B71618"/>
    <w:rsid w:val="00B71961"/>
    <w:rsid w:val="00B72B0C"/>
    <w:rsid w:val="00B72F28"/>
    <w:rsid w:val="00B74A4C"/>
    <w:rsid w:val="00B74B14"/>
    <w:rsid w:val="00B76005"/>
    <w:rsid w:val="00B763A7"/>
    <w:rsid w:val="00B76922"/>
    <w:rsid w:val="00B77120"/>
    <w:rsid w:val="00B80C3C"/>
    <w:rsid w:val="00B8250B"/>
    <w:rsid w:val="00B82884"/>
    <w:rsid w:val="00B8528F"/>
    <w:rsid w:val="00B86615"/>
    <w:rsid w:val="00B90BE3"/>
    <w:rsid w:val="00B92376"/>
    <w:rsid w:val="00B9398F"/>
    <w:rsid w:val="00B93C5E"/>
    <w:rsid w:val="00B94957"/>
    <w:rsid w:val="00B95567"/>
    <w:rsid w:val="00B9559C"/>
    <w:rsid w:val="00B95D07"/>
    <w:rsid w:val="00B96730"/>
    <w:rsid w:val="00B97C23"/>
    <w:rsid w:val="00B97C9F"/>
    <w:rsid w:val="00BA04BC"/>
    <w:rsid w:val="00BA09CA"/>
    <w:rsid w:val="00BA0A64"/>
    <w:rsid w:val="00BA1C6E"/>
    <w:rsid w:val="00BA1EFB"/>
    <w:rsid w:val="00BA2169"/>
    <w:rsid w:val="00BA2FB0"/>
    <w:rsid w:val="00BA30AF"/>
    <w:rsid w:val="00BA3429"/>
    <w:rsid w:val="00BA4204"/>
    <w:rsid w:val="00BA62D9"/>
    <w:rsid w:val="00BB01CD"/>
    <w:rsid w:val="00BB2AA3"/>
    <w:rsid w:val="00BB2C10"/>
    <w:rsid w:val="00BB2E3D"/>
    <w:rsid w:val="00BB49DF"/>
    <w:rsid w:val="00BB4E12"/>
    <w:rsid w:val="00BB60F0"/>
    <w:rsid w:val="00BB6690"/>
    <w:rsid w:val="00BB6992"/>
    <w:rsid w:val="00BB752D"/>
    <w:rsid w:val="00BB7622"/>
    <w:rsid w:val="00BC1463"/>
    <w:rsid w:val="00BC1F06"/>
    <w:rsid w:val="00BC2456"/>
    <w:rsid w:val="00BC3882"/>
    <w:rsid w:val="00BC45CF"/>
    <w:rsid w:val="00BC470D"/>
    <w:rsid w:val="00BC4856"/>
    <w:rsid w:val="00BC58A6"/>
    <w:rsid w:val="00BD0666"/>
    <w:rsid w:val="00BD0966"/>
    <w:rsid w:val="00BD0F66"/>
    <w:rsid w:val="00BD2BDE"/>
    <w:rsid w:val="00BD38A1"/>
    <w:rsid w:val="00BD3CDB"/>
    <w:rsid w:val="00BD4777"/>
    <w:rsid w:val="00BD4F2D"/>
    <w:rsid w:val="00BD6138"/>
    <w:rsid w:val="00BD63B3"/>
    <w:rsid w:val="00BD7CF5"/>
    <w:rsid w:val="00BE02EA"/>
    <w:rsid w:val="00BE0863"/>
    <w:rsid w:val="00BE154E"/>
    <w:rsid w:val="00BE2843"/>
    <w:rsid w:val="00BE3992"/>
    <w:rsid w:val="00BE4C2D"/>
    <w:rsid w:val="00BE4D97"/>
    <w:rsid w:val="00BE4F22"/>
    <w:rsid w:val="00BE4F69"/>
    <w:rsid w:val="00BE56F2"/>
    <w:rsid w:val="00BE5EC4"/>
    <w:rsid w:val="00BE71CD"/>
    <w:rsid w:val="00BF0729"/>
    <w:rsid w:val="00BF090B"/>
    <w:rsid w:val="00BF0CED"/>
    <w:rsid w:val="00BF1D68"/>
    <w:rsid w:val="00BF1EB9"/>
    <w:rsid w:val="00BF258D"/>
    <w:rsid w:val="00BF2E32"/>
    <w:rsid w:val="00BF406D"/>
    <w:rsid w:val="00BF442B"/>
    <w:rsid w:val="00BF4EF0"/>
    <w:rsid w:val="00BF56C6"/>
    <w:rsid w:val="00BF5700"/>
    <w:rsid w:val="00BF5B76"/>
    <w:rsid w:val="00BF5FF1"/>
    <w:rsid w:val="00BF6542"/>
    <w:rsid w:val="00BF79DC"/>
    <w:rsid w:val="00C0017F"/>
    <w:rsid w:val="00C00673"/>
    <w:rsid w:val="00C01B25"/>
    <w:rsid w:val="00C02E85"/>
    <w:rsid w:val="00C030E1"/>
    <w:rsid w:val="00C03537"/>
    <w:rsid w:val="00C050CD"/>
    <w:rsid w:val="00C06852"/>
    <w:rsid w:val="00C06CB4"/>
    <w:rsid w:val="00C073F0"/>
    <w:rsid w:val="00C075BE"/>
    <w:rsid w:val="00C07709"/>
    <w:rsid w:val="00C1150B"/>
    <w:rsid w:val="00C120F8"/>
    <w:rsid w:val="00C12BF2"/>
    <w:rsid w:val="00C133C7"/>
    <w:rsid w:val="00C13508"/>
    <w:rsid w:val="00C13BCA"/>
    <w:rsid w:val="00C13EAB"/>
    <w:rsid w:val="00C13EE2"/>
    <w:rsid w:val="00C14B7E"/>
    <w:rsid w:val="00C158B6"/>
    <w:rsid w:val="00C16907"/>
    <w:rsid w:val="00C169C0"/>
    <w:rsid w:val="00C171BF"/>
    <w:rsid w:val="00C2037E"/>
    <w:rsid w:val="00C2286C"/>
    <w:rsid w:val="00C2388E"/>
    <w:rsid w:val="00C24661"/>
    <w:rsid w:val="00C246FF"/>
    <w:rsid w:val="00C25A36"/>
    <w:rsid w:val="00C261AE"/>
    <w:rsid w:val="00C270BF"/>
    <w:rsid w:val="00C272D9"/>
    <w:rsid w:val="00C30B73"/>
    <w:rsid w:val="00C318F7"/>
    <w:rsid w:val="00C321E8"/>
    <w:rsid w:val="00C33BE9"/>
    <w:rsid w:val="00C34186"/>
    <w:rsid w:val="00C3481D"/>
    <w:rsid w:val="00C34B9B"/>
    <w:rsid w:val="00C351B5"/>
    <w:rsid w:val="00C35D3F"/>
    <w:rsid w:val="00C36C49"/>
    <w:rsid w:val="00C37CDA"/>
    <w:rsid w:val="00C4056B"/>
    <w:rsid w:val="00C420F8"/>
    <w:rsid w:val="00C42D13"/>
    <w:rsid w:val="00C43E96"/>
    <w:rsid w:val="00C453A4"/>
    <w:rsid w:val="00C46347"/>
    <w:rsid w:val="00C46A67"/>
    <w:rsid w:val="00C478DC"/>
    <w:rsid w:val="00C5072A"/>
    <w:rsid w:val="00C522BF"/>
    <w:rsid w:val="00C54607"/>
    <w:rsid w:val="00C54759"/>
    <w:rsid w:val="00C54888"/>
    <w:rsid w:val="00C5541B"/>
    <w:rsid w:val="00C56935"/>
    <w:rsid w:val="00C571DE"/>
    <w:rsid w:val="00C576CF"/>
    <w:rsid w:val="00C60271"/>
    <w:rsid w:val="00C60333"/>
    <w:rsid w:val="00C613FF"/>
    <w:rsid w:val="00C614AD"/>
    <w:rsid w:val="00C6193F"/>
    <w:rsid w:val="00C6260F"/>
    <w:rsid w:val="00C6261A"/>
    <w:rsid w:val="00C628D6"/>
    <w:rsid w:val="00C63EE2"/>
    <w:rsid w:val="00C64327"/>
    <w:rsid w:val="00C64BAA"/>
    <w:rsid w:val="00C65257"/>
    <w:rsid w:val="00C65E1D"/>
    <w:rsid w:val="00C65F76"/>
    <w:rsid w:val="00C662F5"/>
    <w:rsid w:val="00C66305"/>
    <w:rsid w:val="00C6656A"/>
    <w:rsid w:val="00C70675"/>
    <w:rsid w:val="00C712D6"/>
    <w:rsid w:val="00C72392"/>
    <w:rsid w:val="00C731A3"/>
    <w:rsid w:val="00C73FEE"/>
    <w:rsid w:val="00C745D3"/>
    <w:rsid w:val="00C75839"/>
    <w:rsid w:val="00C76B6A"/>
    <w:rsid w:val="00C76E26"/>
    <w:rsid w:val="00C771A1"/>
    <w:rsid w:val="00C81C53"/>
    <w:rsid w:val="00C8277B"/>
    <w:rsid w:val="00C82B21"/>
    <w:rsid w:val="00C82BF9"/>
    <w:rsid w:val="00C832A4"/>
    <w:rsid w:val="00C83DE2"/>
    <w:rsid w:val="00C84555"/>
    <w:rsid w:val="00C847B2"/>
    <w:rsid w:val="00C84F40"/>
    <w:rsid w:val="00C851F9"/>
    <w:rsid w:val="00C853D7"/>
    <w:rsid w:val="00C85ECD"/>
    <w:rsid w:val="00C85F01"/>
    <w:rsid w:val="00C8681B"/>
    <w:rsid w:val="00C873EC"/>
    <w:rsid w:val="00C9194A"/>
    <w:rsid w:val="00C9224E"/>
    <w:rsid w:val="00C925B6"/>
    <w:rsid w:val="00C94B60"/>
    <w:rsid w:val="00C9536D"/>
    <w:rsid w:val="00C96E9D"/>
    <w:rsid w:val="00C9720D"/>
    <w:rsid w:val="00CA215A"/>
    <w:rsid w:val="00CA2A4A"/>
    <w:rsid w:val="00CA322B"/>
    <w:rsid w:val="00CA3C60"/>
    <w:rsid w:val="00CA4749"/>
    <w:rsid w:val="00CA5F56"/>
    <w:rsid w:val="00CA6122"/>
    <w:rsid w:val="00CA64BA"/>
    <w:rsid w:val="00CA6650"/>
    <w:rsid w:val="00CA6F74"/>
    <w:rsid w:val="00CA7772"/>
    <w:rsid w:val="00CB127A"/>
    <w:rsid w:val="00CB1586"/>
    <w:rsid w:val="00CB27DD"/>
    <w:rsid w:val="00CB3416"/>
    <w:rsid w:val="00CB39D8"/>
    <w:rsid w:val="00CB3E9F"/>
    <w:rsid w:val="00CB4740"/>
    <w:rsid w:val="00CB4F3C"/>
    <w:rsid w:val="00CB70D0"/>
    <w:rsid w:val="00CB7B00"/>
    <w:rsid w:val="00CC1217"/>
    <w:rsid w:val="00CC18B7"/>
    <w:rsid w:val="00CC18C6"/>
    <w:rsid w:val="00CC21EB"/>
    <w:rsid w:val="00CC2816"/>
    <w:rsid w:val="00CC2A78"/>
    <w:rsid w:val="00CC3E21"/>
    <w:rsid w:val="00CC536C"/>
    <w:rsid w:val="00CC5A31"/>
    <w:rsid w:val="00CC5F46"/>
    <w:rsid w:val="00CC6BD8"/>
    <w:rsid w:val="00CC7F64"/>
    <w:rsid w:val="00CD0127"/>
    <w:rsid w:val="00CD041B"/>
    <w:rsid w:val="00CD1E2B"/>
    <w:rsid w:val="00CD2B03"/>
    <w:rsid w:val="00CD2B31"/>
    <w:rsid w:val="00CD2CC4"/>
    <w:rsid w:val="00CD3D32"/>
    <w:rsid w:val="00CD4AF6"/>
    <w:rsid w:val="00CD63AF"/>
    <w:rsid w:val="00CD664C"/>
    <w:rsid w:val="00CD67D0"/>
    <w:rsid w:val="00CD76D5"/>
    <w:rsid w:val="00CE0FC4"/>
    <w:rsid w:val="00CE12D3"/>
    <w:rsid w:val="00CE1B03"/>
    <w:rsid w:val="00CE3387"/>
    <w:rsid w:val="00CE47AA"/>
    <w:rsid w:val="00CE4CA8"/>
    <w:rsid w:val="00CE561C"/>
    <w:rsid w:val="00CE60C4"/>
    <w:rsid w:val="00CE75B9"/>
    <w:rsid w:val="00CE7A5B"/>
    <w:rsid w:val="00CE7C5A"/>
    <w:rsid w:val="00CF11D0"/>
    <w:rsid w:val="00CF18C7"/>
    <w:rsid w:val="00CF4E17"/>
    <w:rsid w:val="00CF575E"/>
    <w:rsid w:val="00CF602F"/>
    <w:rsid w:val="00CF6082"/>
    <w:rsid w:val="00CF62E3"/>
    <w:rsid w:val="00CF6F7D"/>
    <w:rsid w:val="00CF70F3"/>
    <w:rsid w:val="00CF7816"/>
    <w:rsid w:val="00CF7ACF"/>
    <w:rsid w:val="00D00236"/>
    <w:rsid w:val="00D02123"/>
    <w:rsid w:val="00D0247B"/>
    <w:rsid w:val="00D03B3F"/>
    <w:rsid w:val="00D04251"/>
    <w:rsid w:val="00D04601"/>
    <w:rsid w:val="00D049FA"/>
    <w:rsid w:val="00D0669E"/>
    <w:rsid w:val="00D069D3"/>
    <w:rsid w:val="00D077C4"/>
    <w:rsid w:val="00D10C6D"/>
    <w:rsid w:val="00D10D1C"/>
    <w:rsid w:val="00D11797"/>
    <w:rsid w:val="00D11C01"/>
    <w:rsid w:val="00D1233D"/>
    <w:rsid w:val="00D12C49"/>
    <w:rsid w:val="00D13C94"/>
    <w:rsid w:val="00D14440"/>
    <w:rsid w:val="00D14A7E"/>
    <w:rsid w:val="00D15092"/>
    <w:rsid w:val="00D15250"/>
    <w:rsid w:val="00D15E89"/>
    <w:rsid w:val="00D17308"/>
    <w:rsid w:val="00D177C3"/>
    <w:rsid w:val="00D2000B"/>
    <w:rsid w:val="00D203B9"/>
    <w:rsid w:val="00D20A96"/>
    <w:rsid w:val="00D2127E"/>
    <w:rsid w:val="00D219C1"/>
    <w:rsid w:val="00D21A3C"/>
    <w:rsid w:val="00D22E81"/>
    <w:rsid w:val="00D23309"/>
    <w:rsid w:val="00D23451"/>
    <w:rsid w:val="00D234A0"/>
    <w:rsid w:val="00D23E56"/>
    <w:rsid w:val="00D25345"/>
    <w:rsid w:val="00D254AE"/>
    <w:rsid w:val="00D25F3E"/>
    <w:rsid w:val="00D260B7"/>
    <w:rsid w:val="00D2627D"/>
    <w:rsid w:val="00D27C57"/>
    <w:rsid w:val="00D31333"/>
    <w:rsid w:val="00D31711"/>
    <w:rsid w:val="00D319E6"/>
    <w:rsid w:val="00D333C3"/>
    <w:rsid w:val="00D34700"/>
    <w:rsid w:val="00D34CAC"/>
    <w:rsid w:val="00D35A0B"/>
    <w:rsid w:val="00D35DEF"/>
    <w:rsid w:val="00D36264"/>
    <w:rsid w:val="00D36320"/>
    <w:rsid w:val="00D36E7A"/>
    <w:rsid w:val="00D377B0"/>
    <w:rsid w:val="00D37EBC"/>
    <w:rsid w:val="00D407AF"/>
    <w:rsid w:val="00D41CFF"/>
    <w:rsid w:val="00D42263"/>
    <w:rsid w:val="00D433F0"/>
    <w:rsid w:val="00D43D1A"/>
    <w:rsid w:val="00D43D4C"/>
    <w:rsid w:val="00D45FB2"/>
    <w:rsid w:val="00D46592"/>
    <w:rsid w:val="00D475C1"/>
    <w:rsid w:val="00D476A4"/>
    <w:rsid w:val="00D5077B"/>
    <w:rsid w:val="00D5244B"/>
    <w:rsid w:val="00D524B1"/>
    <w:rsid w:val="00D52954"/>
    <w:rsid w:val="00D52D9C"/>
    <w:rsid w:val="00D53669"/>
    <w:rsid w:val="00D548F3"/>
    <w:rsid w:val="00D54F3B"/>
    <w:rsid w:val="00D5658A"/>
    <w:rsid w:val="00D56AF9"/>
    <w:rsid w:val="00D57AC2"/>
    <w:rsid w:val="00D6009F"/>
    <w:rsid w:val="00D60F72"/>
    <w:rsid w:val="00D613F0"/>
    <w:rsid w:val="00D619D3"/>
    <w:rsid w:val="00D62506"/>
    <w:rsid w:val="00D62510"/>
    <w:rsid w:val="00D639BA"/>
    <w:rsid w:val="00D64E29"/>
    <w:rsid w:val="00D66BA8"/>
    <w:rsid w:val="00D66DE0"/>
    <w:rsid w:val="00D7211A"/>
    <w:rsid w:val="00D72359"/>
    <w:rsid w:val="00D73A9D"/>
    <w:rsid w:val="00D73B30"/>
    <w:rsid w:val="00D73E81"/>
    <w:rsid w:val="00D74B34"/>
    <w:rsid w:val="00D75862"/>
    <w:rsid w:val="00D76660"/>
    <w:rsid w:val="00D76F39"/>
    <w:rsid w:val="00D77632"/>
    <w:rsid w:val="00D77841"/>
    <w:rsid w:val="00D77B6F"/>
    <w:rsid w:val="00D80192"/>
    <w:rsid w:val="00D804D7"/>
    <w:rsid w:val="00D806CD"/>
    <w:rsid w:val="00D81784"/>
    <w:rsid w:val="00D817E8"/>
    <w:rsid w:val="00D818CD"/>
    <w:rsid w:val="00D81913"/>
    <w:rsid w:val="00D81CE7"/>
    <w:rsid w:val="00D826A4"/>
    <w:rsid w:val="00D844AF"/>
    <w:rsid w:val="00D84723"/>
    <w:rsid w:val="00D85701"/>
    <w:rsid w:val="00D85E1C"/>
    <w:rsid w:val="00D864E7"/>
    <w:rsid w:val="00D86E72"/>
    <w:rsid w:val="00D90CB8"/>
    <w:rsid w:val="00D91482"/>
    <w:rsid w:val="00D91FAE"/>
    <w:rsid w:val="00D93BE1"/>
    <w:rsid w:val="00D9411F"/>
    <w:rsid w:val="00D94359"/>
    <w:rsid w:val="00D95910"/>
    <w:rsid w:val="00D977DD"/>
    <w:rsid w:val="00D97BA7"/>
    <w:rsid w:val="00DA0832"/>
    <w:rsid w:val="00DA20E5"/>
    <w:rsid w:val="00DA47A8"/>
    <w:rsid w:val="00DA4E55"/>
    <w:rsid w:val="00DA7391"/>
    <w:rsid w:val="00DB0794"/>
    <w:rsid w:val="00DB10C8"/>
    <w:rsid w:val="00DB12B1"/>
    <w:rsid w:val="00DB2069"/>
    <w:rsid w:val="00DB2654"/>
    <w:rsid w:val="00DB2D5F"/>
    <w:rsid w:val="00DB4732"/>
    <w:rsid w:val="00DB4D57"/>
    <w:rsid w:val="00DB53A4"/>
    <w:rsid w:val="00DB5AFE"/>
    <w:rsid w:val="00DB6BCC"/>
    <w:rsid w:val="00DB72AE"/>
    <w:rsid w:val="00DB7682"/>
    <w:rsid w:val="00DB76E9"/>
    <w:rsid w:val="00DC0AB9"/>
    <w:rsid w:val="00DC1C9B"/>
    <w:rsid w:val="00DC3C43"/>
    <w:rsid w:val="00DC44C1"/>
    <w:rsid w:val="00DC4DEF"/>
    <w:rsid w:val="00DC5490"/>
    <w:rsid w:val="00DC69F0"/>
    <w:rsid w:val="00DC6ECF"/>
    <w:rsid w:val="00DD0897"/>
    <w:rsid w:val="00DD1BB0"/>
    <w:rsid w:val="00DD20FB"/>
    <w:rsid w:val="00DD31FE"/>
    <w:rsid w:val="00DD42C6"/>
    <w:rsid w:val="00DD67EA"/>
    <w:rsid w:val="00DD6AB7"/>
    <w:rsid w:val="00DD7277"/>
    <w:rsid w:val="00DE1614"/>
    <w:rsid w:val="00DE2940"/>
    <w:rsid w:val="00DE2B52"/>
    <w:rsid w:val="00DE32A7"/>
    <w:rsid w:val="00DE33CA"/>
    <w:rsid w:val="00DE432A"/>
    <w:rsid w:val="00DE4571"/>
    <w:rsid w:val="00DE5F7E"/>
    <w:rsid w:val="00DE6595"/>
    <w:rsid w:val="00DF1DF8"/>
    <w:rsid w:val="00DF22C6"/>
    <w:rsid w:val="00DF420C"/>
    <w:rsid w:val="00DF55C8"/>
    <w:rsid w:val="00DF5CA2"/>
    <w:rsid w:val="00DF727D"/>
    <w:rsid w:val="00DF7344"/>
    <w:rsid w:val="00E010C3"/>
    <w:rsid w:val="00E01139"/>
    <w:rsid w:val="00E01A44"/>
    <w:rsid w:val="00E02FA6"/>
    <w:rsid w:val="00E04B5E"/>
    <w:rsid w:val="00E054C0"/>
    <w:rsid w:val="00E056F1"/>
    <w:rsid w:val="00E06A9A"/>
    <w:rsid w:val="00E1021F"/>
    <w:rsid w:val="00E1056B"/>
    <w:rsid w:val="00E10AED"/>
    <w:rsid w:val="00E11635"/>
    <w:rsid w:val="00E11C66"/>
    <w:rsid w:val="00E126F6"/>
    <w:rsid w:val="00E12B90"/>
    <w:rsid w:val="00E12BDC"/>
    <w:rsid w:val="00E134EE"/>
    <w:rsid w:val="00E13B80"/>
    <w:rsid w:val="00E13DFD"/>
    <w:rsid w:val="00E1650D"/>
    <w:rsid w:val="00E172F2"/>
    <w:rsid w:val="00E17869"/>
    <w:rsid w:val="00E1789F"/>
    <w:rsid w:val="00E178B3"/>
    <w:rsid w:val="00E20F81"/>
    <w:rsid w:val="00E210D7"/>
    <w:rsid w:val="00E21396"/>
    <w:rsid w:val="00E216FF"/>
    <w:rsid w:val="00E217A0"/>
    <w:rsid w:val="00E23279"/>
    <w:rsid w:val="00E233BE"/>
    <w:rsid w:val="00E2508D"/>
    <w:rsid w:val="00E25939"/>
    <w:rsid w:val="00E25EF0"/>
    <w:rsid w:val="00E260BC"/>
    <w:rsid w:val="00E264BB"/>
    <w:rsid w:val="00E30BF3"/>
    <w:rsid w:val="00E30E89"/>
    <w:rsid w:val="00E31235"/>
    <w:rsid w:val="00E3142F"/>
    <w:rsid w:val="00E33633"/>
    <w:rsid w:val="00E342E3"/>
    <w:rsid w:val="00E34AF5"/>
    <w:rsid w:val="00E34CD5"/>
    <w:rsid w:val="00E36872"/>
    <w:rsid w:val="00E368EA"/>
    <w:rsid w:val="00E405F7"/>
    <w:rsid w:val="00E4094A"/>
    <w:rsid w:val="00E41128"/>
    <w:rsid w:val="00E425C5"/>
    <w:rsid w:val="00E42802"/>
    <w:rsid w:val="00E428F6"/>
    <w:rsid w:val="00E42B7E"/>
    <w:rsid w:val="00E43318"/>
    <w:rsid w:val="00E44084"/>
    <w:rsid w:val="00E47B33"/>
    <w:rsid w:val="00E508B5"/>
    <w:rsid w:val="00E51858"/>
    <w:rsid w:val="00E5190A"/>
    <w:rsid w:val="00E51A3F"/>
    <w:rsid w:val="00E52245"/>
    <w:rsid w:val="00E525DD"/>
    <w:rsid w:val="00E526AF"/>
    <w:rsid w:val="00E5270C"/>
    <w:rsid w:val="00E5282D"/>
    <w:rsid w:val="00E531FE"/>
    <w:rsid w:val="00E53EC3"/>
    <w:rsid w:val="00E54320"/>
    <w:rsid w:val="00E547BF"/>
    <w:rsid w:val="00E549F1"/>
    <w:rsid w:val="00E557E5"/>
    <w:rsid w:val="00E57904"/>
    <w:rsid w:val="00E57C91"/>
    <w:rsid w:val="00E6008A"/>
    <w:rsid w:val="00E60825"/>
    <w:rsid w:val="00E6092E"/>
    <w:rsid w:val="00E62414"/>
    <w:rsid w:val="00E625FC"/>
    <w:rsid w:val="00E63903"/>
    <w:rsid w:val="00E64B79"/>
    <w:rsid w:val="00E672E4"/>
    <w:rsid w:val="00E676B4"/>
    <w:rsid w:val="00E67F65"/>
    <w:rsid w:val="00E70285"/>
    <w:rsid w:val="00E71074"/>
    <w:rsid w:val="00E71AA9"/>
    <w:rsid w:val="00E71D3F"/>
    <w:rsid w:val="00E7404C"/>
    <w:rsid w:val="00E7457F"/>
    <w:rsid w:val="00E748F2"/>
    <w:rsid w:val="00E74D40"/>
    <w:rsid w:val="00E74F96"/>
    <w:rsid w:val="00E75177"/>
    <w:rsid w:val="00E77FF2"/>
    <w:rsid w:val="00E80344"/>
    <w:rsid w:val="00E8133D"/>
    <w:rsid w:val="00E84236"/>
    <w:rsid w:val="00E8459E"/>
    <w:rsid w:val="00E846C6"/>
    <w:rsid w:val="00E84DF6"/>
    <w:rsid w:val="00E8532B"/>
    <w:rsid w:val="00E85576"/>
    <w:rsid w:val="00E85700"/>
    <w:rsid w:val="00E86403"/>
    <w:rsid w:val="00E86589"/>
    <w:rsid w:val="00E86840"/>
    <w:rsid w:val="00E86DA8"/>
    <w:rsid w:val="00E87465"/>
    <w:rsid w:val="00E879E6"/>
    <w:rsid w:val="00E9053E"/>
    <w:rsid w:val="00E91D88"/>
    <w:rsid w:val="00E92CA8"/>
    <w:rsid w:val="00E93D9E"/>
    <w:rsid w:val="00E949F1"/>
    <w:rsid w:val="00E94F9A"/>
    <w:rsid w:val="00E950AA"/>
    <w:rsid w:val="00E958BB"/>
    <w:rsid w:val="00E96E1C"/>
    <w:rsid w:val="00E96E5F"/>
    <w:rsid w:val="00E9723B"/>
    <w:rsid w:val="00E9796C"/>
    <w:rsid w:val="00EA0681"/>
    <w:rsid w:val="00EA11FC"/>
    <w:rsid w:val="00EA120B"/>
    <w:rsid w:val="00EA21D9"/>
    <w:rsid w:val="00EA3195"/>
    <w:rsid w:val="00EA4438"/>
    <w:rsid w:val="00EA4777"/>
    <w:rsid w:val="00EA5911"/>
    <w:rsid w:val="00EA6872"/>
    <w:rsid w:val="00EA7577"/>
    <w:rsid w:val="00EA7BD3"/>
    <w:rsid w:val="00EB1BDB"/>
    <w:rsid w:val="00EB1E24"/>
    <w:rsid w:val="00EB21AE"/>
    <w:rsid w:val="00EB3ABE"/>
    <w:rsid w:val="00EB679A"/>
    <w:rsid w:val="00EB70E9"/>
    <w:rsid w:val="00EB733C"/>
    <w:rsid w:val="00EB7922"/>
    <w:rsid w:val="00EB79B1"/>
    <w:rsid w:val="00EB7F15"/>
    <w:rsid w:val="00EC00A1"/>
    <w:rsid w:val="00EC0191"/>
    <w:rsid w:val="00EC1956"/>
    <w:rsid w:val="00EC1A4D"/>
    <w:rsid w:val="00EC2186"/>
    <w:rsid w:val="00EC2296"/>
    <w:rsid w:val="00EC290A"/>
    <w:rsid w:val="00EC3175"/>
    <w:rsid w:val="00EC43F3"/>
    <w:rsid w:val="00EC45A1"/>
    <w:rsid w:val="00EC7387"/>
    <w:rsid w:val="00EC7DC4"/>
    <w:rsid w:val="00EC7FA2"/>
    <w:rsid w:val="00ED0681"/>
    <w:rsid w:val="00ED25FD"/>
    <w:rsid w:val="00ED29DA"/>
    <w:rsid w:val="00ED4987"/>
    <w:rsid w:val="00ED4E0D"/>
    <w:rsid w:val="00ED5813"/>
    <w:rsid w:val="00ED6655"/>
    <w:rsid w:val="00EE0FE4"/>
    <w:rsid w:val="00EE18C8"/>
    <w:rsid w:val="00EE1E2E"/>
    <w:rsid w:val="00EE2383"/>
    <w:rsid w:val="00EE3860"/>
    <w:rsid w:val="00EE4C47"/>
    <w:rsid w:val="00EE4FA2"/>
    <w:rsid w:val="00EE5419"/>
    <w:rsid w:val="00EE554F"/>
    <w:rsid w:val="00EE5E42"/>
    <w:rsid w:val="00EE6DD0"/>
    <w:rsid w:val="00EE6E97"/>
    <w:rsid w:val="00EE6F63"/>
    <w:rsid w:val="00EF00FE"/>
    <w:rsid w:val="00EF182E"/>
    <w:rsid w:val="00EF18FD"/>
    <w:rsid w:val="00EF1BCE"/>
    <w:rsid w:val="00EF25DA"/>
    <w:rsid w:val="00EF3590"/>
    <w:rsid w:val="00EF38C6"/>
    <w:rsid w:val="00EF4800"/>
    <w:rsid w:val="00EF54A3"/>
    <w:rsid w:val="00EF5774"/>
    <w:rsid w:val="00EF581C"/>
    <w:rsid w:val="00EF6D55"/>
    <w:rsid w:val="00EF7226"/>
    <w:rsid w:val="00EF78C1"/>
    <w:rsid w:val="00EF7E40"/>
    <w:rsid w:val="00F00C1A"/>
    <w:rsid w:val="00F01DDA"/>
    <w:rsid w:val="00F02FE1"/>
    <w:rsid w:val="00F035C8"/>
    <w:rsid w:val="00F035F8"/>
    <w:rsid w:val="00F03EE1"/>
    <w:rsid w:val="00F03EFE"/>
    <w:rsid w:val="00F04232"/>
    <w:rsid w:val="00F0434F"/>
    <w:rsid w:val="00F04C26"/>
    <w:rsid w:val="00F050B9"/>
    <w:rsid w:val="00F063F9"/>
    <w:rsid w:val="00F06556"/>
    <w:rsid w:val="00F067AD"/>
    <w:rsid w:val="00F12062"/>
    <w:rsid w:val="00F138FB"/>
    <w:rsid w:val="00F13AAA"/>
    <w:rsid w:val="00F1458B"/>
    <w:rsid w:val="00F14750"/>
    <w:rsid w:val="00F16CA6"/>
    <w:rsid w:val="00F20176"/>
    <w:rsid w:val="00F202DD"/>
    <w:rsid w:val="00F2092F"/>
    <w:rsid w:val="00F2337A"/>
    <w:rsid w:val="00F23A0B"/>
    <w:rsid w:val="00F23F57"/>
    <w:rsid w:val="00F243FE"/>
    <w:rsid w:val="00F25367"/>
    <w:rsid w:val="00F25CCC"/>
    <w:rsid w:val="00F2612F"/>
    <w:rsid w:val="00F26242"/>
    <w:rsid w:val="00F26D02"/>
    <w:rsid w:val="00F2770B"/>
    <w:rsid w:val="00F27B2C"/>
    <w:rsid w:val="00F322E4"/>
    <w:rsid w:val="00F32DE2"/>
    <w:rsid w:val="00F3365E"/>
    <w:rsid w:val="00F351E6"/>
    <w:rsid w:val="00F35325"/>
    <w:rsid w:val="00F366DC"/>
    <w:rsid w:val="00F372D8"/>
    <w:rsid w:val="00F4049D"/>
    <w:rsid w:val="00F412DB"/>
    <w:rsid w:val="00F42D5B"/>
    <w:rsid w:val="00F43020"/>
    <w:rsid w:val="00F43777"/>
    <w:rsid w:val="00F43822"/>
    <w:rsid w:val="00F43C18"/>
    <w:rsid w:val="00F4481B"/>
    <w:rsid w:val="00F45284"/>
    <w:rsid w:val="00F46376"/>
    <w:rsid w:val="00F46394"/>
    <w:rsid w:val="00F47347"/>
    <w:rsid w:val="00F47379"/>
    <w:rsid w:val="00F47A8C"/>
    <w:rsid w:val="00F50228"/>
    <w:rsid w:val="00F5239F"/>
    <w:rsid w:val="00F5245B"/>
    <w:rsid w:val="00F52FBC"/>
    <w:rsid w:val="00F5305C"/>
    <w:rsid w:val="00F54AAA"/>
    <w:rsid w:val="00F54B8E"/>
    <w:rsid w:val="00F56710"/>
    <w:rsid w:val="00F56F86"/>
    <w:rsid w:val="00F6013F"/>
    <w:rsid w:val="00F60628"/>
    <w:rsid w:val="00F6076E"/>
    <w:rsid w:val="00F614D6"/>
    <w:rsid w:val="00F61647"/>
    <w:rsid w:val="00F61C0D"/>
    <w:rsid w:val="00F6248A"/>
    <w:rsid w:val="00F6269F"/>
    <w:rsid w:val="00F626C1"/>
    <w:rsid w:val="00F628CD"/>
    <w:rsid w:val="00F6471E"/>
    <w:rsid w:val="00F64792"/>
    <w:rsid w:val="00F66FF3"/>
    <w:rsid w:val="00F707FA"/>
    <w:rsid w:val="00F71743"/>
    <w:rsid w:val="00F71AFA"/>
    <w:rsid w:val="00F73221"/>
    <w:rsid w:val="00F73532"/>
    <w:rsid w:val="00F73B90"/>
    <w:rsid w:val="00F73C1C"/>
    <w:rsid w:val="00F741E9"/>
    <w:rsid w:val="00F7504C"/>
    <w:rsid w:val="00F75F72"/>
    <w:rsid w:val="00F76856"/>
    <w:rsid w:val="00F80B06"/>
    <w:rsid w:val="00F81DE5"/>
    <w:rsid w:val="00F8255D"/>
    <w:rsid w:val="00F832D6"/>
    <w:rsid w:val="00F83385"/>
    <w:rsid w:val="00F8362A"/>
    <w:rsid w:val="00F83BED"/>
    <w:rsid w:val="00F84471"/>
    <w:rsid w:val="00F84E4F"/>
    <w:rsid w:val="00F8551F"/>
    <w:rsid w:val="00F8605F"/>
    <w:rsid w:val="00F868C6"/>
    <w:rsid w:val="00F86FA9"/>
    <w:rsid w:val="00F902A9"/>
    <w:rsid w:val="00F90DC0"/>
    <w:rsid w:val="00F921CD"/>
    <w:rsid w:val="00F925D4"/>
    <w:rsid w:val="00F92E3B"/>
    <w:rsid w:val="00F93166"/>
    <w:rsid w:val="00F9498F"/>
    <w:rsid w:val="00F94E52"/>
    <w:rsid w:val="00F94FCA"/>
    <w:rsid w:val="00F95168"/>
    <w:rsid w:val="00F9559F"/>
    <w:rsid w:val="00F96476"/>
    <w:rsid w:val="00F96F7D"/>
    <w:rsid w:val="00F977B2"/>
    <w:rsid w:val="00FA10E2"/>
    <w:rsid w:val="00FA226C"/>
    <w:rsid w:val="00FA2BB8"/>
    <w:rsid w:val="00FA4335"/>
    <w:rsid w:val="00FA47C1"/>
    <w:rsid w:val="00FA580A"/>
    <w:rsid w:val="00FA677E"/>
    <w:rsid w:val="00FA74FF"/>
    <w:rsid w:val="00FB0073"/>
    <w:rsid w:val="00FB03FE"/>
    <w:rsid w:val="00FB153F"/>
    <w:rsid w:val="00FB1F17"/>
    <w:rsid w:val="00FB2403"/>
    <w:rsid w:val="00FB26B4"/>
    <w:rsid w:val="00FB2BA7"/>
    <w:rsid w:val="00FB4BD1"/>
    <w:rsid w:val="00FB5517"/>
    <w:rsid w:val="00FB71A6"/>
    <w:rsid w:val="00FB7261"/>
    <w:rsid w:val="00FB72DA"/>
    <w:rsid w:val="00FB7C1B"/>
    <w:rsid w:val="00FB7CA0"/>
    <w:rsid w:val="00FC0034"/>
    <w:rsid w:val="00FC01A8"/>
    <w:rsid w:val="00FC05CD"/>
    <w:rsid w:val="00FC08EA"/>
    <w:rsid w:val="00FC0C1D"/>
    <w:rsid w:val="00FC18D2"/>
    <w:rsid w:val="00FC2510"/>
    <w:rsid w:val="00FC2612"/>
    <w:rsid w:val="00FC3531"/>
    <w:rsid w:val="00FC38D7"/>
    <w:rsid w:val="00FC4877"/>
    <w:rsid w:val="00FC4D1C"/>
    <w:rsid w:val="00FC71F0"/>
    <w:rsid w:val="00FD0B75"/>
    <w:rsid w:val="00FD0D08"/>
    <w:rsid w:val="00FD529D"/>
    <w:rsid w:val="00FD5A78"/>
    <w:rsid w:val="00FD6233"/>
    <w:rsid w:val="00FD7CAE"/>
    <w:rsid w:val="00FE21C1"/>
    <w:rsid w:val="00FE23A6"/>
    <w:rsid w:val="00FE2A30"/>
    <w:rsid w:val="00FE2D20"/>
    <w:rsid w:val="00FE2DA7"/>
    <w:rsid w:val="00FE2DFC"/>
    <w:rsid w:val="00FE515B"/>
    <w:rsid w:val="00FE5DEC"/>
    <w:rsid w:val="00FE6DB9"/>
    <w:rsid w:val="00FF03A0"/>
    <w:rsid w:val="00FF06DA"/>
    <w:rsid w:val="00FF1127"/>
    <w:rsid w:val="00FF197B"/>
    <w:rsid w:val="00FF207B"/>
    <w:rsid w:val="00FF222D"/>
    <w:rsid w:val="00FF28D2"/>
    <w:rsid w:val="00FF3453"/>
    <w:rsid w:val="00FF4740"/>
    <w:rsid w:val="00FF496E"/>
    <w:rsid w:val="00FF4B70"/>
    <w:rsid w:val="00FF56A7"/>
    <w:rsid w:val="00FF5851"/>
    <w:rsid w:val="029BC720"/>
    <w:rsid w:val="049D4D14"/>
    <w:rsid w:val="062E5702"/>
    <w:rsid w:val="06391D75"/>
    <w:rsid w:val="066D76D5"/>
    <w:rsid w:val="07A583F0"/>
    <w:rsid w:val="088A82BE"/>
    <w:rsid w:val="09F27422"/>
    <w:rsid w:val="0AD4AF33"/>
    <w:rsid w:val="0B0C8E98"/>
    <w:rsid w:val="0CD40D39"/>
    <w:rsid w:val="12ED4AB0"/>
    <w:rsid w:val="155A5D50"/>
    <w:rsid w:val="15DD3140"/>
    <w:rsid w:val="17355A0A"/>
    <w:rsid w:val="17A50871"/>
    <w:rsid w:val="1A1DB498"/>
    <w:rsid w:val="1A2C8886"/>
    <w:rsid w:val="20CBF8BE"/>
    <w:rsid w:val="21B92405"/>
    <w:rsid w:val="226C8E7C"/>
    <w:rsid w:val="22CC52C3"/>
    <w:rsid w:val="22F079E1"/>
    <w:rsid w:val="2391C8C8"/>
    <w:rsid w:val="24B39474"/>
    <w:rsid w:val="26106354"/>
    <w:rsid w:val="27B06079"/>
    <w:rsid w:val="290A6EBC"/>
    <w:rsid w:val="29CFD8A5"/>
    <w:rsid w:val="2CBEA659"/>
    <w:rsid w:val="2E551984"/>
    <w:rsid w:val="2E5E7EFB"/>
    <w:rsid w:val="306B6D52"/>
    <w:rsid w:val="3184CF67"/>
    <w:rsid w:val="3726318A"/>
    <w:rsid w:val="386C7DD0"/>
    <w:rsid w:val="38F10224"/>
    <w:rsid w:val="39176929"/>
    <w:rsid w:val="3A95B1B1"/>
    <w:rsid w:val="3B639964"/>
    <w:rsid w:val="3B98AC75"/>
    <w:rsid w:val="3C1859B5"/>
    <w:rsid w:val="3C318212"/>
    <w:rsid w:val="3D48C16A"/>
    <w:rsid w:val="3E147DAC"/>
    <w:rsid w:val="3EE491CB"/>
    <w:rsid w:val="44034ABD"/>
    <w:rsid w:val="443C93F7"/>
    <w:rsid w:val="44AB8D7A"/>
    <w:rsid w:val="46A9225B"/>
    <w:rsid w:val="48C1479C"/>
    <w:rsid w:val="4996A8D2"/>
    <w:rsid w:val="4BAFCB9F"/>
    <w:rsid w:val="4D12BFFD"/>
    <w:rsid w:val="4EDBFA44"/>
    <w:rsid w:val="4EE0BD1B"/>
    <w:rsid w:val="4F6E0BC7"/>
    <w:rsid w:val="4FF10CD0"/>
    <w:rsid w:val="509E737C"/>
    <w:rsid w:val="51F0EC38"/>
    <w:rsid w:val="52765B68"/>
    <w:rsid w:val="5847055F"/>
    <w:rsid w:val="58F594D5"/>
    <w:rsid w:val="5AAEFBE2"/>
    <w:rsid w:val="5C4639DC"/>
    <w:rsid w:val="5D65317F"/>
    <w:rsid w:val="5DE85F30"/>
    <w:rsid w:val="5F48A299"/>
    <w:rsid w:val="601314A2"/>
    <w:rsid w:val="6022977A"/>
    <w:rsid w:val="65DF8C7F"/>
    <w:rsid w:val="65F47778"/>
    <w:rsid w:val="6C498A3C"/>
    <w:rsid w:val="6EA33044"/>
    <w:rsid w:val="723FBD48"/>
    <w:rsid w:val="7327FDAA"/>
    <w:rsid w:val="74FA959B"/>
    <w:rsid w:val="75815565"/>
    <w:rsid w:val="787FFFD6"/>
    <w:rsid w:val="7BF6A33A"/>
    <w:rsid w:val="7CFF60D2"/>
    <w:rsid w:val="7E99356F"/>
    <w:rsid w:val="7F4679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D5EEF555-11B1-4862-B103-D8E535F0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BB2E3D"/>
    <w:pPr>
      <w:keepNext/>
      <w:numPr>
        <w:numId w:val="1"/>
      </w:numPr>
      <w:tabs>
        <w:tab w:val="left" w:pos="284"/>
      </w:tabs>
      <w:spacing w:before="360" w:after="120" w:line="360" w:lineRule="auto"/>
      <w:jc w:val="center"/>
      <w:outlineLvl w:val="0"/>
    </w:pPr>
    <w:rPr>
      <w:rFonts w:eastAsiaTheme="majorEastAsia" w:cstheme="majorBidi"/>
      <w:b/>
      <w:bCs/>
      <w:caps/>
      <w:sz w:val="20"/>
      <w:szCs w:val="20"/>
    </w:rPr>
  </w:style>
  <w:style w:type="paragraph" w:styleId="Nadpis2">
    <w:name w:val="heading 2"/>
    <w:aliases w:val="KL_Nadpis 2"/>
    <w:basedOn w:val="Odstavecseseznamem"/>
    <w:next w:val="Normln"/>
    <w:link w:val="Nadpis2Char"/>
    <w:uiPriority w:val="9"/>
    <w:unhideWhenUsed/>
    <w:qFormat/>
    <w:rsid w:val="00C84F40"/>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KL_Nadpis 3"/>
    <w:basedOn w:val="Nadpis2"/>
    <w:next w:val="Normln"/>
    <w:link w:val="Nadpis3Char"/>
    <w:uiPriority w:val="9"/>
    <w:unhideWhenUsed/>
    <w:qFormat/>
    <w:rsid w:val="003B7B70"/>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F0434F"/>
    <w:pPr>
      <w:keepNext/>
      <w:keepLines/>
      <w:numPr>
        <w:ilvl w:val="3"/>
        <w:numId w:val="11"/>
      </w:numPr>
      <w:spacing w:before="200" w:after="0"/>
      <w:outlineLvl w:val="3"/>
    </w:pPr>
    <w:rPr>
      <w:rFonts w:eastAsiaTheme="majorEastAsia" w:cstheme="majorBidi"/>
      <w:bCs/>
      <w:iCs/>
    </w:rPr>
  </w:style>
  <w:style w:type="paragraph" w:styleId="Nadpis5">
    <w:name w:val="heading 5"/>
    <w:basedOn w:val="Normln"/>
    <w:next w:val="Normln"/>
    <w:link w:val="Nadpis5Char"/>
    <w:unhideWhenUsed/>
    <w:qFormat/>
    <w:rsid w:val="00AE5488"/>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ASAPHeading 7"/>
    <w:basedOn w:val="Normln"/>
    <w:next w:val="Normln"/>
    <w:link w:val="Nadpis7Char"/>
    <w:unhideWhenUsed/>
    <w:qFormat/>
    <w:rsid w:val="00AE5488"/>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aliases w:val="KL_Nadpis 2 Char"/>
    <w:basedOn w:val="Standardnpsmoodstavce"/>
    <w:link w:val="Nadpis2"/>
    <w:uiPriority w:val="9"/>
    <w:rsid w:val="00C84F40"/>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3B7B70"/>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F0434F"/>
    <w:rPr>
      <w:rFonts w:ascii="Verdana" w:eastAsiaTheme="majorEastAsia" w:hAnsi="Verdana" w:cstheme="majorBidi"/>
      <w:bCs/>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ASAPHeading 7 Char"/>
    <w:basedOn w:val="Standardnpsmoodstavce"/>
    <w:link w:val="Nadpis7"/>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34"/>
    <w:qFormat/>
    <w:rsid w:val="007D6314"/>
    <w:pPr>
      <w:numPr>
        <w:ilvl w:val="1"/>
        <w:numId w:val="1"/>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basedOn w:val="Standardnpsmoodstavce"/>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basedOn w:val="Standardnpsmoodstavce"/>
    <w:link w:val="Textkomente"/>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styleId="Zmnka">
    <w:name w:val="Mention"/>
    <w:basedOn w:val="Standardnpsmoodstavce"/>
    <w:uiPriority w:val="99"/>
    <w:unhideWhenUsed/>
    <w:rsid w:val="005B6232"/>
    <w:rPr>
      <w:color w:val="2B579A"/>
      <w:shd w:val="clear" w:color="auto" w:fill="E1DFDD"/>
    </w:rPr>
  </w:style>
  <w:style w:type="paragraph" w:customStyle="1" w:styleId="Textodstavce">
    <w:name w:val="Text odstavce"/>
    <w:basedOn w:val="Normln"/>
    <w:rsid w:val="001004CE"/>
    <w:pPr>
      <w:keepLines/>
      <w:numPr>
        <w:numId w:val="4"/>
      </w:numPr>
      <w:tabs>
        <w:tab w:val="left" w:pos="851"/>
      </w:tabs>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tyl1">
    <w:name w:val="Styl1"/>
    <w:basedOn w:val="Nadpis4"/>
    <w:link w:val="Styl1Char"/>
    <w:qFormat/>
    <w:rsid w:val="00E42B7E"/>
  </w:style>
  <w:style w:type="character" w:customStyle="1" w:styleId="Styl1Char">
    <w:name w:val="Styl1 Char"/>
    <w:basedOn w:val="Nadpis4Char"/>
    <w:link w:val="Styl1"/>
    <w:rsid w:val="00E42B7E"/>
    <w:rPr>
      <w:rFonts w:ascii="Verdana" w:eastAsiaTheme="majorEastAsia" w:hAnsi="Verdana" w:cstheme="majorBidi"/>
      <w:bCs/>
      <w:iCs/>
      <w:sz w:val="18"/>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EB7922"/>
    <w:rPr>
      <w:rFonts w:ascii="Verdana" w:hAnsi="Verdana"/>
      <w:sz w:val="18"/>
    </w:rPr>
  </w:style>
  <w:style w:type="character" w:customStyle="1" w:styleId="ui-provider">
    <w:name w:val="ui-provider"/>
    <w:basedOn w:val="Standardnpsmoodstavce"/>
    <w:rsid w:val="00390409"/>
  </w:style>
  <w:style w:type="paragraph" w:customStyle="1" w:styleId="4DNormln">
    <w:name w:val="4D Normální"/>
    <w:link w:val="4DNormlnChar"/>
    <w:uiPriority w:val="99"/>
    <w:rsid w:val="0054345B"/>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54345B"/>
    <w:rPr>
      <w:rFonts w:ascii="Arial" w:eastAsia="Calibri" w:hAnsi="Arial" w:cs="Arial"/>
      <w:sz w:val="20"/>
      <w:szCs w:val="20"/>
      <w:lang w:eastAsia="cs-CZ"/>
    </w:rPr>
  </w:style>
  <w:style w:type="table" w:customStyle="1" w:styleId="Mkatabulky2">
    <w:name w:val="Mřížka tabulky2"/>
    <w:basedOn w:val="Normlntabulka"/>
    <w:next w:val="Mkatabulky"/>
    <w:uiPriority w:val="59"/>
    <w:rsid w:val="002677E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2677E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2677E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2677E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22555dc68a381e2819c57846213a460e">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42fc143b3238a545ce19a675e8bd930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DE584-82B3-4E8F-AC3B-16D59981B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61D6E-E210-4BCA-8366-CE6F9751C343}">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3.xml><?xml version="1.0" encoding="utf-8"?>
<ds:datastoreItem xmlns:ds="http://schemas.openxmlformats.org/officeDocument/2006/customXml" ds:itemID="{3F628015-ED2E-4370-A346-018381240464}">
  <ds:schemaRefs>
    <ds:schemaRef ds:uri="http://schemas.microsoft.com/sharepoint/v3/contenttype/forms"/>
  </ds:schemaRefs>
</ds:datastoreItem>
</file>

<file path=customXml/itemProps4.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36</Pages>
  <Words>14381</Words>
  <Characters>88315</Characters>
  <Application>Microsoft Office Word</Application>
  <DocSecurity>0</DocSecurity>
  <Lines>1569</Lines>
  <Paragraphs>676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Milec Tomáš</cp:lastModifiedBy>
  <cp:revision>564</cp:revision>
  <cp:lastPrinted>2025-08-18T08:37:00Z</cp:lastPrinted>
  <dcterms:created xsi:type="dcterms:W3CDTF">2026-01-12T14:30:00Z</dcterms:created>
  <dcterms:modified xsi:type="dcterms:W3CDTF">2026-02-19T12:11:00Z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9,a,b,c,d,e,f,10,11,12,67740855,38e76a66,324c3d19,380509ff,33d52db4,13366697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16,17,18,19,1a,1b,1c,1d,1e,3cef4586,7d88d67e,2db1d3d0,601af9fe,487f81f,3a71d46b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2025-12-01T11:50:02Z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de5747e4-21ec-481a-af11-b68905081aa1</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