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56" w:rsidRPr="00B9289B" w:rsidRDefault="00C26256" w:rsidP="000A3CD0">
      <w:pPr>
        <w:pStyle w:val="Nadpis1"/>
        <w:numPr>
          <w:ilvl w:val="0"/>
          <w:numId w:val="37"/>
        </w:numPr>
        <w:ind w:left="567" w:hanging="567"/>
        <w:jc w:val="both"/>
        <w:rPr>
          <w:rFonts w:cs="Arial"/>
          <w:sz w:val="22"/>
          <w:szCs w:val="22"/>
        </w:rPr>
      </w:pPr>
      <w:r w:rsidRPr="00B9289B">
        <w:rPr>
          <w:rFonts w:cs="Arial"/>
          <w:sz w:val="22"/>
          <w:szCs w:val="22"/>
        </w:rPr>
        <w:t>Kontext</w:t>
      </w:r>
    </w:p>
    <w:p w:rsidR="00C26256" w:rsidRPr="00B9289B" w:rsidRDefault="00C26256" w:rsidP="00C26256">
      <w:pPr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Jednou z priorit vlády České republiky na cestě za kvalitním a l</w:t>
      </w:r>
      <w:r w:rsidR="008F6F01" w:rsidRPr="00B9289B">
        <w:rPr>
          <w:rFonts w:cs="Arial"/>
          <w:szCs w:val="22"/>
        </w:rPr>
        <w:t>é</w:t>
      </w:r>
      <w:r w:rsidRPr="00B9289B">
        <w:rPr>
          <w:rFonts w:cs="Arial"/>
          <w:szCs w:val="22"/>
        </w:rPr>
        <w:t>pe fungujícím státem jsou i narovnání podnikatelského prostředí a lepší, resp. férovější výběr daní.</w:t>
      </w:r>
    </w:p>
    <w:p w:rsidR="00C26256" w:rsidRPr="00B9289B" w:rsidRDefault="00C26256" w:rsidP="00C26256">
      <w:pPr>
        <w:jc w:val="both"/>
        <w:rPr>
          <w:rFonts w:cs="Arial"/>
          <w:szCs w:val="22"/>
        </w:rPr>
      </w:pPr>
    </w:p>
    <w:p w:rsidR="00473A6E" w:rsidRPr="00B9289B" w:rsidRDefault="00C26256" w:rsidP="00C26256">
      <w:pPr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Tato vláda se rozhodla jít s kůží na trh a v relativně krátké době schválit a realizovat zásadní a často i nepopulární kroky, kterým se dostane celospolečenského uzn</w:t>
      </w:r>
      <w:r w:rsidR="007C6873" w:rsidRPr="00B9289B">
        <w:rPr>
          <w:rFonts w:cs="Arial"/>
          <w:szCs w:val="22"/>
        </w:rPr>
        <w:t>á</w:t>
      </w:r>
      <w:r w:rsidRPr="00B9289B">
        <w:rPr>
          <w:rFonts w:cs="Arial"/>
          <w:szCs w:val="22"/>
        </w:rPr>
        <w:t>ní až po pár letech.</w:t>
      </w:r>
      <w:r w:rsidR="00473A6E" w:rsidRPr="00B9289B">
        <w:rPr>
          <w:rFonts w:cs="Arial"/>
          <w:szCs w:val="22"/>
        </w:rPr>
        <w:t xml:space="preserve"> </w:t>
      </w:r>
      <w:r w:rsidR="003E49A7" w:rsidRPr="00B9289B">
        <w:rPr>
          <w:rFonts w:cs="Arial"/>
          <w:szCs w:val="22"/>
        </w:rPr>
        <w:t>Nicméně pokud</w:t>
      </w:r>
      <w:r w:rsidRPr="00B9289B">
        <w:rPr>
          <w:rFonts w:cs="Arial"/>
          <w:szCs w:val="22"/>
        </w:rPr>
        <w:t xml:space="preserve"> se chceme přiblížit </w:t>
      </w:r>
      <w:r w:rsidR="003E49A7" w:rsidRPr="00B9289B">
        <w:rPr>
          <w:rFonts w:cs="Arial"/>
          <w:szCs w:val="22"/>
        </w:rPr>
        <w:t xml:space="preserve">vyspělým a funkčním státům </w:t>
      </w:r>
      <w:r w:rsidR="00473A6E" w:rsidRPr="00B9289B">
        <w:rPr>
          <w:rFonts w:cs="Arial"/>
          <w:szCs w:val="22"/>
        </w:rPr>
        <w:t xml:space="preserve">a rozvinutějším </w:t>
      </w:r>
      <w:r w:rsidRPr="00B9289B">
        <w:rPr>
          <w:rFonts w:cs="Arial"/>
          <w:szCs w:val="22"/>
        </w:rPr>
        <w:t xml:space="preserve">společnostem, ke </w:t>
      </w:r>
      <w:r w:rsidR="007C6873" w:rsidRPr="00B9289B">
        <w:rPr>
          <w:rFonts w:cs="Arial"/>
          <w:szCs w:val="22"/>
        </w:rPr>
        <w:t>kterým</w:t>
      </w:r>
      <w:r w:rsidRPr="00B9289B">
        <w:rPr>
          <w:rFonts w:cs="Arial"/>
          <w:szCs w:val="22"/>
        </w:rPr>
        <w:t xml:space="preserve"> </w:t>
      </w:r>
      <w:r w:rsidR="007C6873" w:rsidRPr="00B9289B">
        <w:rPr>
          <w:rFonts w:cs="Arial"/>
          <w:szCs w:val="22"/>
        </w:rPr>
        <w:t>vzhlížíme</w:t>
      </w:r>
      <w:r w:rsidRPr="00B9289B">
        <w:rPr>
          <w:rFonts w:cs="Arial"/>
          <w:szCs w:val="22"/>
        </w:rPr>
        <w:t xml:space="preserve">, tak </w:t>
      </w:r>
      <w:r w:rsidR="00473A6E" w:rsidRPr="00B9289B">
        <w:rPr>
          <w:rFonts w:cs="Arial"/>
          <w:szCs w:val="22"/>
        </w:rPr>
        <w:t xml:space="preserve">někdo </w:t>
      </w:r>
      <w:r w:rsidR="00253050" w:rsidRPr="00B9289B">
        <w:rPr>
          <w:rFonts w:cs="Arial"/>
          <w:szCs w:val="22"/>
        </w:rPr>
        <w:t xml:space="preserve">a </w:t>
      </w:r>
      <w:r w:rsidR="007C6873" w:rsidRPr="00B9289B">
        <w:rPr>
          <w:rFonts w:cs="Arial"/>
          <w:szCs w:val="22"/>
        </w:rPr>
        <w:t>někde</w:t>
      </w:r>
      <w:r w:rsidRPr="00B9289B">
        <w:rPr>
          <w:rFonts w:cs="Arial"/>
          <w:szCs w:val="22"/>
        </w:rPr>
        <w:t xml:space="preserve"> začít musí.</w:t>
      </w:r>
      <w:r w:rsidR="00473A6E" w:rsidRPr="00B9289B">
        <w:rPr>
          <w:rFonts w:cs="Arial"/>
          <w:szCs w:val="22"/>
        </w:rPr>
        <w:t xml:space="preserve"> </w:t>
      </w:r>
    </w:p>
    <w:p w:rsidR="00473A6E" w:rsidRPr="00B9289B" w:rsidRDefault="00473A6E" w:rsidP="00C26256">
      <w:pPr>
        <w:jc w:val="both"/>
        <w:rPr>
          <w:rFonts w:cs="Arial"/>
          <w:szCs w:val="22"/>
        </w:rPr>
      </w:pPr>
    </w:p>
    <w:p w:rsidR="00C26256" w:rsidRPr="00B9289B" w:rsidRDefault="00473A6E" w:rsidP="00C26256">
      <w:pPr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Jedním z hlavních nástrojů pro narovnání podnikatelského prostředí je i Elektronická evidence tržeb (EET). Tato bude zaváděna v roce 2016.</w:t>
      </w:r>
    </w:p>
    <w:p w:rsidR="003E0D07" w:rsidRPr="00B9289B" w:rsidRDefault="003E0D07" w:rsidP="00C26256">
      <w:pPr>
        <w:jc w:val="both"/>
        <w:rPr>
          <w:rFonts w:cs="Arial"/>
          <w:szCs w:val="22"/>
        </w:rPr>
      </w:pPr>
    </w:p>
    <w:p w:rsidR="007C6873" w:rsidRPr="00B9289B" w:rsidRDefault="007C6873" w:rsidP="005B18EF">
      <w:pPr>
        <w:pStyle w:val="Nadpis1"/>
        <w:numPr>
          <w:ilvl w:val="0"/>
          <w:numId w:val="0"/>
        </w:numPr>
        <w:spacing w:after="0"/>
        <w:ind w:left="432" w:hanging="432"/>
        <w:jc w:val="both"/>
        <w:rPr>
          <w:rFonts w:cs="Arial"/>
          <w:sz w:val="22"/>
          <w:szCs w:val="22"/>
        </w:rPr>
      </w:pPr>
    </w:p>
    <w:p w:rsidR="00455608" w:rsidRPr="00B9289B" w:rsidRDefault="00455608" w:rsidP="000A3CD0">
      <w:pPr>
        <w:pStyle w:val="Nadpis1"/>
        <w:numPr>
          <w:ilvl w:val="0"/>
          <w:numId w:val="37"/>
        </w:numPr>
        <w:ind w:left="567" w:hanging="567"/>
        <w:jc w:val="both"/>
        <w:rPr>
          <w:rFonts w:cs="Arial"/>
          <w:sz w:val="22"/>
          <w:szCs w:val="22"/>
        </w:rPr>
      </w:pPr>
      <w:r w:rsidRPr="00B9289B">
        <w:rPr>
          <w:rFonts w:cs="Arial"/>
          <w:sz w:val="22"/>
          <w:szCs w:val="22"/>
        </w:rPr>
        <w:t>Elektronická evidence tržeb a značka e-tržby</w:t>
      </w:r>
    </w:p>
    <w:p w:rsidR="00455608" w:rsidRPr="00B9289B" w:rsidRDefault="00455608" w:rsidP="003A0BC6">
      <w:pPr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Elektronick</w:t>
      </w:r>
      <w:r w:rsidR="008F6F01" w:rsidRPr="00B9289B">
        <w:rPr>
          <w:rFonts w:cs="Arial"/>
          <w:szCs w:val="22"/>
        </w:rPr>
        <w:t>á</w:t>
      </w:r>
      <w:r w:rsidRPr="00B9289B">
        <w:rPr>
          <w:rFonts w:cs="Arial"/>
          <w:szCs w:val="22"/>
        </w:rPr>
        <w:t xml:space="preserve"> </w:t>
      </w:r>
      <w:r w:rsidR="00715C95" w:rsidRPr="00B9289B">
        <w:rPr>
          <w:rFonts w:cs="Arial"/>
          <w:szCs w:val="22"/>
        </w:rPr>
        <w:t xml:space="preserve">(online) </w:t>
      </w:r>
      <w:r w:rsidRPr="00B9289B">
        <w:rPr>
          <w:rFonts w:cs="Arial"/>
          <w:szCs w:val="22"/>
        </w:rPr>
        <w:t>evidence tržeb</w:t>
      </w:r>
      <w:r w:rsidR="00473A6E" w:rsidRPr="00B9289B">
        <w:rPr>
          <w:rFonts w:cs="Arial"/>
          <w:szCs w:val="22"/>
        </w:rPr>
        <w:t xml:space="preserve"> je </w:t>
      </w:r>
      <w:r w:rsidRPr="00B9289B">
        <w:rPr>
          <w:rFonts w:cs="Arial"/>
          <w:szCs w:val="22"/>
        </w:rPr>
        <w:t>moderní systém evidence hotovostních tržeb založený na okamžité on-line registraci všech pokladních operací s hotovostí (a jejími ekvivalenty)</w:t>
      </w:r>
      <w:r w:rsidR="00473A6E" w:rsidRPr="00B9289B">
        <w:rPr>
          <w:rFonts w:cs="Arial"/>
          <w:szCs w:val="22"/>
        </w:rPr>
        <w:t>. B</w:t>
      </w:r>
      <w:r w:rsidRPr="00B9289B">
        <w:rPr>
          <w:rFonts w:cs="Arial"/>
          <w:szCs w:val="22"/>
        </w:rPr>
        <w:t>ude prezentován pod registrovanou</w:t>
      </w:r>
      <w:r w:rsidR="00473A6E" w:rsidRPr="00B9289B">
        <w:rPr>
          <w:rFonts w:cs="Arial"/>
          <w:szCs w:val="22"/>
        </w:rPr>
        <w:t> </w:t>
      </w:r>
      <w:r w:rsidRPr="00B9289B">
        <w:rPr>
          <w:rFonts w:cs="Arial"/>
          <w:szCs w:val="22"/>
        </w:rPr>
        <w:t>obchodní</w:t>
      </w:r>
      <w:r w:rsidR="00473A6E" w:rsidRPr="00B9289B">
        <w:rPr>
          <w:rFonts w:cs="Arial"/>
          <w:szCs w:val="22"/>
        </w:rPr>
        <w:t> </w:t>
      </w:r>
      <w:r w:rsidRPr="00B9289B">
        <w:rPr>
          <w:rFonts w:cs="Arial"/>
          <w:szCs w:val="22"/>
        </w:rPr>
        <w:t xml:space="preserve">značkou </w:t>
      </w:r>
      <w:r w:rsidR="00213DB5" w:rsidRPr="00B9289B">
        <w:rPr>
          <w:rFonts w:cs="Arial"/>
          <w:szCs w:val="22"/>
        </w:rPr>
        <w:t>„</w:t>
      </w:r>
      <w:r w:rsidRPr="00B9289B">
        <w:rPr>
          <w:rFonts w:cs="Arial"/>
          <w:szCs w:val="22"/>
        </w:rPr>
        <w:t>e-tržby</w:t>
      </w:r>
      <w:r w:rsidR="00213DB5" w:rsidRPr="00B9289B">
        <w:rPr>
          <w:rFonts w:cs="Arial"/>
          <w:szCs w:val="22"/>
        </w:rPr>
        <w:t>“</w:t>
      </w:r>
      <w:r w:rsidRPr="00B9289B">
        <w:rPr>
          <w:rFonts w:cs="Arial"/>
          <w:szCs w:val="22"/>
        </w:rPr>
        <w:t>.</w:t>
      </w:r>
    </w:p>
    <w:p w:rsidR="003E0D07" w:rsidRPr="00B9289B" w:rsidRDefault="003E0D07" w:rsidP="003A0BC6">
      <w:pPr>
        <w:jc w:val="both"/>
        <w:rPr>
          <w:rFonts w:cs="Arial"/>
          <w:szCs w:val="22"/>
        </w:rPr>
      </w:pPr>
    </w:p>
    <w:p w:rsidR="00D14906" w:rsidRPr="00B9289B" w:rsidRDefault="00960DDD" w:rsidP="003A0BC6">
      <w:pPr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Vybrané online řešení evidence tržeb je „nadstavbou“ klasických registračních pokladen</w:t>
      </w:r>
      <w:r w:rsidR="00253050" w:rsidRPr="00B9289B">
        <w:rPr>
          <w:rFonts w:cs="Arial"/>
          <w:szCs w:val="22"/>
        </w:rPr>
        <w:t>, které byly v mnoha zemích EU zavedeny již dříve</w:t>
      </w:r>
      <w:r w:rsidRPr="00B9289B">
        <w:rPr>
          <w:rFonts w:cs="Arial"/>
          <w:szCs w:val="22"/>
        </w:rPr>
        <w:t xml:space="preserve">. Jeho největší výhodou </w:t>
      </w:r>
      <w:r w:rsidR="00253050" w:rsidRPr="00B9289B">
        <w:rPr>
          <w:rFonts w:cs="Arial"/>
          <w:szCs w:val="22"/>
        </w:rPr>
        <w:t xml:space="preserve">oproti registračním pokladnám </w:t>
      </w:r>
      <w:r w:rsidRPr="00B9289B">
        <w:rPr>
          <w:rFonts w:cs="Arial"/>
          <w:szCs w:val="22"/>
        </w:rPr>
        <w:t xml:space="preserve">je </w:t>
      </w:r>
      <w:r w:rsidR="00715C95" w:rsidRPr="00B9289B">
        <w:rPr>
          <w:rFonts w:cs="Arial"/>
          <w:szCs w:val="22"/>
        </w:rPr>
        <w:t xml:space="preserve">automatický a </w:t>
      </w:r>
      <w:r w:rsidRPr="00B9289B">
        <w:rPr>
          <w:rFonts w:cs="Arial"/>
          <w:szCs w:val="22"/>
        </w:rPr>
        <w:t xml:space="preserve">okamžitý přenos </w:t>
      </w:r>
      <w:r w:rsidR="00715C95" w:rsidRPr="00B9289B">
        <w:rPr>
          <w:rFonts w:cs="Arial"/>
          <w:szCs w:val="22"/>
        </w:rPr>
        <w:t xml:space="preserve">zákonem stanovených </w:t>
      </w:r>
      <w:r w:rsidRPr="00B9289B">
        <w:rPr>
          <w:rFonts w:cs="Arial"/>
          <w:szCs w:val="22"/>
        </w:rPr>
        <w:t>dat směrem k Finanční správě bez možnosti, aby s nim</w:t>
      </w:r>
      <w:r w:rsidR="00715C95" w:rsidRPr="00B9289B">
        <w:rPr>
          <w:rFonts w:cs="Arial"/>
          <w:szCs w:val="22"/>
        </w:rPr>
        <w:t>i</w:t>
      </w:r>
      <w:r w:rsidRPr="00B9289B">
        <w:rPr>
          <w:rFonts w:cs="Arial"/>
          <w:szCs w:val="22"/>
        </w:rPr>
        <w:t xml:space="preserve"> bylo </w:t>
      </w:r>
      <w:r w:rsidR="00715C95" w:rsidRPr="00B9289B">
        <w:rPr>
          <w:rFonts w:cs="Arial"/>
          <w:szCs w:val="22"/>
        </w:rPr>
        <w:t xml:space="preserve">manipulováno. Finanční správa tak bude moci </w:t>
      </w:r>
      <w:r w:rsidR="00253050" w:rsidRPr="00B9289B">
        <w:rPr>
          <w:rFonts w:cs="Arial"/>
          <w:szCs w:val="22"/>
        </w:rPr>
        <w:t xml:space="preserve">díky aktuálním a přesným datům </w:t>
      </w:r>
      <w:r w:rsidR="00715C95" w:rsidRPr="00B9289B">
        <w:rPr>
          <w:rFonts w:cs="Arial"/>
          <w:szCs w:val="22"/>
        </w:rPr>
        <w:t xml:space="preserve">efektivněji zaměřit své kontroly. </w:t>
      </w:r>
    </w:p>
    <w:p w:rsidR="00D14906" w:rsidRPr="00B9289B" w:rsidRDefault="00D14906" w:rsidP="003A0BC6">
      <w:pPr>
        <w:jc w:val="both"/>
        <w:rPr>
          <w:rFonts w:cs="Arial"/>
          <w:szCs w:val="22"/>
        </w:rPr>
      </w:pPr>
    </w:p>
    <w:p w:rsidR="00455608" w:rsidRPr="00B9289B" w:rsidRDefault="00455608" w:rsidP="000A3CD0">
      <w:pPr>
        <w:pStyle w:val="Nadpis2"/>
        <w:numPr>
          <w:ilvl w:val="0"/>
          <w:numId w:val="37"/>
        </w:numPr>
        <w:spacing w:before="240" w:after="240"/>
        <w:ind w:left="567" w:hanging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Důvody zavedení systému jsou především:</w:t>
      </w:r>
    </w:p>
    <w:p w:rsidR="00455608" w:rsidRPr="00B9289B" w:rsidRDefault="005B18EF" w:rsidP="000A3CD0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n</w:t>
      </w:r>
      <w:r w:rsidR="00455608" w:rsidRPr="00B9289B">
        <w:rPr>
          <w:rFonts w:cs="Arial"/>
          <w:szCs w:val="22"/>
        </w:rPr>
        <w:t>arovnání podmínek podnikání tak, aby subjektům, které řádně platí daně, nevznikala konkurenční nevýhoda oproti subjektům, které se dopouštějí krácení daně;</w:t>
      </w:r>
    </w:p>
    <w:p w:rsidR="00455608" w:rsidRPr="00B9289B" w:rsidRDefault="00455608" w:rsidP="000A3CD0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zvýšení výběru daně do státního rozpočtu;</w:t>
      </w:r>
    </w:p>
    <w:p w:rsidR="00455608" w:rsidRPr="00B9289B" w:rsidRDefault="00455608" w:rsidP="000A3CD0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zvýšení efektivity finančních kontrol.</w:t>
      </w:r>
    </w:p>
    <w:p w:rsidR="003E0D07" w:rsidRPr="00B9289B" w:rsidRDefault="003E0D07" w:rsidP="003E0D07">
      <w:pPr>
        <w:pStyle w:val="Odstavecseseznamem"/>
        <w:tabs>
          <w:tab w:val="left" w:pos="567"/>
        </w:tabs>
        <w:ind w:left="567"/>
        <w:jc w:val="both"/>
        <w:rPr>
          <w:rFonts w:cs="Arial"/>
          <w:szCs w:val="22"/>
        </w:rPr>
      </w:pPr>
    </w:p>
    <w:p w:rsidR="00F22ACA" w:rsidRPr="00B9289B" w:rsidRDefault="00CC6FAC" w:rsidP="000A3CD0">
      <w:pPr>
        <w:pStyle w:val="Nadpis2"/>
        <w:numPr>
          <w:ilvl w:val="0"/>
          <w:numId w:val="37"/>
        </w:numPr>
        <w:spacing w:before="240" w:after="240"/>
        <w:ind w:left="567" w:hanging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Současná situace a vnímání EET</w:t>
      </w:r>
    </w:p>
    <w:p w:rsidR="00CC6FAC" w:rsidRPr="00B9289B" w:rsidRDefault="00CC6FAC" w:rsidP="00CC6FAC">
      <w:pPr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Tak jako u každého zásadnějšího tématu, i EET si našlo své příznivce a odpůrce.</w:t>
      </w:r>
      <w:r w:rsidR="005B18EF" w:rsidRPr="00B9289B">
        <w:rPr>
          <w:rFonts w:cs="Arial"/>
          <w:szCs w:val="22"/>
        </w:rPr>
        <w:t xml:space="preserve"> </w:t>
      </w:r>
      <w:r w:rsidR="000C34D1" w:rsidRPr="00B9289B">
        <w:rPr>
          <w:rFonts w:cs="Arial"/>
          <w:szCs w:val="22"/>
        </w:rPr>
        <w:t>Vzhledem ke značnému zpolitizování tohoto tématu koresponduje</w:t>
      </w:r>
      <w:r w:rsidR="005B18EF" w:rsidRPr="00B9289B">
        <w:rPr>
          <w:rFonts w:cs="Arial"/>
          <w:szCs w:val="22"/>
        </w:rPr>
        <w:t xml:space="preserve"> </w:t>
      </w:r>
      <w:r w:rsidR="000C34D1" w:rsidRPr="00B9289B">
        <w:rPr>
          <w:rFonts w:cs="Arial"/>
          <w:szCs w:val="22"/>
        </w:rPr>
        <w:t xml:space="preserve">jejich </w:t>
      </w:r>
      <w:r w:rsidR="005B18EF" w:rsidRPr="00B9289B">
        <w:rPr>
          <w:rFonts w:cs="Arial"/>
          <w:szCs w:val="22"/>
        </w:rPr>
        <w:t xml:space="preserve">rozdělení do značné míry </w:t>
      </w:r>
      <w:r w:rsidR="000C34D1" w:rsidRPr="00B9289B">
        <w:rPr>
          <w:rFonts w:cs="Arial"/>
          <w:szCs w:val="22"/>
        </w:rPr>
        <w:t xml:space="preserve">s rozdělením </w:t>
      </w:r>
      <w:r w:rsidR="005B18EF" w:rsidRPr="00B9289B">
        <w:rPr>
          <w:rFonts w:cs="Arial"/>
          <w:szCs w:val="22"/>
        </w:rPr>
        <w:t>společnosti dle preferencí jednotlivých politických stran.</w:t>
      </w:r>
    </w:p>
    <w:p w:rsidR="005B18EF" w:rsidRPr="00B9289B" w:rsidRDefault="005B18EF" w:rsidP="00CC6FAC">
      <w:pPr>
        <w:jc w:val="both"/>
        <w:rPr>
          <w:rFonts w:cs="Arial"/>
          <w:szCs w:val="22"/>
        </w:rPr>
      </w:pPr>
    </w:p>
    <w:p w:rsidR="00213DB5" w:rsidRPr="00B9289B" w:rsidRDefault="00213DB5" w:rsidP="00CC6FAC">
      <w:pPr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 xml:space="preserve">Ačkoli si již nyní jistá část české společnosti uvědomuje, že EET napomůže férovějšímu výběru daní napříč společností a jejími jednotlivými skupinami a že pokud bude </w:t>
      </w:r>
      <w:r w:rsidR="00C81A56" w:rsidRPr="00B9289B">
        <w:rPr>
          <w:rFonts w:cs="Arial"/>
          <w:szCs w:val="22"/>
        </w:rPr>
        <w:t xml:space="preserve">stát efektivněji vybírat daně, </w:t>
      </w:r>
      <w:r w:rsidRPr="00B9289B">
        <w:rPr>
          <w:rFonts w:cs="Arial"/>
          <w:szCs w:val="22"/>
        </w:rPr>
        <w:t>může snižovat daňové zatížení (především DPH na vybrané služby), snižovat zbytečné výdaje a investovat tam, kde je to nejvíc nutné, potenciál pozitivních dopadu narovnání podnikatelského prostředí a efektivního výběru daní na kvalitu života nás všech se zatím nepodařilo správně komunikovat.</w:t>
      </w:r>
    </w:p>
    <w:p w:rsidR="00213DB5" w:rsidRPr="00B9289B" w:rsidRDefault="00213DB5" w:rsidP="00CC6FAC">
      <w:pPr>
        <w:jc w:val="both"/>
        <w:rPr>
          <w:rFonts w:cs="Arial"/>
          <w:szCs w:val="22"/>
        </w:rPr>
      </w:pPr>
    </w:p>
    <w:p w:rsidR="00CC6FAC" w:rsidRPr="00B9289B" w:rsidRDefault="00CC6FAC" w:rsidP="00CC6FAC">
      <w:pPr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Skupin</w:t>
      </w:r>
      <w:r w:rsidR="005B18EF" w:rsidRPr="00B9289B">
        <w:rPr>
          <w:rFonts w:cs="Arial"/>
          <w:szCs w:val="22"/>
        </w:rPr>
        <w:t>ě</w:t>
      </w:r>
      <w:r w:rsidRPr="00B9289B">
        <w:rPr>
          <w:rFonts w:cs="Arial"/>
          <w:szCs w:val="22"/>
        </w:rPr>
        <w:t xml:space="preserve"> </w:t>
      </w:r>
      <w:r w:rsidR="005B18EF" w:rsidRPr="00B9289B">
        <w:rPr>
          <w:rFonts w:cs="Arial"/>
          <w:szCs w:val="22"/>
        </w:rPr>
        <w:t>odpůrců</w:t>
      </w:r>
      <w:r w:rsidRPr="00B9289B">
        <w:rPr>
          <w:rFonts w:cs="Arial"/>
          <w:szCs w:val="22"/>
        </w:rPr>
        <w:t xml:space="preserve"> se </w:t>
      </w:r>
      <w:r w:rsidR="005B18EF" w:rsidRPr="00B9289B">
        <w:rPr>
          <w:rFonts w:cs="Arial"/>
          <w:szCs w:val="22"/>
        </w:rPr>
        <w:t>zatím</w:t>
      </w:r>
      <w:r w:rsidRPr="00B9289B">
        <w:rPr>
          <w:rFonts w:cs="Arial"/>
          <w:szCs w:val="22"/>
        </w:rPr>
        <w:t xml:space="preserve"> </w:t>
      </w:r>
      <w:r w:rsidR="005B18EF" w:rsidRPr="00B9289B">
        <w:rPr>
          <w:rFonts w:cs="Arial"/>
          <w:szCs w:val="22"/>
        </w:rPr>
        <w:t>nepodařilo</w:t>
      </w:r>
      <w:r w:rsidRPr="00B9289B">
        <w:rPr>
          <w:rFonts w:cs="Arial"/>
          <w:szCs w:val="22"/>
        </w:rPr>
        <w:t xml:space="preserve"> </w:t>
      </w:r>
      <w:r w:rsidR="005B18EF" w:rsidRPr="00B9289B">
        <w:rPr>
          <w:rFonts w:cs="Arial"/>
          <w:szCs w:val="22"/>
        </w:rPr>
        <w:t>vysvětlit</w:t>
      </w:r>
      <w:r w:rsidRPr="00B9289B">
        <w:rPr>
          <w:rFonts w:cs="Arial"/>
          <w:szCs w:val="22"/>
        </w:rPr>
        <w:t xml:space="preserve">, </w:t>
      </w:r>
      <w:r w:rsidR="005B18EF" w:rsidRPr="00B9289B">
        <w:rPr>
          <w:rFonts w:cs="Arial"/>
          <w:szCs w:val="22"/>
        </w:rPr>
        <w:t>ž</w:t>
      </w:r>
      <w:r w:rsidRPr="00B9289B">
        <w:rPr>
          <w:rFonts w:cs="Arial"/>
          <w:szCs w:val="22"/>
        </w:rPr>
        <w:t xml:space="preserve">e jejich </w:t>
      </w:r>
      <w:r w:rsidR="005B18EF" w:rsidRPr="00B9289B">
        <w:rPr>
          <w:rFonts w:cs="Arial"/>
          <w:szCs w:val="22"/>
        </w:rPr>
        <w:t>zatíženi,</w:t>
      </w:r>
      <w:r w:rsidRPr="00B9289B">
        <w:rPr>
          <w:rFonts w:cs="Arial"/>
          <w:szCs w:val="22"/>
        </w:rPr>
        <w:t xml:space="preserve"> </w:t>
      </w:r>
      <w:r w:rsidR="005B18EF" w:rsidRPr="00B9289B">
        <w:rPr>
          <w:rFonts w:cs="Arial"/>
          <w:szCs w:val="22"/>
        </w:rPr>
        <w:t>ať</w:t>
      </w:r>
      <w:r w:rsidRPr="00B9289B">
        <w:rPr>
          <w:rFonts w:cs="Arial"/>
          <w:szCs w:val="22"/>
        </w:rPr>
        <w:t xml:space="preserve"> </w:t>
      </w:r>
      <w:r w:rsidR="005B18EF" w:rsidRPr="00B9289B">
        <w:rPr>
          <w:rFonts w:cs="Arial"/>
          <w:szCs w:val="22"/>
        </w:rPr>
        <w:t>už</w:t>
      </w:r>
      <w:r w:rsidRPr="00B9289B">
        <w:rPr>
          <w:rFonts w:cs="Arial"/>
          <w:szCs w:val="22"/>
        </w:rPr>
        <w:t xml:space="preserve"> </w:t>
      </w:r>
      <w:r w:rsidR="005B18EF" w:rsidRPr="00B9289B">
        <w:rPr>
          <w:rFonts w:cs="Arial"/>
          <w:szCs w:val="22"/>
        </w:rPr>
        <w:t>finanční</w:t>
      </w:r>
      <w:r w:rsidRPr="00B9289B">
        <w:rPr>
          <w:rFonts w:cs="Arial"/>
          <w:szCs w:val="22"/>
        </w:rPr>
        <w:t xml:space="preserve"> </w:t>
      </w:r>
      <w:r w:rsidR="005B18EF" w:rsidRPr="00B9289B">
        <w:rPr>
          <w:rFonts w:cs="Arial"/>
          <w:szCs w:val="22"/>
        </w:rPr>
        <w:t>či</w:t>
      </w:r>
      <w:r w:rsidRPr="00B9289B">
        <w:rPr>
          <w:rFonts w:cs="Arial"/>
          <w:szCs w:val="22"/>
        </w:rPr>
        <w:t xml:space="preserve"> </w:t>
      </w:r>
      <w:r w:rsidR="005B18EF" w:rsidRPr="00B9289B">
        <w:rPr>
          <w:rFonts w:cs="Arial"/>
          <w:szCs w:val="22"/>
        </w:rPr>
        <w:t>lidské,</w:t>
      </w:r>
      <w:r w:rsidRPr="00B9289B">
        <w:rPr>
          <w:rFonts w:cs="Arial"/>
          <w:szCs w:val="22"/>
        </w:rPr>
        <w:t xml:space="preserve"> se nijak </w:t>
      </w:r>
      <w:r w:rsidR="005B18EF" w:rsidRPr="00B9289B">
        <w:rPr>
          <w:rFonts w:cs="Arial"/>
          <w:szCs w:val="22"/>
        </w:rPr>
        <w:t>nezmění</w:t>
      </w:r>
      <w:r w:rsidRPr="00B9289B">
        <w:rPr>
          <w:rFonts w:cs="Arial"/>
          <w:szCs w:val="22"/>
        </w:rPr>
        <w:t>. Naopak se jist</w:t>
      </w:r>
      <w:r w:rsidR="000C34D1" w:rsidRPr="00B9289B">
        <w:rPr>
          <w:rFonts w:cs="Arial"/>
          <w:szCs w:val="22"/>
        </w:rPr>
        <w:t>á</w:t>
      </w:r>
      <w:r w:rsidRPr="00B9289B">
        <w:rPr>
          <w:rFonts w:cs="Arial"/>
          <w:szCs w:val="22"/>
        </w:rPr>
        <w:t xml:space="preserve"> </w:t>
      </w:r>
      <w:r w:rsidR="000C34D1" w:rsidRPr="00B9289B">
        <w:rPr>
          <w:rFonts w:cs="Arial"/>
          <w:szCs w:val="22"/>
        </w:rPr>
        <w:t>čá</w:t>
      </w:r>
      <w:r w:rsidRPr="00B9289B">
        <w:rPr>
          <w:rFonts w:cs="Arial"/>
          <w:szCs w:val="22"/>
        </w:rPr>
        <w:t>st spole</w:t>
      </w:r>
      <w:r w:rsidR="000C34D1" w:rsidRPr="00B9289B">
        <w:rPr>
          <w:rFonts w:cs="Arial"/>
          <w:szCs w:val="22"/>
        </w:rPr>
        <w:t>č</w:t>
      </w:r>
      <w:r w:rsidRPr="00B9289B">
        <w:rPr>
          <w:rFonts w:cs="Arial"/>
          <w:szCs w:val="22"/>
        </w:rPr>
        <w:t>nosti pot</w:t>
      </w:r>
      <w:r w:rsidR="000C34D1" w:rsidRPr="00B9289B">
        <w:rPr>
          <w:rFonts w:cs="Arial"/>
          <w:szCs w:val="22"/>
        </w:rPr>
        <w:t>ýká</w:t>
      </w:r>
      <w:r w:rsidRPr="00B9289B">
        <w:rPr>
          <w:rFonts w:cs="Arial"/>
          <w:szCs w:val="22"/>
        </w:rPr>
        <w:t xml:space="preserve"> s </w:t>
      </w:r>
      <w:r w:rsidR="000C34D1" w:rsidRPr="00B9289B">
        <w:rPr>
          <w:rFonts w:cs="Arial"/>
          <w:szCs w:val="22"/>
        </w:rPr>
        <w:t>mediálně</w:t>
      </w:r>
      <w:r w:rsidRPr="00B9289B">
        <w:rPr>
          <w:rFonts w:cs="Arial"/>
          <w:szCs w:val="22"/>
        </w:rPr>
        <w:t xml:space="preserve"> </w:t>
      </w:r>
      <w:r w:rsidR="000C34D1" w:rsidRPr="00B9289B">
        <w:rPr>
          <w:rFonts w:cs="Arial"/>
          <w:szCs w:val="22"/>
        </w:rPr>
        <w:t>komunikovaným</w:t>
      </w:r>
      <w:r w:rsidRPr="00B9289B">
        <w:rPr>
          <w:rFonts w:cs="Arial"/>
          <w:szCs w:val="22"/>
        </w:rPr>
        <w:t xml:space="preserve"> </w:t>
      </w:r>
      <w:r w:rsidR="000C34D1" w:rsidRPr="00B9289B">
        <w:rPr>
          <w:rFonts w:cs="Arial"/>
          <w:szCs w:val="22"/>
        </w:rPr>
        <w:t>názorem</w:t>
      </w:r>
      <w:r w:rsidRPr="00B9289B">
        <w:rPr>
          <w:rFonts w:cs="Arial"/>
          <w:szCs w:val="22"/>
        </w:rPr>
        <w:t xml:space="preserve">, </w:t>
      </w:r>
      <w:r w:rsidR="000C34D1" w:rsidRPr="00B9289B">
        <w:rPr>
          <w:rFonts w:cs="Arial"/>
          <w:szCs w:val="22"/>
        </w:rPr>
        <w:t>ž</w:t>
      </w:r>
      <w:r w:rsidRPr="00B9289B">
        <w:rPr>
          <w:rFonts w:cs="Arial"/>
          <w:szCs w:val="22"/>
        </w:rPr>
        <w:t xml:space="preserve">e tato </w:t>
      </w:r>
      <w:r w:rsidR="000C34D1" w:rsidRPr="00B9289B">
        <w:rPr>
          <w:rFonts w:cs="Arial"/>
          <w:szCs w:val="22"/>
        </w:rPr>
        <w:t>změna</w:t>
      </w:r>
      <w:r w:rsidRPr="00B9289B">
        <w:rPr>
          <w:rFonts w:cs="Arial"/>
          <w:szCs w:val="22"/>
        </w:rPr>
        <w:t xml:space="preserve"> </w:t>
      </w:r>
      <w:r w:rsidR="000C34D1" w:rsidRPr="00B9289B">
        <w:rPr>
          <w:rFonts w:cs="Arial"/>
          <w:szCs w:val="22"/>
        </w:rPr>
        <w:t>může</w:t>
      </w:r>
      <w:r w:rsidRPr="00B9289B">
        <w:rPr>
          <w:rFonts w:cs="Arial"/>
          <w:szCs w:val="22"/>
        </w:rPr>
        <w:t xml:space="preserve"> b</w:t>
      </w:r>
      <w:r w:rsidR="000C34D1" w:rsidRPr="00B9289B">
        <w:rPr>
          <w:rFonts w:cs="Arial"/>
          <w:szCs w:val="22"/>
        </w:rPr>
        <w:t>ý</w:t>
      </w:r>
      <w:r w:rsidRPr="00B9289B">
        <w:rPr>
          <w:rFonts w:cs="Arial"/>
          <w:szCs w:val="22"/>
        </w:rPr>
        <w:t xml:space="preserve">t pro </w:t>
      </w:r>
      <w:r w:rsidR="000C34D1" w:rsidRPr="00B9289B">
        <w:rPr>
          <w:rFonts w:cs="Arial"/>
          <w:szCs w:val="22"/>
        </w:rPr>
        <w:t>některé</w:t>
      </w:r>
      <w:r w:rsidRPr="00B9289B">
        <w:rPr>
          <w:rFonts w:cs="Arial"/>
          <w:szCs w:val="22"/>
        </w:rPr>
        <w:t xml:space="preserve"> podnikatele </w:t>
      </w:r>
      <w:r w:rsidR="000C34D1" w:rsidRPr="00B9289B">
        <w:rPr>
          <w:rFonts w:cs="Arial"/>
          <w:szCs w:val="22"/>
        </w:rPr>
        <w:t>likvidační</w:t>
      </w:r>
      <w:r w:rsidRPr="00B9289B">
        <w:rPr>
          <w:rFonts w:cs="Arial"/>
          <w:szCs w:val="22"/>
        </w:rPr>
        <w:t>.</w:t>
      </w:r>
      <w:r w:rsidR="002552B9" w:rsidRPr="00B9289B">
        <w:rPr>
          <w:rFonts w:cs="Arial"/>
          <w:szCs w:val="22"/>
        </w:rPr>
        <w:t xml:space="preserve"> Toto je ale zcela v rozporu s faktickými zkušenostmi z Chorvatska, kde byl podobný online systém evidence tržeb celoplošně a bez větších nesnází zaveden v roce 2013. Přinesl jednoznačné zlepšení výběru daně</w:t>
      </w:r>
      <w:r w:rsidR="004B77C4" w:rsidRPr="00B9289B">
        <w:rPr>
          <w:rFonts w:cs="Arial"/>
          <w:szCs w:val="22"/>
        </w:rPr>
        <w:t xml:space="preserve"> a</w:t>
      </w:r>
      <w:r w:rsidR="002552B9" w:rsidRPr="00B9289B">
        <w:rPr>
          <w:rFonts w:cs="Arial"/>
          <w:szCs w:val="22"/>
        </w:rPr>
        <w:t xml:space="preserve"> fungování Finanční správy, </w:t>
      </w:r>
      <w:r w:rsidR="004B77C4" w:rsidRPr="00B9289B">
        <w:rPr>
          <w:rFonts w:cs="Arial"/>
          <w:szCs w:val="22"/>
        </w:rPr>
        <w:t xml:space="preserve">přičemž zavedení nemělo masový vliv na podnikání, </w:t>
      </w:r>
      <w:r w:rsidR="002552B9" w:rsidRPr="00B9289B">
        <w:rPr>
          <w:rFonts w:cs="Arial"/>
          <w:szCs w:val="22"/>
        </w:rPr>
        <w:t xml:space="preserve">nezpůsobil </w:t>
      </w:r>
      <w:proofErr w:type="spellStart"/>
      <w:r w:rsidR="002552B9" w:rsidRPr="00B9289B">
        <w:rPr>
          <w:rFonts w:cs="Arial"/>
          <w:szCs w:val="22"/>
        </w:rPr>
        <w:t>diskomfort</w:t>
      </w:r>
      <w:proofErr w:type="spellEnd"/>
      <w:r w:rsidR="002552B9" w:rsidRPr="00B9289B">
        <w:rPr>
          <w:rFonts w:cs="Arial"/>
          <w:szCs w:val="22"/>
        </w:rPr>
        <w:t xml:space="preserve"> pro zákazníky</w:t>
      </w:r>
      <w:r w:rsidR="004B77C4" w:rsidRPr="00B9289B">
        <w:rPr>
          <w:rFonts w:cs="Arial"/>
          <w:szCs w:val="22"/>
        </w:rPr>
        <w:t>. Naopak</w:t>
      </w:r>
      <w:r w:rsidR="00787378" w:rsidRPr="00B9289B">
        <w:rPr>
          <w:rFonts w:cs="Arial"/>
          <w:szCs w:val="22"/>
        </w:rPr>
        <w:t>,</w:t>
      </w:r>
      <w:r w:rsidR="004B77C4" w:rsidRPr="00B9289B">
        <w:rPr>
          <w:rFonts w:cs="Arial"/>
          <w:szCs w:val="22"/>
        </w:rPr>
        <w:t xml:space="preserve"> umožnil snížení DPH v řadě </w:t>
      </w:r>
      <w:r w:rsidR="004B77C4" w:rsidRPr="00B9289B">
        <w:rPr>
          <w:rFonts w:cs="Arial"/>
          <w:szCs w:val="22"/>
        </w:rPr>
        <w:lastRenderedPageBreak/>
        <w:t>sektorů</w:t>
      </w:r>
      <w:r w:rsidR="002552B9" w:rsidRPr="00B9289B">
        <w:rPr>
          <w:rFonts w:cs="Arial"/>
          <w:szCs w:val="22"/>
        </w:rPr>
        <w:t>.</w:t>
      </w:r>
      <w:r w:rsidR="00221E7A" w:rsidRPr="00B9289B">
        <w:rPr>
          <w:rFonts w:cs="Arial"/>
          <w:szCs w:val="22"/>
        </w:rPr>
        <w:t xml:space="preserve"> Obdobné </w:t>
      </w:r>
      <w:r w:rsidR="00213DB5" w:rsidRPr="00B9289B">
        <w:rPr>
          <w:rFonts w:cs="Arial"/>
          <w:szCs w:val="22"/>
        </w:rPr>
        <w:t xml:space="preserve">pozitivní </w:t>
      </w:r>
      <w:r w:rsidR="00221E7A" w:rsidRPr="00B9289B">
        <w:rPr>
          <w:rFonts w:cs="Arial"/>
          <w:szCs w:val="22"/>
        </w:rPr>
        <w:t xml:space="preserve">zkušenosti </w:t>
      </w:r>
      <w:r w:rsidR="00213DB5" w:rsidRPr="00B9289B">
        <w:rPr>
          <w:rFonts w:cs="Arial"/>
          <w:szCs w:val="22"/>
        </w:rPr>
        <w:t>s registrací hotovostních tržeb</w:t>
      </w:r>
      <w:r w:rsidR="00857DF1" w:rsidRPr="00B9289B">
        <w:rPr>
          <w:rFonts w:cs="Arial"/>
          <w:szCs w:val="22"/>
        </w:rPr>
        <w:t xml:space="preserve"> (i když se třeba nejedná přímo o online řešení, ale o klasické registrační pokladny)</w:t>
      </w:r>
      <w:r w:rsidR="00213DB5" w:rsidRPr="00B9289B">
        <w:rPr>
          <w:rFonts w:cs="Arial"/>
          <w:szCs w:val="22"/>
        </w:rPr>
        <w:t xml:space="preserve"> potvrzují i dal</w:t>
      </w:r>
      <w:r w:rsidR="00BC0C32" w:rsidRPr="00B9289B">
        <w:rPr>
          <w:rFonts w:cs="Arial"/>
          <w:szCs w:val="22"/>
        </w:rPr>
        <w:t>ší země</w:t>
      </w:r>
      <w:r w:rsidR="00857DF1" w:rsidRPr="00B9289B">
        <w:rPr>
          <w:rFonts w:cs="Arial"/>
          <w:szCs w:val="22"/>
        </w:rPr>
        <w:t xml:space="preserve"> EU</w:t>
      </w:r>
      <w:r w:rsidR="00BC0C32" w:rsidRPr="00B9289B">
        <w:rPr>
          <w:rFonts w:cs="Arial"/>
          <w:szCs w:val="22"/>
        </w:rPr>
        <w:t>, mezi nimi např. Švédsko</w:t>
      </w:r>
      <w:r w:rsidR="00213DB5" w:rsidRPr="00B9289B">
        <w:rPr>
          <w:rFonts w:cs="Arial"/>
          <w:szCs w:val="22"/>
        </w:rPr>
        <w:t>.</w:t>
      </w:r>
      <w:r w:rsidR="00221E7A" w:rsidRPr="00B9289B">
        <w:rPr>
          <w:rFonts w:cs="Arial"/>
          <w:szCs w:val="22"/>
        </w:rPr>
        <w:t xml:space="preserve"> </w:t>
      </w:r>
    </w:p>
    <w:p w:rsidR="003E0D07" w:rsidRPr="00B9289B" w:rsidRDefault="003E0D07" w:rsidP="00CC6FAC">
      <w:pPr>
        <w:jc w:val="both"/>
        <w:rPr>
          <w:rFonts w:cs="Arial"/>
          <w:szCs w:val="22"/>
        </w:rPr>
      </w:pPr>
    </w:p>
    <w:p w:rsidR="00CC6FAC" w:rsidRPr="00B9289B" w:rsidRDefault="00CC6FAC" w:rsidP="000A3CD0">
      <w:pPr>
        <w:pStyle w:val="Nadpis2"/>
        <w:numPr>
          <w:ilvl w:val="0"/>
          <w:numId w:val="37"/>
        </w:numPr>
        <w:spacing w:before="240" w:after="240"/>
        <w:ind w:left="567" w:hanging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 xml:space="preserve">Cíle </w:t>
      </w:r>
      <w:r w:rsidR="00787378" w:rsidRPr="00B9289B">
        <w:rPr>
          <w:rFonts w:cs="Arial"/>
          <w:szCs w:val="22"/>
        </w:rPr>
        <w:t xml:space="preserve">informační </w:t>
      </w:r>
      <w:r w:rsidRPr="00B9289B">
        <w:rPr>
          <w:rFonts w:cs="Arial"/>
          <w:szCs w:val="22"/>
        </w:rPr>
        <w:t xml:space="preserve">kampaně </w:t>
      </w:r>
      <w:r w:rsidR="00A45364" w:rsidRPr="00B9289B">
        <w:rPr>
          <w:rFonts w:cs="Arial"/>
          <w:szCs w:val="22"/>
        </w:rPr>
        <w:t>a její načasování</w:t>
      </w:r>
      <w:r w:rsidR="00483590" w:rsidRPr="00B9289B">
        <w:rPr>
          <w:rFonts w:cs="Arial"/>
          <w:szCs w:val="22"/>
        </w:rPr>
        <w:t>, významné termíny</w:t>
      </w:r>
    </w:p>
    <w:p w:rsidR="00213DB5" w:rsidRPr="00B9289B" w:rsidRDefault="00CC6FAC" w:rsidP="00BC0C32">
      <w:pPr>
        <w:spacing w:after="240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Cílem celé kampaně je</w:t>
      </w:r>
      <w:r w:rsidR="00213DB5" w:rsidRPr="00B9289B">
        <w:rPr>
          <w:rFonts w:cs="Arial"/>
          <w:szCs w:val="22"/>
        </w:rPr>
        <w:t>:</w:t>
      </w:r>
    </w:p>
    <w:p w:rsidR="00AF2A33" w:rsidRPr="00B9289B" w:rsidRDefault="00AF2A33" w:rsidP="000A3CD0">
      <w:pPr>
        <w:pStyle w:val="Odstavecseseznamem"/>
        <w:numPr>
          <w:ilvl w:val="0"/>
          <w:numId w:val="36"/>
        </w:numPr>
        <w:ind w:left="567" w:hanging="567"/>
        <w:jc w:val="both"/>
        <w:rPr>
          <w:rFonts w:cs="Arial"/>
          <w:szCs w:val="22"/>
        </w:rPr>
      </w:pPr>
      <w:r w:rsidRPr="00B9289B">
        <w:rPr>
          <w:rFonts w:cs="Arial"/>
          <w:b/>
          <w:szCs w:val="22"/>
        </w:rPr>
        <w:t>u široké veřejnosti</w:t>
      </w:r>
      <w:r w:rsidRPr="00B9289B">
        <w:rPr>
          <w:rFonts w:cs="Arial"/>
          <w:szCs w:val="22"/>
        </w:rPr>
        <w:t xml:space="preserve"> </w:t>
      </w:r>
      <w:r w:rsidR="00CC6FAC" w:rsidRPr="00B9289B">
        <w:rPr>
          <w:rFonts w:cs="Arial"/>
          <w:szCs w:val="22"/>
        </w:rPr>
        <w:t>dos</w:t>
      </w:r>
      <w:r w:rsidR="0001273D" w:rsidRPr="00B9289B">
        <w:rPr>
          <w:rFonts w:cs="Arial"/>
          <w:szCs w:val="22"/>
        </w:rPr>
        <w:t>áhnout</w:t>
      </w:r>
      <w:r w:rsidR="00CC6FAC" w:rsidRPr="00B9289B">
        <w:rPr>
          <w:rFonts w:cs="Arial"/>
          <w:szCs w:val="22"/>
        </w:rPr>
        <w:t xml:space="preserve"> plošné společenské podpory EET</w:t>
      </w:r>
      <w:r w:rsidRPr="00B9289B">
        <w:rPr>
          <w:rFonts w:cs="Arial"/>
          <w:szCs w:val="22"/>
        </w:rPr>
        <w:t xml:space="preserve"> </w:t>
      </w:r>
      <w:r w:rsidR="00CC6FAC" w:rsidRPr="00B9289B">
        <w:rPr>
          <w:rFonts w:cs="Arial"/>
          <w:szCs w:val="22"/>
        </w:rPr>
        <w:t xml:space="preserve">jako </w:t>
      </w:r>
      <w:r w:rsidR="008F6F01" w:rsidRPr="00B9289B">
        <w:rPr>
          <w:rFonts w:cs="Arial"/>
          <w:szCs w:val="22"/>
        </w:rPr>
        <w:t xml:space="preserve">spravedlivého </w:t>
      </w:r>
      <w:r w:rsidRPr="00B9289B">
        <w:rPr>
          <w:rFonts w:cs="Arial"/>
          <w:szCs w:val="22"/>
        </w:rPr>
        <w:t>a pro</w:t>
      </w:r>
      <w:r w:rsidR="00CC6FAC" w:rsidRPr="00B9289B">
        <w:rPr>
          <w:rFonts w:cs="Arial"/>
          <w:szCs w:val="22"/>
        </w:rPr>
        <w:t xml:space="preserve"> výběr dan</w:t>
      </w:r>
      <w:r w:rsidRPr="00B9289B">
        <w:rPr>
          <w:rFonts w:cs="Arial"/>
          <w:szCs w:val="22"/>
        </w:rPr>
        <w:t>í</w:t>
      </w:r>
      <w:r w:rsidR="00CC6FAC" w:rsidRPr="00B9289B">
        <w:rPr>
          <w:rFonts w:cs="Arial"/>
          <w:szCs w:val="22"/>
        </w:rPr>
        <w:t xml:space="preserve"> </w:t>
      </w:r>
      <w:r w:rsidRPr="00B9289B">
        <w:rPr>
          <w:rFonts w:cs="Arial"/>
          <w:szCs w:val="22"/>
        </w:rPr>
        <w:t xml:space="preserve">účinného nástroje, </w:t>
      </w:r>
      <w:r w:rsidR="0001273D" w:rsidRPr="00B9289B">
        <w:rPr>
          <w:rFonts w:cs="Arial"/>
          <w:szCs w:val="22"/>
        </w:rPr>
        <w:t xml:space="preserve">který </w:t>
      </w:r>
      <w:r w:rsidR="005F2A5E" w:rsidRPr="00B9289B">
        <w:rPr>
          <w:rFonts w:cs="Arial"/>
          <w:szCs w:val="22"/>
        </w:rPr>
        <w:t xml:space="preserve">v České republice </w:t>
      </w:r>
      <w:r w:rsidRPr="00B9289B">
        <w:rPr>
          <w:rFonts w:cs="Arial"/>
          <w:szCs w:val="22"/>
        </w:rPr>
        <w:t>narovn</w:t>
      </w:r>
      <w:r w:rsidR="005F2A5E" w:rsidRPr="00B9289B">
        <w:rPr>
          <w:rFonts w:cs="Arial"/>
          <w:szCs w:val="22"/>
        </w:rPr>
        <w:t>á</w:t>
      </w:r>
      <w:r w:rsidRPr="00B9289B">
        <w:rPr>
          <w:rFonts w:cs="Arial"/>
          <w:szCs w:val="22"/>
        </w:rPr>
        <w:t xml:space="preserve"> podnikatelské prostředí</w:t>
      </w:r>
      <w:r w:rsidR="005F2A5E" w:rsidRPr="00B9289B">
        <w:rPr>
          <w:rFonts w:cs="Arial"/>
          <w:szCs w:val="22"/>
        </w:rPr>
        <w:t xml:space="preserve"> a </w:t>
      </w:r>
      <w:r w:rsidR="001577CE" w:rsidRPr="00B9289B">
        <w:rPr>
          <w:rFonts w:cs="Arial"/>
          <w:szCs w:val="22"/>
        </w:rPr>
        <w:t xml:space="preserve">díky </w:t>
      </w:r>
      <w:r w:rsidRPr="00B9289B">
        <w:rPr>
          <w:rFonts w:cs="Arial"/>
          <w:szCs w:val="22"/>
        </w:rPr>
        <w:t>férov</w:t>
      </w:r>
      <w:r w:rsidR="001577CE" w:rsidRPr="00B9289B">
        <w:rPr>
          <w:rFonts w:cs="Arial"/>
          <w:szCs w:val="22"/>
        </w:rPr>
        <w:t>ému</w:t>
      </w:r>
      <w:r w:rsidRPr="00B9289B">
        <w:rPr>
          <w:rFonts w:cs="Arial"/>
          <w:szCs w:val="22"/>
        </w:rPr>
        <w:t xml:space="preserve"> a efektivn</w:t>
      </w:r>
      <w:r w:rsidR="001577CE" w:rsidRPr="00B9289B">
        <w:rPr>
          <w:rFonts w:cs="Arial"/>
          <w:szCs w:val="22"/>
        </w:rPr>
        <w:t>ějšímu</w:t>
      </w:r>
      <w:r w:rsidRPr="00B9289B">
        <w:rPr>
          <w:rFonts w:cs="Arial"/>
          <w:szCs w:val="22"/>
        </w:rPr>
        <w:t xml:space="preserve"> výběr</w:t>
      </w:r>
      <w:r w:rsidR="001577CE" w:rsidRPr="00B9289B">
        <w:rPr>
          <w:rFonts w:cs="Arial"/>
          <w:szCs w:val="22"/>
        </w:rPr>
        <w:t>u</w:t>
      </w:r>
      <w:r w:rsidRPr="00B9289B">
        <w:rPr>
          <w:rFonts w:cs="Arial"/>
          <w:szCs w:val="22"/>
        </w:rPr>
        <w:t xml:space="preserve"> daní </w:t>
      </w:r>
      <w:r w:rsidR="001577CE" w:rsidRPr="00B9289B">
        <w:rPr>
          <w:rFonts w:cs="Arial"/>
          <w:szCs w:val="22"/>
        </w:rPr>
        <w:t>přin</w:t>
      </w:r>
      <w:r w:rsidR="005F2A5E" w:rsidRPr="00B9289B">
        <w:rPr>
          <w:rFonts w:cs="Arial"/>
          <w:szCs w:val="22"/>
        </w:rPr>
        <w:t>ese</w:t>
      </w:r>
      <w:r w:rsidR="001577CE" w:rsidRPr="00B9289B">
        <w:rPr>
          <w:rFonts w:cs="Arial"/>
          <w:szCs w:val="22"/>
        </w:rPr>
        <w:t xml:space="preserve"> </w:t>
      </w:r>
      <w:r w:rsidR="00CB3C26" w:rsidRPr="00B9289B">
        <w:rPr>
          <w:rFonts w:cs="Arial"/>
          <w:szCs w:val="22"/>
        </w:rPr>
        <w:t>kvalitnější</w:t>
      </w:r>
      <w:r w:rsidRPr="00B9289B">
        <w:rPr>
          <w:rFonts w:cs="Arial"/>
          <w:szCs w:val="22"/>
        </w:rPr>
        <w:t xml:space="preserve"> </w:t>
      </w:r>
      <w:r w:rsidR="00CB3C26" w:rsidRPr="00B9289B">
        <w:rPr>
          <w:rFonts w:cs="Arial"/>
          <w:szCs w:val="22"/>
        </w:rPr>
        <w:t>život</w:t>
      </w:r>
      <w:r w:rsidR="00B26CE5" w:rsidRPr="00B9289B">
        <w:rPr>
          <w:rFonts w:cs="Arial"/>
          <w:szCs w:val="22"/>
        </w:rPr>
        <w:t xml:space="preserve"> </w:t>
      </w:r>
      <w:r w:rsidR="00CB3C26" w:rsidRPr="00B9289B">
        <w:rPr>
          <w:rFonts w:cs="Arial"/>
          <w:szCs w:val="22"/>
        </w:rPr>
        <w:t>ná</w:t>
      </w:r>
      <w:r w:rsidR="005F2A5E" w:rsidRPr="00B9289B">
        <w:rPr>
          <w:rFonts w:cs="Arial"/>
          <w:szCs w:val="22"/>
        </w:rPr>
        <w:t>m</w:t>
      </w:r>
      <w:r w:rsidRPr="00B9289B">
        <w:rPr>
          <w:rFonts w:cs="Arial"/>
          <w:szCs w:val="22"/>
        </w:rPr>
        <w:t xml:space="preserve"> </w:t>
      </w:r>
      <w:r w:rsidR="00CB3C26" w:rsidRPr="00B9289B">
        <w:rPr>
          <w:rFonts w:cs="Arial"/>
          <w:szCs w:val="22"/>
        </w:rPr>
        <w:t>vše</w:t>
      </w:r>
      <w:r w:rsidR="001577CE" w:rsidRPr="00B9289B">
        <w:rPr>
          <w:rFonts w:cs="Arial"/>
          <w:szCs w:val="22"/>
        </w:rPr>
        <w:t>m</w:t>
      </w:r>
      <w:r w:rsidR="00CB3C26" w:rsidRPr="00B9289B">
        <w:rPr>
          <w:rFonts w:cs="Arial"/>
          <w:szCs w:val="22"/>
        </w:rPr>
        <w:t>.</w:t>
      </w:r>
      <w:r w:rsidRPr="00B9289B">
        <w:rPr>
          <w:rFonts w:cs="Arial"/>
          <w:szCs w:val="22"/>
        </w:rPr>
        <w:t xml:space="preserve"> </w:t>
      </w:r>
    </w:p>
    <w:p w:rsidR="00F22ACA" w:rsidRPr="00B9289B" w:rsidRDefault="00AF2A33" w:rsidP="000A3CD0">
      <w:pPr>
        <w:pStyle w:val="Odstavecseseznamem"/>
        <w:numPr>
          <w:ilvl w:val="0"/>
          <w:numId w:val="36"/>
        </w:numPr>
        <w:ind w:left="567" w:hanging="567"/>
        <w:jc w:val="both"/>
        <w:rPr>
          <w:rFonts w:cs="Arial"/>
          <w:szCs w:val="22"/>
        </w:rPr>
      </w:pPr>
      <w:r w:rsidRPr="00B9289B">
        <w:rPr>
          <w:rFonts w:cs="Arial"/>
          <w:b/>
          <w:szCs w:val="22"/>
        </w:rPr>
        <w:t xml:space="preserve">u </w:t>
      </w:r>
      <w:r w:rsidR="000A1C68" w:rsidRPr="00B9289B">
        <w:rPr>
          <w:rFonts w:cs="Arial"/>
          <w:b/>
          <w:szCs w:val="22"/>
        </w:rPr>
        <w:t>podnikatelských</w:t>
      </w:r>
      <w:r w:rsidR="00CC6FAC" w:rsidRPr="00B9289B">
        <w:rPr>
          <w:rFonts w:cs="Arial"/>
          <w:b/>
          <w:szCs w:val="22"/>
        </w:rPr>
        <w:t xml:space="preserve"> subjektů</w:t>
      </w:r>
      <w:r w:rsidR="00CC6FAC" w:rsidRPr="00B9289B">
        <w:rPr>
          <w:rFonts w:cs="Arial"/>
          <w:szCs w:val="22"/>
        </w:rPr>
        <w:t xml:space="preserve"> </w:t>
      </w:r>
      <w:r w:rsidRPr="00B9289B">
        <w:rPr>
          <w:rFonts w:cs="Arial"/>
          <w:szCs w:val="22"/>
        </w:rPr>
        <w:t>zaj</w:t>
      </w:r>
      <w:r w:rsidR="005F2A5E" w:rsidRPr="00B9289B">
        <w:rPr>
          <w:rFonts w:cs="Arial"/>
          <w:szCs w:val="22"/>
        </w:rPr>
        <w:t>istit</w:t>
      </w:r>
      <w:r w:rsidRPr="00B9289B">
        <w:rPr>
          <w:rFonts w:cs="Arial"/>
          <w:szCs w:val="22"/>
        </w:rPr>
        <w:t xml:space="preserve"> včasn</w:t>
      </w:r>
      <w:r w:rsidR="005F2A5E" w:rsidRPr="00B9289B">
        <w:rPr>
          <w:rFonts w:cs="Arial"/>
          <w:szCs w:val="22"/>
        </w:rPr>
        <w:t>ou</w:t>
      </w:r>
      <w:r w:rsidRPr="00B9289B">
        <w:rPr>
          <w:rFonts w:cs="Arial"/>
          <w:szCs w:val="22"/>
        </w:rPr>
        <w:t xml:space="preserve"> a úpln</w:t>
      </w:r>
      <w:r w:rsidR="005F2A5E" w:rsidRPr="00B9289B">
        <w:rPr>
          <w:rFonts w:cs="Arial"/>
          <w:szCs w:val="22"/>
        </w:rPr>
        <w:t>ou informovanost</w:t>
      </w:r>
      <w:r w:rsidR="00CC6FAC" w:rsidRPr="00B9289B">
        <w:rPr>
          <w:rFonts w:cs="Arial"/>
          <w:szCs w:val="22"/>
        </w:rPr>
        <w:br/>
        <w:t>(ke snížení rizika přetížení systému a technických závad).</w:t>
      </w:r>
    </w:p>
    <w:p w:rsidR="00455608" w:rsidRPr="00B9289B" w:rsidRDefault="00455608" w:rsidP="00213DB5">
      <w:pPr>
        <w:pStyle w:val="Odstavecseseznamem"/>
        <w:tabs>
          <w:tab w:val="left" w:pos="567"/>
        </w:tabs>
        <w:ind w:left="567"/>
        <w:jc w:val="both"/>
        <w:rPr>
          <w:rFonts w:eastAsia="Calibri" w:cs="Arial"/>
          <w:szCs w:val="22"/>
          <w:lang w:eastAsia="en-US"/>
        </w:rPr>
      </w:pPr>
    </w:p>
    <w:p w:rsidR="00FE582E" w:rsidRPr="00B9289B" w:rsidRDefault="00FE582E" w:rsidP="00634B40">
      <w:pPr>
        <w:jc w:val="both"/>
        <w:rPr>
          <w:rFonts w:cs="Arial"/>
          <w:szCs w:val="22"/>
        </w:rPr>
      </w:pPr>
    </w:p>
    <w:p w:rsidR="00634B40" w:rsidRPr="00B9289B" w:rsidRDefault="00163C25" w:rsidP="00634B40">
      <w:pPr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 xml:space="preserve">Informační kampaň bude spuštěna </w:t>
      </w:r>
      <w:r w:rsidR="006C4C2E">
        <w:rPr>
          <w:rFonts w:cs="Arial"/>
          <w:szCs w:val="22"/>
        </w:rPr>
        <w:t xml:space="preserve">nejpozději </w:t>
      </w:r>
      <w:r w:rsidRPr="00B9289B">
        <w:rPr>
          <w:rFonts w:cs="Arial"/>
          <w:szCs w:val="22"/>
        </w:rPr>
        <w:t xml:space="preserve">v období sedmi měsíců mezi platností a účinností zákona o evidenci tržeb. </w:t>
      </w:r>
      <w:r w:rsidR="00AE451F" w:rsidRPr="00B9289B">
        <w:rPr>
          <w:rFonts w:cs="Arial"/>
          <w:szCs w:val="22"/>
        </w:rPr>
        <w:t xml:space="preserve">Dnem účinnosti zákona </w:t>
      </w:r>
      <w:r w:rsidR="001A45D9" w:rsidRPr="00B9289B">
        <w:rPr>
          <w:rFonts w:cs="Arial"/>
          <w:szCs w:val="22"/>
        </w:rPr>
        <w:t>vznikne</w:t>
      </w:r>
      <w:r w:rsidR="00AE451F" w:rsidRPr="00B9289B">
        <w:rPr>
          <w:rFonts w:cs="Arial"/>
          <w:szCs w:val="22"/>
        </w:rPr>
        <w:t xml:space="preserve"> povinnost evidovat tržby podnikatelům ze sektoru ubytovacích a stravovacích služeb. Po třech měsících podnikatelům ze sektoru maloobchod a velkoobchod</w:t>
      </w:r>
      <w:r w:rsidR="00FE582E" w:rsidRPr="00B9289B">
        <w:rPr>
          <w:rFonts w:cs="Arial"/>
          <w:szCs w:val="22"/>
        </w:rPr>
        <w:t>.</w:t>
      </w:r>
      <w:r w:rsidR="00AE451F" w:rsidRPr="00B9289B">
        <w:rPr>
          <w:rFonts w:cs="Arial"/>
          <w:szCs w:val="22"/>
        </w:rPr>
        <w:t xml:space="preserve"> Jeden měsíc před účinností zákona si budou moci </w:t>
      </w:r>
      <w:r w:rsidR="000A1C68" w:rsidRPr="00B9289B">
        <w:rPr>
          <w:rFonts w:cs="Arial"/>
          <w:szCs w:val="22"/>
        </w:rPr>
        <w:t>podnikatelské</w:t>
      </w:r>
      <w:r w:rsidR="00787378" w:rsidRPr="00B9289B">
        <w:rPr>
          <w:rFonts w:cs="Arial"/>
          <w:szCs w:val="22"/>
        </w:rPr>
        <w:t xml:space="preserve"> subjekty</w:t>
      </w:r>
      <w:r w:rsidR="00AE451F" w:rsidRPr="00B9289B">
        <w:rPr>
          <w:rFonts w:cs="Arial"/>
          <w:szCs w:val="22"/>
        </w:rPr>
        <w:t xml:space="preserve"> celý systém vyzkoušet v</w:t>
      </w:r>
      <w:r w:rsidR="00BC0C32" w:rsidRPr="00B9289B">
        <w:rPr>
          <w:rFonts w:cs="Arial"/>
          <w:szCs w:val="22"/>
        </w:rPr>
        <w:t> testovacím prostředí</w:t>
      </w:r>
      <w:r w:rsidR="00BD2151" w:rsidRPr="00B9289B">
        <w:rPr>
          <w:rFonts w:cs="Arial"/>
          <w:szCs w:val="22"/>
        </w:rPr>
        <w:t xml:space="preserve">, tři měsíce před účinností zákona </w:t>
      </w:r>
      <w:r w:rsidR="00787378" w:rsidRPr="00B9289B">
        <w:rPr>
          <w:rFonts w:cs="Arial"/>
          <w:szCs w:val="22"/>
        </w:rPr>
        <w:t xml:space="preserve">jim </w:t>
      </w:r>
      <w:r w:rsidR="00BD2151" w:rsidRPr="00B9289B">
        <w:rPr>
          <w:rFonts w:cs="Arial"/>
          <w:szCs w:val="22"/>
        </w:rPr>
        <w:t xml:space="preserve">bude </w:t>
      </w:r>
      <w:r w:rsidR="00787378" w:rsidRPr="00B9289B">
        <w:rPr>
          <w:rFonts w:cs="Arial"/>
          <w:szCs w:val="22"/>
        </w:rPr>
        <w:t xml:space="preserve">umožněno </w:t>
      </w:r>
      <w:r w:rsidR="00D66289" w:rsidRPr="00B9289B">
        <w:rPr>
          <w:rFonts w:cs="Arial"/>
          <w:szCs w:val="22"/>
        </w:rPr>
        <w:t xml:space="preserve">vyzvednout si autentizační údaje a </w:t>
      </w:r>
      <w:r w:rsidR="00BD2151" w:rsidRPr="00B9289B">
        <w:rPr>
          <w:rFonts w:cs="Arial"/>
          <w:szCs w:val="22"/>
        </w:rPr>
        <w:t xml:space="preserve">do systému </w:t>
      </w:r>
      <w:r w:rsidR="00D66289" w:rsidRPr="00B9289B">
        <w:rPr>
          <w:rFonts w:cs="Arial"/>
          <w:szCs w:val="22"/>
        </w:rPr>
        <w:t xml:space="preserve">se </w:t>
      </w:r>
      <w:r w:rsidR="00BD2151" w:rsidRPr="00B9289B">
        <w:rPr>
          <w:rFonts w:cs="Arial"/>
          <w:szCs w:val="22"/>
        </w:rPr>
        <w:t>zaregistrovat.</w:t>
      </w:r>
    </w:p>
    <w:p w:rsidR="00FE582E" w:rsidRPr="00B9289B" w:rsidRDefault="00FE582E" w:rsidP="00634B40">
      <w:pPr>
        <w:jc w:val="both"/>
        <w:rPr>
          <w:rFonts w:cs="Arial"/>
          <w:szCs w:val="22"/>
        </w:rPr>
      </w:pPr>
    </w:p>
    <w:p w:rsidR="00C80AAF" w:rsidRPr="00B9289B" w:rsidRDefault="000E5B5B" w:rsidP="00C80AAF">
      <w:pPr>
        <w:tabs>
          <w:tab w:val="left" w:pos="567"/>
        </w:tabs>
        <w:jc w:val="both"/>
        <w:rPr>
          <w:rFonts w:cs="Arial"/>
          <w:b/>
          <w:szCs w:val="22"/>
        </w:rPr>
      </w:pPr>
      <w:r w:rsidRPr="00B9289B">
        <w:rPr>
          <w:rFonts w:cs="Arial"/>
          <w:szCs w:val="22"/>
        </w:rPr>
        <w:t xml:space="preserve">Podnikatelské subjekty tedy bude </w:t>
      </w:r>
      <w:r w:rsidR="007B0D28" w:rsidRPr="00B9289B">
        <w:rPr>
          <w:rFonts w:cs="Arial"/>
          <w:szCs w:val="22"/>
        </w:rPr>
        <w:t>nutn</w:t>
      </w:r>
      <w:r w:rsidRPr="00B9289B">
        <w:rPr>
          <w:rFonts w:cs="Arial"/>
          <w:szCs w:val="22"/>
        </w:rPr>
        <w:t xml:space="preserve">é v rámci kampaně informovat mimo jiné </w:t>
      </w:r>
      <w:r w:rsidR="000D64F9" w:rsidRPr="00B9289B">
        <w:rPr>
          <w:rFonts w:cs="Arial"/>
          <w:szCs w:val="22"/>
        </w:rPr>
        <w:t>o</w:t>
      </w:r>
      <w:r w:rsidR="007B0D28" w:rsidRPr="00B9289B">
        <w:rPr>
          <w:rFonts w:cs="Arial"/>
          <w:szCs w:val="22"/>
        </w:rPr>
        <w:t xml:space="preserve"> jejich možnostech a povinnostech</w:t>
      </w:r>
      <w:r w:rsidR="000D64F9" w:rsidRPr="00B9289B">
        <w:rPr>
          <w:rFonts w:cs="Arial"/>
          <w:szCs w:val="22"/>
        </w:rPr>
        <w:t xml:space="preserve">, které jim </w:t>
      </w:r>
      <w:r w:rsidR="00AE5574">
        <w:rPr>
          <w:rFonts w:cs="Arial"/>
          <w:szCs w:val="22"/>
        </w:rPr>
        <w:t xml:space="preserve">v rámci projektu </w:t>
      </w:r>
      <w:r w:rsidR="000D64F9" w:rsidRPr="00B9289B">
        <w:rPr>
          <w:rFonts w:cs="Arial"/>
          <w:szCs w:val="22"/>
        </w:rPr>
        <w:t xml:space="preserve">od určitého </w:t>
      </w:r>
      <w:r w:rsidRPr="00B9289B">
        <w:rPr>
          <w:rFonts w:cs="Arial"/>
          <w:szCs w:val="22"/>
        </w:rPr>
        <w:t>termínu</w:t>
      </w:r>
      <w:r w:rsidR="000D64F9" w:rsidRPr="00B9289B">
        <w:rPr>
          <w:rFonts w:cs="Arial"/>
          <w:szCs w:val="22"/>
        </w:rPr>
        <w:t xml:space="preserve"> vzniknou</w:t>
      </w:r>
      <w:r w:rsidR="005C572F" w:rsidRPr="00B9289B">
        <w:rPr>
          <w:rFonts w:cs="Arial"/>
          <w:szCs w:val="22"/>
        </w:rPr>
        <w:t>.</w:t>
      </w:r>
      <w:r w:rsidRPr="00B9289B">
        <w:rPr>
          <w:rFonts w:cs="Arial"/>
          <w:szCs w:val="22"/>
        </w:rPr>
        <w:t xml:space="preserve"> </w:t>
      </w:r>
      <w:r w:rsidR="00483590" w:rsidRPr="00B9289B">
        <w:rPr>
          <w:rFonts w:cs="Arial"/>
          <w:szCs w:val="22"/>
        </w:rPr>
        <w:t>Vzhledem k tomu, že tyto termíny se odvíjejí od data platnosti a účinnosti zákona, nelze je ke dni vyhlášení VZ uvést konkrétně</w:t>
      </w:r>
      <w:r w:rsidR="00AE5574">
        <w:rPr>
          <w:rFonts w:cs="Arial"/>
          <w:szCs w:val="22"/>
        </w:rPr>
        <w:t xml:space="preserve"> a budou vítěznému uchazeči sdělena na žádost</w:t>
      </w:r>
      <w:r w:rsidR="00483590" w:rsidRPr="00B9289B">
        <w:rPr>
          <w:rFonts w:cs="Arial"/>
          <w:szCs w:val="22"/>
        </w:rPr>
        <w:t xml:space="preserve">. </w:t>
      </w:r>
      <w:r w:rsidRPr="00B9289B">
        <w:rPr>
          <w:rFonts w:cs="Arial"/>
          <w:szCs w:val="22"/>
        </w:rPr>
        <w:t>Jedná se především o následující termíny:</w:t>
      </w:r>
    </w:p>
    <w:p w:rsidR="00C80AAF" w:rsidRPr="00B9289B" w:rsidRDefault="00C80AAF" w:rsidP="00C80AAF">
      <w:pPr>
        <w:pStyle w:val="Odstavecseseznamem"/>
        <w:tabs>
          <w:tab w:val="left" w:pos="567"/>
        </w:tabs>
        <w:ind w:left="567"/>
        <w:jc w:val="both"/>
        <w:rPr>
          <w:rFonts w:cs="Arial"/>
          <w:szCs w:val="22"/>
        </w:rPr>
      </w:pPr>
    </w:p>
    <w:p w:rsidR="00C80AAF" w:rsidRPr="00B9289B" w:rsidRDefault="000E5B5B" w:rsidP="00C80AAF">
      <w:pPr>
        <w:pStyle w:val="Odstavecseseznamem"/>
        <w:numPr>
          <w:ilvl w:val="0"/>
          <w:numId w:val="46"/>
        </w:numPr>
        <w:tabs>
          <w:tab w:val="left" w:pos="284"/>
        </w:tabs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termín</w:t>
      </w:r>
      <w:r w:rsidR="000D64F9" w:rsidRPr="00B9289B">
        <w:rPr>
          <w:rFonts w:cs="Arial"/>
          <w:szCs w:val="22"/>
        </w:rPr>
        <w:t xml:space="preserve">, od kterého </w:t>
      </w:r>
      <w:r w:rsidR="00C80AAF" w:rsidRPr="00B9289B">
        <w:rPr>
          <w:rFonts w:cs="Arial"/>
          <w:szCs w:val="22"/>
        </w:rPr>
        <w:t>bude podnikatelským subjektům umožněno vyzvednout si autentizační údaje a do systému se zaregistrovat</w:t>
      </w:r>
    </w:p>
    <w:p w:rsidR="00C80AAF" w:rsidRPr="00B9289B" w:rsidRDefault="00C80AAF" w:rsidP="00C80AAF">
      <w:pPr>
        <w:pStyle w:val="Odstavecseseznamem"/>
        <w:tabs>
          <w:tab w:val="left" w:pos="284"/>
        </w:tabs>
        <w:ind w:left="-283"/>
        <w:jc w:val="both"/>
        <w:rPr>
          <w:rFonts w:cs="Arial"/>
          <w:szCs w:val="22"/>
        </w:rPr>
      </w:pPr>
    </w:p>
    <w:p w:rsidR="00C80AAF" w:rsidRPr="00B9289B" w:rsidRDefault="000E5B5B" w:rsidP="00C80AAF">
      <w:pPr>
        <w:pStyle w:val="Odstavecseseznamem"/>
        <w:numPr>
          <w:ilvl w:val="0"/>
          <w:numId w:val="46"/>
        </w:numPr>
        <w:tabs>
          <w:tab w:val="left" w:pos="284"/>
        </w:tabs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termín</w:t>
      </w:r>
      <w:r w:rsidR="00C80AAF" w:rsidRPr="00B9289B">
        <w:rPr>
          <w:rFonts w:cs="Arial"/>
          <w:szCs w:val="22"/>
        </w:rPr>
        <w:t>, od kterého si podnikatelské subjekty budou moct celý systém vyzkoušet v testovacím prostředí</w:t>
      </w:r>
    </w:p>
    <w:p w:rsidR="00C80AAF" w:rsidRPr="00B9289B" w:rsidRDefault="00C80AAF" w:rsidP="00C80AAF">
      <w:pPr>
        <w:pStyle w:val="Odstavecseseznamem"/>
        <w:tabs>
          <w:tab w:val="left" w:pos="284"/>
        </w:tabs>
        <w:ind w:left="-283"/>
        <w:jc w:val="both"/>
        <w:rPr>
          <w:rFonts w:cs="Arial"/>
          <w:szCs w:val="22"/>
        </w:rPr>
      </w:pPr>
    </w:p>
    <w:p w:rsidR="00C80AAF" w:rsidRPr="00B9289B" w:rsidRDefault="000E5B5B" w:rsidP="00C80AAF">
      <w:pPr>
        <w:pStyle w:val="Odstavecseseznamem"/>
        <w:numPr>
          <w:ilvl w:val="0"/>
          <w:numId w:val="46"/>
        </w:numPr>
        <w:tabs>
          <w:tab w:val="left" w:pos="284"/>
        </w:tabs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termín</w:t>
      </w:r>
      <w:r w:rsidR="00C80AAF" w:rsidRPr="00B9289B">
        <w:rPr>
          <w:rFonts w:cs="Arial"/>
          <w:szCs w:val="22"/>
        </w:rPr>
        <w:t xml:space="preserve"> účinnosti zákona, od kterého vznikne povinnost evidovat tržby podnikatelům ze sektoru ubytovacích a stravovacích služeb</w:t>
      </w:r>
    </w:p>
    <w:p w:rsidR="00C80AAF" w:rsidRPr="00B9289B" w:rsidRDefault="00C80AAF" w:rsidP="00C80AAF">
      <w:pPr>
        <w:pStyle w:val="Odstavecseseznamem"/>
        <w:tabs>
          <w:tab w:val="left" w:pos="284"/>
        </w:tabs>
        <w:ind w:left="-283"/>
        <w:jc w:val="both"/>
        <w:rPr>
          <w:rFonts w:cs="Arial"/>
          <w:szCs w:val="22"/>
        </w:rPr>
      </w:pPr>
    </w:p>
    <w:p w:rsidR="00C80AAF" w:rsidRPr="00B9289B" w:rsidRDefault="00C81A56" w:rsidP="00C80AAF">
      <w:pPr>
        <w:pStyle w:val="Odstavecseseznamem"/>
        <w:numPr>
          <w:ilvl w:val="0"/>
          <w:numId w:val="46"/>
        </w:numPr>
        <w:tabs>
          <w:tab w:val="left" w:pos="284"/>
        </w:tabs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te</w:t>
      </w:r>
      <w:r w:rsidR="000E5B5B" w:rsidRPr="00B9289B">
        <w:rPr>
          <w:rFonts w:cs="Arial"/>
          <w:szCs w:val="22"/>
        </w:rPr>
        <w:t>r</w:t>
      </w:r>
      <w:r w:rsidRPr="00B9289B">
        <w:rPr>
          <w:rFonts w:cs="Arial"/>
          <w:szCs w:val="22"/>
        </w:rPr>
        <w:t>m</w:t>
      </w:r>
      <w:r w:rsidR="000E5B5B" w:rsidRPr="00B9289B">
        <w:rPr>
          <w:rFonts w:cs="Arial"/>
          <w:szCs w:val="22"/>
        </w:rPr>
        <w:t>ín</w:t>
      </w:r>
      <w:r w:rsidR="00C80AAF" w:rsidRPr="00B9289B">
        <w:rPr>
          <w:rFonts w:cs="Arial"/>
          <w:szCs w:val="22"/>
        </w:rPr>
        <w:t>, od kterého vznikne povinnost evidovat tržby podnikatelům ze sektoru maloobchod a velkoobchod.</w:t>
      </w:r>
    </w:p>
    <w:p w:rsidR="007B0D28" w:rsidRPr="00B9289B" w:rsidRDefault="007B0D28" w:rsidP="001224DD">
      <w:pPr>
        <w:tabs>
          <w:tab w:val="left" w:pos="567"/>
        </w:tabs>
        <w:jc w:val="both"/>
        <w:rPr>
          <w:rFonts w:cs="Arial"/>
          <w:szCs w:val="22"/>
        </w:rPr>
      </w:pPr>
    </w:p>
    <w:p w:rsidR="007B0D28" w:rsidRPr="00B9289B" w:rsidRDefault="007B0D28" w:rsidP="001224DD">
      <w:pPr>
        <w:tabs>
          <w:tab w:val="left" w:pos="567"/>
        </w:tabs>
        <w:jc w:val="both"/>
        <w:rPr>
          <w:rFonts w:cs="Arial"/>
          <w:szCs w:val="22"/>
        </w:rPr>
      </w:pPr>
    </w:p>
    <w:p w:rsidR="007B0D28" w:rsidRPr="00B9289B" w:rsidRDefault="007B0D28" w:rsidP="001224DD">
      <w:pPr>
        <w:tabs>
          <w:tab w:val="left" w:pos="567"/>
        </w:tabs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Načasování informační kampaně:</w:t>
      </w:r>
    </w:p>
    <w:p w:rsidR="007B0D28" w:rsidRPr="00B9289B" w:rsidRDefault="007B0D28" w:rsidP="001224DD">
      <w:pPr>
        <w:tabs>
          <w:tab w:val="left" w:pos="567"/>
        </w:tabs>
        <w:jc w:val="both"/>
        <w:rPr>
          <w:rFonts w:cs="Arial"/>
          <w:szCs w:val="22"/>
        </w:rPr>
      </w:pPr>
    </w:p>
    <w:p w:rsidR="007B0D28" w:rsidRPr="00B9289B" w:rsidRDefault="007B0D28" w:rsidP="007B0D28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 xml:space="preserve">zahájení </w:t>
      </w:r>
      <w:r w:rsidRPr="00B9289B">
        <w:rPr>
          <w:rFonts w:cs="Arial"/>
          <w:b/>
          <w:szCs w:val="22"/>
        </w:rPr>
        <w:t>informační kampaně pro veřejnost</w:t>
      </w:r>
      <w:r w:rsidRPr="00B9289B">
        <w:rPr>
          <w:rFonts w:cs="Arial"/>
          <w:szCs w:val="22"/>
        </w:rPr>
        <w:t xml:space="preserve"> je předpokládáno co nejdříve po </w:t>
      </w:r>
      <w:r w:rsidR="006C4C2E">
        <w:rPr>
          <w:rFonts w:cs="Arial"/>
          <w:szCs w:val="22"/>
        </w:rPr>
        <w:t>platnosti</w:t>
      </w:r>
      <w:r w:rsidRPr="00B9289B">
        <w:rPr>
          <w:rFonts w:cs="Arial"/>
          <w:szCs w:val="22"/>
        </w:rPr>
        <w:t xml:space="preserve"> zákona;</w:t>
      </w:r>
    </w:p>
    <w:p w:rsidR="007B0D28" w:rsidRPr="00B9289B" w:rsidRDefault="007B0D28" w:rsidP="007B0D28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zahájení</w:t>
      </w:r>
      <w:r w:rsidRPr="00B9289B">
        <w:rPr>
          <w:rFonts w:cs="Arial"/>
          <w:b/>
          <w:szCs w:val="22"/>
        </w:rPr>
        <w:t xml:space="preserve"> informační kampaně pro podnikatelské subjekty </w:t>
      </w:r>
      <w:r w:rsidRPr="00B9289B">
        <w:rPr>
          <w:rFonts w:cs="Arial"/>
          <w:szCs w:val="22"/>
        </w:rPr>
        <w:t xml:space="preserve">je předpokládáno </w:t>
      </w:r>
      <w:r w:rsidR="00F94BDD" w:rsidRPr="00B9289B">
        <w:rPr>
          <w:rFonts w:cs="Arial"/>
          <w:szCs w:val="22"/>
        </w:rPr>
        <w:t xml:space="preserve">co nejdříve po </w:t>
      </w:r>
      <w:r w:rsidR="00F94BDD">
        <w:rPr>
          <w:rFonts w:cs="Arial"/>
          <w:szCs w:val="22"/>
        </w:rPr>
        <w:t>platnosti</w:t>
      </w:r>
      <w:r w:rsidR="00F94BDD" w:rsidRPr="00B9289B">
        <w:rPr>
          <w:rFonts w:cs="Arial"/>
          <w:szCs w:val="22"/>
        </w:rPr>
        <w:t xml:space="preserve"> zákona</w:t>
      </w:r>
      <w:r w:rsidR="00F94BDD">
        <w:rPr>
          <w:rFonts w:cs="Arial"/>
          <w:szCs w:val="22"/>
        </w:rPr>
        <w:t xml:space="preserve">, </w:t>
      </w:r>
      <w:r w:rsidR="006C4C2E">
        <w:rPr>
          <w:rFonts w:cs="Arial"/>
          <w:szCs w:val="22"/>
        </w:rPr>
        <w:t>nejpozději</w:t>
      </w:r>
      <w:r w:rsidRPr="00B9289B">
        <w:rPr>
          <w:rFonts w:cs="Arial"/>
          <w:szCs w:val="22"/>
        </w:rPr>
        <w:t xml:space="preserve"> </w:t>
      </w:r>
      <w:r w:rsidR="00202A8C">
        <w:rPr>
          <w:rFonts w:cs="Arial"/>
          <w:szCs w:val="22"/>
        </w:rPr>
        <w:t xml:space="preserve">cca 1 </w:t>
      </w:r>
      <w:bookmarkStart w:id="0" w:name="_GoBack"/>
      <w:bookmarkEnd w:id="0"/>
      <w:r w:rsidR="00202A8C">
        <w:rPr>
          <w:rFonts w:cs="Arial"/>
          <w:szCs w:val="22"/>
        </w:rPr>
        <w:t xml:space="preserve">měsíc </w:t>
      </w:r>
      <w:r w:rsidRPr="00B9289B">
        <w:rPr>
          <w:rFonts w:cs="Arial"/>
          <w:szCs w:val="22"/>
        </w:rPr>
        <w:t xml:space="preserve">před zahájením registrace do </w:t>
      </w:r>
      <w:r w:rsidR="00C81A56" w:rsidRPr="00B9289B">
        <w:rPr>
          <w:rFonts w:cs="Arial"/>
          <w:szCs w:val="22"/>
        </w:rPr>
        <w:t xml:space="preserve">systému </w:t>
      </w:r>
      <w:r w:rsidRPr="00B9289B">
        <w:rPr>
          <w:rFonts w:cs="Arial"/>
          <w:szCs w:val="22"/>
        </w:rPr>
        <w:t>EET (</w:t>
      </w:r>
      <w:r w:rsidR="00C81A56" w:rsidRPr="00B9289B">
        <w:rPr>
          <w:rFonts w:cs="Arial"/>
          <w:szCs w:val="22"/>
        </w:rPr>
        <w:t xml:space="preserve">což je </w:t>
      </w:r>
      <w:r w:rsidRPr="00B9289B">
        <w:rPr>
          <w:rFonts w:cs="Arial"/>
          <w:szCs w:val="22"/>
        </w:rPr>
        <w:t>tři měsíce před spuštěním evidence).</w:t>
      </w:r>
    </w:p>
    <w:p w:rsidR="007B0D28" w:rsidRPr="00B9289B" w:rsidRDefault="007B0D28" w:rsidP="001224DD">
      <w:pPr>
        <w:tabs>
          <w:tab w:val="left" w:pos="567"/>
        </w:tabs>
        <w:jc w:val="both"/>
        <w:rPr>
          <w:rFonts w:cs="Arial"/>
          <w:szCs w:val="22"/>
        </w:rPr>
      </w:pPr>
    </w:p>
    <w:p w:rsidR="00455608" w:rsidRPr="00B9289B" w:rsidRDefault="00455608" w:rsidP="000A3CD0">
      <w:pPr>
        <w:pStyle w:val="Nadpis2"/>
        <w:numPr>
          <w:ilvl w:val="0"/>
          <w:numId w:val="37"/>
        </w:numPr>
        <w:spacing w:before="240" w:after="240"/>
        <w:ind w:left="567" w:hanging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lastRenderedPageBreak/>
        <w:t>Cílové skupiny</w:t>
      </w:r>
    </w:p>
    <w:p w:rsidR="00455608" w:rsidRPr="00B9289B" w:rsidRDefault="00455608" w:rsidP="003A0BC6">
      <w:pPr>
        <w:spacing w:after="160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 xml:space="preserve">Zacíleno je na dvě skupiny. Vzhledem k počtu </w:t>
      </w:r>
      <w:r w:rsidR="000A1C68" w:rsidRPr="00B9289B">
        <w:rPr>
          <w:rFonts w:cs="Arial"/>
          <w:szCs w:val="22"/>
        </w:rPr>
        <w:t>podnikatelských</w:t>
      </w:r>
      <w:r w:rsidRPr="00B9289B">
        <w:rPr>
          <w:rFonts w:cs="Arial"/>
          <w:szCs w:val="22"/>
        </w:rPr>
        <w:t xml:space="preserve"> subjektů, na které se EET bude vztahovat (cca 600</w:t>
      </w:r>
      <w:r w:rsidR="00634B40" w:rsidRPr="00B9289B">
        <w:rPr>
          <w:rFonts w:cs="Arial"/>
          <w:szCs w:val="22"/>
        </w:rPr>
        <w:t> </w:t>
      </w:r>
      <w:r w:rsidRPr="00B9289B">
        <w:rPr>
          <w:rFonts w:cs="Arial"/>
          <w:szCs w:val="22"/>
        </w:rPr>
        <w:t>000</w:t>
      </w:r>
      <w:r w:rsidR="00634B40" w:rsidRPr="00B9289B">
        <w:rPr>
          <w:rFonts w:cs="Arial"/>
          <w:szCs w:val="22"/>
        </w:rPr>
        <w:t xml:space="preserve"> v prvních dvou vlnách</w:t>
      </w:r>
      <w:r w:rsidRPr="00B9289B">
        <w:rPr>
          <w:rFonts w:cs="Arial"/>
          <w:szCs w:val="22"/>
        </w:rPr>
        <w:t>), dochází k významnému prolínaní a vzájemnému ovlivňování jedné cílové skupiny druhou.</w:t>
      </w:r>
    </w:p>
    <w:p w:rsidR="00455608" w:rsidRPr="00B9289B" w:rsidRDefault="00634B40" w:rsidP="001673C9">
      <w:pPr>
        <w:pStyle w:val="Odstavecseseznamem"/>
        <w:numPr>
          <w:ilvl w:val="0"/>
          <w:numId w:val="18"/>
        </w:numPr>
        <w:tabs>
          <w:tab w:val="left" w:pos="567"/>
        </w:tabs>
        <w:spacing w:after="120"/>
        <w:ind w:left="1078" w:hanging="1078"/>
        <w:jc w:val="both"/>
        <w:rPr>
          <w:rFonts w:cs="Arial"/>
          <w:b/>
          <w:szCs w:val="22"/>
        </w:rPr>
      </w:pPr>
      <w:r w:rsidRPr="00B9289B">
        <w:rPr>
          <w:rFonts w:cs="Arial"/>
          <w:b/>
          <w:szCs w:val="22"/>
        </w:rPr>
        <w:t>Široká v</w:t>
      </w:r>
      <w:r w:rsidR="00455608" w:rsidRPr="00B9289B">
        <w:rPr>
          <w:rFonts w:cs="Arial"/>
          <w:b/>
          <w:szCs w:val="22"/>
        </w:rPr>
        <w:t xml:space="preserve">eřejnost </w:t>
      </w:r>
      <w:r w:rsidR="00F83B79" w:rsidRPr="00B9289B">
        <w:rPr>
          <w:rFonts w:cs="Arial"/>
          <w:b/>
          <w:szCs w:val="22"/>
        </w:rPr>
        <w:t>(</w:t>
      </w:r>
      <w:r w:rsidR="00455608" w:rsidRPr="00B9289B">
        <w:rPr>
          <w:rFonts w:cs="Arial"/>
          <w:b/>
          <w:szCs w:val="22"/>
        </w:rPr>
        <w:t>15 +</w:t>
      </w:r>
      <w:r w:rsidR="00F83B79" w:rsidRPr="00B9289B">
        <w:rPr>
          <w:rFonts w:cs="Arial"/>
          <w:b/>
          <w:szCs w:val="22"/>
        </w:rPr>
        <w:t>)</w:t>
      </w:r>
    </w:p>
    <w:p w:rsidR="00455608" w:rsidRPr="00B9289B" w:rsidRDefault="00455608" w:rsidP="001673C9">
      <w:pPr>
        <w:ind w:left="567"/>
        <w:jc w:val="both"/>
        <w:rPr>
          <w:rFonts w:cs="Arial"/>
          <w:szCs w:val="22"/>
          <w:highlight w:val="yellow"/>
        </w:rPr>
      </w:pPr>
      <w:r w:rsidRPr="00B9289B">
        <w:rPr>
          <w:rFonts w:cs="Arial"/>
          <w:szCs w:val="22"/>
        </w:rPr>
        <w:t>Informace o EET má zatím možnost čerpat pouze z medií a ze svého okolí (příbuzných, přátel, na které se EET bude vztahovat). Jelikož se občanů</w:t>
      </w:r>
      <w:r w:rsidR="00992E2E" w:rsidRPr="00B9289B">
        <w:rPr>
          <w:rFonts w:cs="Arial"/>
          <w:szCs w:val="22"/>
        </w:rPr>
        <w:t xml:space="preserve"> - nepodnikatelů</w:t>
      </w:r>
      <w:r w:rsidRPr="00B9289B">
        <w:rPr>
          <w:rFonts w:cs="Arial"/>
          <w:szCs w:val="22"/>
        </w:rPr>
        <w:t xml:space="preserve"> EET v tuto chvíli přímo netýká, je předpokládáno, že veřejnost vůči projektu EET není</w:t>
      </w:r>
      <w:r w:rsidR="00F52FC1" w:rsidRPr="00B9289B">
        <w:rPr>
          <w:rFonts w:cs="Arial"/>
          <w:szCs w:val="22"/>
        </w:rPr>
        <w:t xml:space="preserve"> víceméně vyhraněná. </w:t>
      </w:r>
    </w:p>
    <w:p w:rsidR="00634B40" w:rsidRPr="00B9289B" w:rsidRDefault="00634B40" w:rsidP="003A0BC6">
      <w:pPr>
        <w:ind w:left="426"/>
        <w:jc w:val="both"/>
        <w:rPr>
          <w:rFonts w:cs="Arial"/>
          <w:szCs w:val="22"/>
        </w:rPr>
      </w:pPr>
    </w:p>
    <w:p w:rsidR="00455608" w:rsidRPr="00B9289B" w:rsidRDefault="00455608" w:rsidP="001673C9">
      <w:pPr>
        <w:ind w:left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S postupem času je očekávána větší míra polarizace, kterou budou určovat:</w:t>
      </w:r>
    </w:p>
    <w:p w:rsidR="00455608" w:rsidRPr="00B9289B" w:rsidRDefault="00455608" w:rsidP="003A0BC6">
      <w:pPr>
        <w:pStyle w:val="Odstavecseseznamem"/>
        <w:numPr>
          <w:ilvl w:val="0"/>
          <w:numId w:val="20"/>
        </w:numPr>
        <w:tabs>
          <w:tab w:val="left" w:pos="851"/>
        </w:tabs>
        <w:ind w:hanging="720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názory a postoje blízkého okolí, zejména podnikatelů, na něž se EET vztahuje;</w:t>
      </w:r>
    </w:p>
    <w:p w:rsidR="00455608" w:rsidRPr="00B9289B" w:rsidRDefault="00455608" w:rsidP="00AE5574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vztah k vládní koalici a důvěra v její představitele, zejména ministra financí Andreje Babiše;</w:t>
      </w:r>
    </w:p>
    <w:p w:rsidR="00455608" w:rsidRPr="00B9289B" w:rsidRDefault="00455608" w:rsidP="003A0BC6">
      <w:pPr>
        <w:pStyle w:val="Odstavecseseznamem"/>
        <w:numPr>
          <w:ilvl w:val="0"/>
          <w:numId w:val="20"/>
        </w:numPr>
        <w:tabs>
          <w:tab w:val="left" w:pos="851"/>
        </w:tabs>
        <w:spacing w:after="240"/>
        <w:ind w:hanging="720"/>
        <w:contextualSpacing w:val="0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mediální obraz EET.</w:t>
      </w:r>
    </w:p>
    <w:p w:rsidR="003E0D07" w:rsidRPr="00B9289B" w:rsidRDefault="003E0D07" w:rsidP="003E0D07">
      <w:pPr>
        <w:pStyle w:val="Odstavecseseznamem"/>
        <w:tabs>
          <w:tab w:val="left" w:pos="426"/>
        </w:tabs>
        <w:spacing w:after="120"/>
        <w:ind w:left="1078"/>
        <w:jc w:val="both"/>
        <w:rPr>
          <w:rFonts w:cs="Arial"/>
          <w:b/>
          <w:szCs w:val="22"/>
        </w:rPr>
      </w:pPr>
    </w:p>
    <w:p w:rsidR="00455608" w:rsidRPr="00B9289B" w:rsidRDefault="000A1C68" w:rsidP="001673C9">
      <w:pPr>
        <w:pStyle w:val="Odstavecseseznamem"/>
        <w:numPr>
          <w:ilvl w:val="0"/>
          <w:numId w:val="18"/>
        </w:numPr>
        <w:tabs>
          <w:tab w:val="left" w:pos="567"/>
        </w:tabs>
        <w:spacing w:after="120"/>
        <w:ind w:left="1078" w:hanging="1078"/>
        <w:jc w:val="both"/>
        <w:rPr>
          <w:rFonts w:cs="Arial"/>
          <w:b/>
          <w:szCs w:val="22"/>
        </w:rPr>
      </w:pPr>
      <w:r w:rsidRPr="00B9289B">
        <w:rPr>
          <w:rFonts w:cs="Arial"/>
          <w:b/>
          <w:szCs w:val="22"/>
        </w:rPr>
        <w:t>Podnikatelské</w:t>
      </w:r>
      <w:r w:rsidR="00455608" w:rsidRPr="00B9289B">
        <w:rPr>
          <w:rFonts w:cs="Arial"/>
          <w:b/>
          <w:szCs w:val="22"/>
        </w:rPr>
        <w:t xml:space="preserve"> subjekty</w:t>
      </w:r>
    </w:p>
    <w:p w:rsidR="00587D55" w:rsidRPr="00B9289B" w:rsidRDefault="00587D55" w:rsidP="001673C9">
      <w:pPr>
        <w:ind w:left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Primárně se jedná o poskytovatele stravovacích a ubytovacích služeb a podnikatele ze sektoru mal</w:t>
      </w:r>
      <w:r w:rsidR="00130844" w:rsidRPr="00B9289B">
        <w:rPr>
          <w:rFonts w:cs="Arial"/>
          <w:szCs w:val="22"/>
        </w:rPr>
        <w:t>oobchod</w:t>
      </w:r>
      <w:r w:rsidRPr="00B9289B">
        <w:rPr>
          <w:rFonts w:cs="Arial"/>
          <w:szCs w:val="22"/>
        </w:rPr>
        <w:t xml:space="preserve"> a velkoobchod, a to z důvodu že na podnikatele z ostatních sektorů ekonomiky dopadne povinnost evidovat své tržby až výrazně později. </w:t>
      </w:r>
    </w:p>
    <w:p w:rsidR="00587D55" w:rsidRPr="00B9289B" w:rsidRDefault="00587D55" w:rsidP="003A0BC6">
      <w:pPr>
        <w:ind w:left="426"/>
        <w:jc w:val="both"/>
        <w:rPr>
          <w:rFonts w:cs="Arial"/>
          <w:szCs w:val="22"/>
        </w:rPr>
      </w:pPr>
    </w:p>
    <w:p w:rsidR="00455608" w:rsidRPr="00B9289B" w:rsidRDefault="003A0BC6" w:rsidP="001673C9">
      <w:pPr>
        <w:ind w:left="567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 xml:space="preserve">Názorově lze </w:t>
      </w:r>
      <w:r w:rsidR="000A1C68" w:rsidRPr="00B9289B">
        <w:rPr>
          <w:rFonts w:cs="Arial"/>
          <w:szCs w:val="22"/>
        </w:rPr>
        <w:t>podnikatelské</w:t>
      </w:r>
      <w:r w:rsidR="00455608" w:rsidRPr="00B9289B">
        <w:rPr>
          <w:rFonts w:cs="Arial"/>
          <w:szCs w:val="22"/>
        </w:rPr>
        <w:t xml:space="preserve"> subjekty </w:t>
      </w:r>
      <w:r w:rsidRPr="00B9289B">
        <w:rPr>
          <w:rFonts w:cs="Arial"/>
          <w:szCs w:val="22"/>
        </w:rPr>
        <w:t>členit</w:t>
      </w:r>
      <w:r w:rsidR="00455608" w:rsidRPr="00B9289B">
        <w:rPr>
          <w:rFonts w:cs="Arial"/>
          <w:szCs w:val="22"/>
        </w:rPr>
        <w:t xml:space="preserve"> do dvou skupin:</w:t>
      </w:r>
    </w:p>
    <w:p w:rsidR="001673C9" w:rsidRPr="00B9289B" w:rsidRDefault="001673C9" w:rsidP="001673C9">
      <w:pPr>
        <w:ind w:left="567"/>
        <w:jc w:val="both"/>
        <w:rPr>
          <w:rFonts w:cs="Arial"/>
          <w:szCs w:val="22"/>
        </w:rPr>
      </w:pPr>
    </w:p>
    <w:p w:rsidR="00455608" w:rsidRPr="00B9289B" w:rsidRDefault="00455608" w:rsidP="003A0BC6">
      <w:pPr>
        <w:ind w:left="851" w:hanging="284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 xml:space="preserve">1. </w:t>
      </w:r>
      <w:r w:rsidR="00F83B79" w:rsidRPr="00B9289B">
        <w:rPr>
          <w:rFonts w:cs="Arial"/>
          <w:szCs w:val="22"/>
        </w:rPr>
        <w:tab/>
      </w:r>
      <w:r w:rsidR="003A0BC6" w:rsidRPr="00B9289B">
        <w:rPr>
          <w:rFonts w:cs="Arial"/>
          <w:szCs w:val="22"/>
          <w:u w:val="single"/>
        </w:rPr>
        <w:t>smíření</w:t>
      </w:r>
      <w:r w:rsidR="003A0BC6" w:rsidRPr="00B9289B">
        <w:rPr>
          <w:rFonts w:cs="Arial"/>
          <w:szCs w:val="22"/>
        </w:rPr>
        <w:t xml:space="preserve">: </w:t>
      </w:r>
      <w:r w:rsidRPr="00B9289B">
        <w:rPr>
          <w:rFonts w:cs="Arial"/>
          <w:szCs w:val="22"/>
        </w:rPr>
        <w:t xml:space="preserve">Nemají zásadní problém s EET, jsou většinou technologicky dostatečně vybavení a dokážou si představit fungování EET. Vítají odstranění nerovných podmínek na trhu. Nutné investice a dodatečnou administrativu pokládají za zvládnutelnou. </w:t>
      </w:r>
    </w:p>
    <w:p w:rsidR="00587D55" w:rsidRPr="00B9289B" w:rsidRDefault="00A45364" w:rsidP="003A0BC6">
      <w:pPr>
        <w:ind w:left="851" w:hanging="284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2.</w:t>
      </w:r>
      <w:r w:rsidRPr="00B9289B">
        <w:rPr>
          <w:rFonts w:cs="Arial"/>
          <w:szCs w:val="22"/>
        </w:rPr>
        <w:tab/>
      </w:r>
      <w:r w:rsidR="00455608" w:rsidRPr="00B9289B">
        <w:rPr>
          <w:rFonts w:cs="Arial"/>
          <w:szCs w:val="22"/>
          <w:u w:val="single"/>
        </w:rPr>
        <w:t>odpůrci</w:t>
      </w:r>
      <w:r w:rsidR="003A0BC6" w:rsidRPr="00B9289B">
        <w:rPr>
          <w:rFonts w:cs="Arial"/>
          <w:szCs w:val="22"/>
        </w:rPr>
        <w:t xml:space="preserve">: </w:t>
      </w:r>
      <w:r w:rsidR="00455608" w:rsidRPr="00B9289B">
        <w:rPr>
          <w:rFonts w:cs="Arial"/>
          <w:szCs w:val="22"/>
        </w:rPr>
        <w:t>Odmítají jakoukoliv další formu kontroly či regulace. Snadno podléhají dezinformacím a katastrofickým scénářům, které podporují jejich postoj. Pro část z nich může znamenat evidence zásadní zhoršení finanční bilance, až ohrožení podnikání. Svoje postoje zatím komunikují spíše neoficiálně. Nemohou se většinou opřít</w:t>
      </w:r>
      <w:r w:rsidR="00044E76" w:rsidRPr="00B9289B">
        <w:rPr>
          <w:rFonts w:cs="Arial"/>
          <w:szCs w:val="22"/>
        </w:rPr>
        <w:t> </w:t>
      </w:r>
      <w:r w:rsidR="00455608" w:rsidRPr="00B9289B">
        <w:rPr>
          <w:rFonts w:cs="Arial"/>
          <w:szCs w:val="22"/>
        </w:rPr>
        <w:t>o</w:t>
      </w:r>
      <w:r w:rsidR="00044E76" w:rsidRPr="00B9289B">
        <w:rPr>
          <w:rFonts w:cs="Arial"/>
          <w:szCs w:val="22"/>
        </w:rPr>
        <w:t> </w:t>
      </w:r>
      <w:r w:rsidR="00455608" w:rsidRPr="00B9289B">
        <w:rPr>
          <w:rFonts w:cs="Arial"/>
          <w:szCs w:val="22"/>
        </w:rPr>
        <w:t>stanoviska</w:t>
      </w:r>
      <w:r w:rsidR="00044E76" w:rsidRPr="00B9289B">
        <w:rPr>
          <w:rFonts w:cs="Arial"/>
          <w:szCs w:val="22"/>
        </w:rPr>
        <w:t> </w:t>
      </w:r>
      <w:r w:rsidR="00455608" w:rsidRPr="00B9289B">
        <w:rPr>
          <w:rFonts w:cs="Arial"/>
          <w:szCs w:val="22"/>
        </w:rPr>
        <w:t>profesních</w:t>
      </w:r>
      <w:r w:rsidR="00044E76" w:rsidRPr="00B9289B">
        <w:rPr>
          <w:rFonts w:cs="Arial"/>
          <w:szCs w:val="22"/>
        </w:rPr>
        <w:t> </w:t>
      </w:r>
      <w:r w:rsidR="00455608" w:rsidRPr="00B9289B">
        <w:rPr>
          <w:rFonts w:cs="Arial"/>
          <w:szCs w:val="22"/>
        </w:rPr>
        <w:t xml:space="preserve">svazů a komor, které EET </w:t>
      </w:r>
      <w:r w:rsidR="00F83B79" w:rsidRPr="00B9289B">
        <w:rPr>
          <w:rFonts w:cs="Arial"/>
          <w:szCs w:val="22"/>
        </w:rPr>
        <w:t xml:space="preserve">až na výjimky </w:t>
      </w:r>
      <w:r w:rsidR="00455608" w:rsidRPr="00B9289B">
        <w:rPr>
          <w:rFonts w:cs="Arial"/>
          <w:szCs w:val="22"/>
        </w:rPr>
        <w:t>podporují. Jednotliví kritici budou dostávat významný prostor v mediích. Nelze vyloučit ani otevřené protestní akce</w:t>
      </w:r>
      <w:r w:rsidR="00044E76" w:rsidRPr="00B9289B">
        <w:rPr>
          <w:rFonts w:cs="Arial"/>
          <w:szCs w:val="22"/>
        </w:rPr>
        <w:t> </w:t>
      </w:r>
      <w:r w:rsidR="00455608" w:rsidRPr="00B9289B">
        <w:rPr>
          <w:rFonts w:cs="Arial"/>
          <w:szCs w:val="22"/>
        </w:rPr>
        <w:t>a</w:t>
      </w:r>
      <w:r w:rsidR="00044E76" w:rsidRPr="00B9289B">
        <w:rPr>
          <w:rFonts w:cs="Arial"/>
          <w:szCs w:val="22"/>
        </w:rPr>
        <w:t> </w:t>
      </w:r>
      <w:r w:rsidR="00455608" w:rsidRPr="00B9289B">
        <w:rPr>
          <w:rFonts w:cs="Arial"/>
          <w:szCs w:val="22"/>
        </w:rPr>
        <w:t>zvýšenou</w:t>
      </w:r>
      <w:r w:rsidR="00044E76" w:rsidRPr="00B9289B">
        <w:rPr>
          <w:rFonts w:cs="Arial"/>
          <w:szCs w:val="22"/>
        </w:rPr>
        <w:t> </w:t>
      </w:r>
      <w:r w:rsidR="00455608" w:rsidRPr="00B9289B">
        <w:rPr>
          <w:rFonts w:cs="Arial"/>
          <w:szCs w:val="22"/>
        </w:rPr>
        <w:t>aktivitu</w:t>
      </w:r>
      <w:r w:rsidR="00044E76" w:rsidRPr="00B9289B">
        <w:rPr>
          <w:rFonts w:cs="Arial"/>
          <w:szCs w:val="22"/>
        </w:rPr>
        <w:t> </w:t>
      </w:r>
      <w:r w:rsidR="00455608" w:rsidRPr="00B9289B">
        <w:rPr>
          <w:rFonts w:cs="Arial"/>
          <w:szCs w:val="22"/>
        </w:rPr>
        <w:t>na</w:t>
      </w:r>
      <w:r w:rsidR="00044E76" w:rsidRPr="00B9289B">
        <w:rPr>
          <w:rFonts w:cs="Arial"/>
          <w:szCs w:val="22"/>
        </w:rPr>
        <w:t> </w:t>
      </w:r>
      <w:r w:rsidR="00455608" w:rsidRPr="00B9289B">
        <w:rPr>
          <w:rFonts w:cs="Arial"/>
          <w:szCs w:val="22"/>
        </w:rPr>
        <w:t>sociálních</w:t>
      </w:r>
      <w:r w:rsidR="00044E76" w:rsidRPr="00B9289B">
        <w:rPr>
          <w:rFonts w:cs="Arial"/>
          <w:szCs w:val="22"/>
        </w:rPr>
        <w:t> </w:t>
      </w:r>
      <w:r w:rsidR="00455608" w:rsidRPr="00B9289B">
        <w:rPr>
          <w:rFonts w:cs="Arial"/>
          <w:szCs w:val="22"/>
        </w:rPr>
        <w:t xml:space="preserve">sítích. </w:t>
      </w:r>
    </w:p>
    <w:p w:rsidR="00455608" w:rsidRPr="00B9289B" w:rsidRDefault="00455608" w:rsidP="003A0BC6">
      <w:pPr>
        <w:ind w:left="851" w:hanging="284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br/>
        <w:t>Lze očekávat propojení organizovanějších komunit odpůrců s politickou opozicí, která dá jejich aktivitám větší publicitu i legitimitu.</w:t>
      </w:r>
    </w:p>
    <w:p w:rsidR="00D14906" w:rsidRPr="00B9289B" w:rsidRDefault="00634B40" w:rsidP="001673C9">
      <w:pPr>
        <w:pStyle w:val="Nadpis2"/>
        <w:numPr>
          <w:ilvl w:val="0"/>
          <w:numId w:val="37"/>
        </w:numPr>
        <w:spacing w:before="240"/>
        <w:ind w:left="426" w:hanging="426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Komunikační sdělení</w:t>
      </w:r>
    </w:p>
    <w:p w:rsidR="00AF6862" w:rsidRPr="00B9289B" w:rsidRDefault="00AF6862" w:rsidP="00AF6862">
      <w:pPr>
        <w:rPr>
          <w:szCs w:val="22"/>
        </w:rPr>
      </w:pPr>
    </w:p>
    <w:p w:rsidR="00AF6862" w:rsidRPr="00B9289B" w:rsidRDefault="00AF6862" w:rsidP="00AF6862">
      <w:pPr>
        <w:rPr>
          <w:szCs w:val="22"/>
        </w:rPr>
      </w:pPr>
      <w:r w:rsidRPr="00B9289B">
        <w:rPr>
          <w:rFonts w:cs="Arial"/>
          <w:szCs w:val="22"/>
        </w:rPr>
        <w:t>Komunikační sdělení by měla být podpořena racionálně i emocionálně.</w:t>
      </w:r>
    </w:p>
    <w:p w:rsidR="00D14906" w:rsidRPr="00B9289B" w:rsidRDefault="00DC5CD6" w:rsidP="001673C9">
      <w:pPr>
        <w:pStyle w:val="Odstavecseseznamem"/>
        <w:numPr>
          <w:ilvl w:val="0"/>
          <w:numId w:val="30"/>
        </w:numPr>
        <w:tabs>
          <w:tab w:val="left" w:pos="426"/>
        </w:tabs>
        <w:spacing w:before="240" w:after="120"/>
        <w:ind w:hanging="1080"/>
        <w:jc w:val="both"/>
        <w:rPr>
          <w:rFonts w:cs="Arial"/>
          <w:b/>
          <w:szCs w:val="22"/>
        </w:rPr>
      </w:pPr>
      <w:r w:rsidRPr="00B9289B">
        <w:rPr>
          <w:rFonts w:cs="Arial"/>
          <w:b/>
          <w:szCs w:val="22"/>
        </w:rPr>
        <w:t>Široká v</w:t>
      </w:r>
      <w:r w:rsidR="00D14906" w:rsidRPr="00B9289B">
        <w:rPr>
          <w:rFonts w:cs="Arial"/>
          <w:b/>
          <w:szCs w:val="22"/>
        </w:rPr>
        <w:t xml:space="preserve">eřejnost </w:t>
      </w:r>
    </w:p>
    <w:p w:rsidR="005928CF" w:rsidRPr="00B9289B" w:rsidRDefault="005928CF" w:rsidP="00DC5CD6">
      <w:pPr>
        <w:spacing w:before="120"/>
        <w:ind w:left="425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„Pracujeme na lepším, efektivnějším fungování státu, férovém prostředí pro všechny a EET je toho nutnou součástí.“</w:t>
      </w:r>
    </w:p>
    <w:p w:rsidR="00DC5CD6" w:rsidRPr="00B9289B" w:rsidRDefault="001C549C" w:rsidP="00DC5CD6">
      <w:pPr>
        <w:spacing w:before="120"/>
        <w:ind w:left="425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Dů</w:t>
      </w:r>
      <w:r w:rsidR="00DC5CD6" w:rsidRPr="00B9289B">
        <w:rPr>
          <w:rFonts w:cs="Arial"/>
          <w:szCs w:val="22"/>
        </w:rPr>
        <w:t xml:space="preserve">raz na </w:t>
      </w:r>
      <w:r w:rsidRPr="00B9289B">
        <w:rPr>
          <w:rFonts w:cs="Arial"/>
          <w:szCs w:val="22"/>
        </w:rPr>
        <w:t>pozitivní</w:t>
      </w:r>
      <w:r w:rsidR="00DC5CD6" w:rsidRPr="00B9289B">
        <w:rPr>
          <w:rFonts w:cs="Arial"/>
          <w:szCs w:val="22"/>
        </w:rPr>
        <w:t xml:space="preserve"> </w:t>
      </w:r>
      <w:r w:rsidRPr="00B9289B">
        <w:rPr>
          <w:rFonts w:cs="Arial"/>
          <w:szCs w:val="22"/>
        </w:rPr>
        <w:t>celospolečenské</w:t>
      </w:r>
      <w:r w:rsidR="00DC5CD6" w:rsidRPr="00B9289B">
        <w:rPr>
          <w:rFonts w:cs="Arial"/>
          <w:szCs w:val="22"/>
        </w:rPr>
        <w:t xml:space="preserve"> dopady; </w:t>
      </w:r>
      <w:r w:rsidRPr="00B9289B">
        <w:rPr>
          <w:rFonts w:cs="Arial"/>
          <w:szCs w:val="22"/>
        </w:rPr>
        <w:t>férové</w:t>
      </w:r>
      <w:r w:rsidR="00DC5CD6" w:rsidRPr="00B9289B">
        <w:rPr>
          <w:rFonts w:cs="Arial"/>
          <w:szCs w:val="22"/>
        </w:rPr>
        <w:t xml:space="preserve"> a </w:t>
      </w:r>
      <w:r w:rsidRPr="00B9289B">
        <w:rPr>
          <w:rFonts w:cs="Arial"/>
          <w:szCs w:val="22"/>
        </w:rPr>
        <w:t>kvalitní</w:t>
      </w:r>
      <w:r w:rsidR="00DC5CD6" w:rsidRPr="00B9289B">
        <w:rPr>
          <w:rFonts w:cs="Arial"/>
          <w:szCs w:val="22"/>
        </w:rPr>
        <w:t xml:space="preserve"> </w:t>
      </w:r>
      <w:r w:rsidRPr="00B9289B">
        <w:rPr>
          <w:rFonts w:cs="Arial"/>
          <w:szCs w:val="22"/>
        </w:rPr>
        <w:t>fungování</w:t>
      </w:r>
      <w:r w:rsidR="00DC5CD6" w:rsidRPr="00B9289B">
        <w:rPr>
          <w:rFonts w:cs="Arial"/>
          <w:szCs w:val="22"/>
        </w:rPr>
        <w:t xml:space="preserve"> st</w:t>
      </w:r>
      <w:r w:rsidRPr="00B9289B">
        <w:rPr>
          <w:rFonts w:cs="Arial"/>
          <w:szCs w:val="22"/>
        </w:rPr>
        <w:t>á</w:t>
      </w:r>
      <w:r w:rsidR="00DC5CD6" w:rsidRPr="00B9289B">
        <w:rPr>
          <w:rFonts w:cs="Arial"/>
          <w:szCs w:val="22"/>
        </w:rPr>
        <w:t xml:space="preserve">tu; vize </w:t>
      </w:r>
      <w:r w:rsidRPr="00B9289B">
        <w:rPr>
          <w:rFonts w:cs="Arial"/>
          <w:szCs w:val="22"/>
        </w:rPr>
        <w:t>kvalitnější</w:t>
      </w:r>
      <w:r w:rsidR="00DC5CD6" w:rsidRPr="00B9289B">
        <w:rPr>
          <w:rFonts w:cs="Arial"/>
          <w:szCs w:val="22"/>
        </w:rPr>
        <w:t xml:space="preserve"> </w:t>
      </w:r>
      <w:r w:rsidRPr="00B9289B">
        <w:rPr>
          <w:rFonts w:cs="Arial"/>
          <w:szCs w:val="22"/>
        </w:rPr>
        <w:t>úrovně</w:t>
      </w:r>
      <w:r w:rsidR="00DC5CD6" w:rsidRPr="00B9289B">
        <w:rPr>
          <w:rFonts w:cs="Arial"/>
          <w:szCs w:val="22"/>
        </w:rPr>
        <w:t xml:space="preserve"> </w:t>
      </w:r>
      <w:r w:rsidRPr="00B9289B">
        <w:rPr>
          <w:rFonts w:cs="Arial"/>
          <w:szCs w:val="22"/>
        </w:rPr>
        <w:t>života</w:t>
      </w:r>
      <w:r w:rsidR="00DC5CD6" w:rsidRPr="00B9289B">
        <w:rPr>
          <w:rFonts w:cs="Arial"/>
          <w:szCs w:val="22"/>
        </w:rPr>
        <w:t xml:space="preserve"> u </w:t>
      </w:r>
      <w:r w:rsidRPr="00B9289B">
        <w:rPr>
          <w:rFonts w:cs="Arial"/>
          <w:szCs w:val="22"/>
        </w:rPr>
        <w:t>nás</w:t>
      </w:r>
      <w:r w:rsidR="00DC5CD6" w:rsidRPr="00B9289B">
        <w:rPr>
          <w:rFonts w:cs="Arial"/>
          <w:szCs w:val="22"/>
        </w:rPr>
        <w:t>.</w:t>
      </w:r>
      <w:r w:rsidR="00AF6862" w:rsidRPr="00B9289B">
        <w:rPr>
          <w:rFonts w:cs="Arial"/>
          <w:szCs w:val="22"/>
        </w:rPr>
        <w:t xml:space="preserve"> Racionální tvrzení by měla být postavena i na konkrétních příkladech přínosu včetně vyčíslení (zvýšení důchodů, platů učitelů, zdravotního personálu, výstavba </w:t>
      </w:r>
      <w:proofErr w:type="gramStart"/>
      <w:r w:rsidR="00AF6862" w:rsidRPr="00B9289B">
        <w:rPr>
          <w:rFonts w:cs="Arial"/>
          <w:szCs w:val="22"/>
        </w:rPr>
        <w:t>infrastruktury...).</w:t>
      </w:r>
      <w:proofErr w:type="gramEnd"/>
    </w:p>
    <w:p w:rsidR="00D14906" w:rsidRPr="00B9289B" w:rsidRDefault="00D14906" w:rsidP="001673C9">
      <w:pPr>
        <w:pStyle w:val="Odstavecseseznamem"/>
        <w:numPr>
          <w:ilvl w:val="0"/>
          <w:numId w:val="30"/>
        </w:numPr>
        <w:tabs>
          <w:tab w:val="left" w:pos="426"/>
        </w:tabs>
        <w:spacing w:before="240" w:after="120"/>
        <w:ind w:hanging="1080"/>
        <w:jc w:val="both"/>
        <w:rPr>
          <w:rFonts w:cs="Arial"/>
          <w:b/>
          <w:szCs w:val="22"/>
        </w:rPr>
      </w:pPr>
      <w:r w:rsidRPr="00B9289B">
        <w:rPr>
          <w:rFonts w:cs="Arial"/>
          <w:b/>
          <w:szCs w:val="22"/>
        </w:rPr>
        <w:lastRenderedPageBreak/>
        <w:t xml:space="preserve">Dotčené </w:t>
      </w:r>
      <w:r w:rsidR="00B13871" w:rsidRPr="00B9289B">
        <w:rPr>
          <w:rFonts w:cs="Arial"/>
          <w:b/>
          <w:szCs w:val="22"/>
        </w:rPr>
        <w:t>podnikatelské</w:t>
      </w:r>
      <w:r w:rsidRPr="00B9289B">
        <w:rPr>
          <w:rFonts w:cs="Arial"/>
          <w:b/>
          <w:szCs w:val="22"/>
        </w:rPr>
        <w:t xml:space="preserve"> subjekty </w:t>
      </w:r>
    </w:p>
    <w:p w:rsidR="00D14906" w:rsidRPr="00B9289B" w:rsidRDefault="00D14906" w:rsidP="00D14906">
      <w:pPr>
        <w:spacing w:before="120"/>
        <w:ind w:left="425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„</w:t>
      </w:r>
      <w:r w:rsidR="0011593D" w:rsidRPr="00B9289B">
        <w:rPr>
          <w:rFonts w:cs="Arial"/>
          <w:szCs w:val="22"/>
        </w:rPr>
        <w:t>Připravte se včas na EET</w:t>
      </w:r>
      <w:r w:rsidRPr="00B9289B">
        <w:rPr>
          <w:rFonts w:cs="Arial"/>
          <w:szCs w:val="22"/>
        </w:rPr>
        <w:t>. EET nastaví férovou soutěž</w:t>
      </w:r>
      <w:r w:rsidR="004F1A36" w:rsidRPr="00B9289B">
        <w:rPr>
          <w:rFonts w:cs="Arial"/>
          <w:szCs w:val="22"/>
        </w:rPr>
        <w:t xml:space="preserve"> a</w:t>
      </w:r>
      <w:r w:rsidRPr="00B9289B">
        <w:rPr>
          <w:rFonts w:cs="Arial"/>
          <w:szCs w:val="22"/>
        </w:rPr>
        <w:t xml:space="preserve"> zabrání zvyšování daní.“</w:t>
      </w:r>
    </w:p>
    <w:p w:rsidR="008D1E14" w:rsidRPr="00B9289B" w:rsidRDefault="001C549C" w:rsidP="001C549C">
      <w:pPr>
        <w:spacing w:before="120"/>
        <w:ind w:left="425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Důraz na minimální zátěž vs. férovější podnikání; potenciál zdravější společnosti s v</w:t>
      </w:r>
      <w:r w:rsidR="007473BC" w:rsidRPr="00B9289B">
        <w:rPr>
          <w:rFonts w:cs="Arial"/>
          <w:szCs w:val="22"/>
        </w:rPr>
        <w:t>ě</w:t>
      </w:r>
      <w:r w:rsidRPr="00B9289B">
        <w:rPr>
          <w:rFonts w:cs="Arial"/>
          <w:szCs w:val="22"/>
        </w:rPr>
        <w:t>tší kupní silou</w:t>
      </w:r>
      <w:r w:rsidR="004F1A36" w:rsidRPr="00B9289B">
        <w:rPr>
          <w:rFonts w:cs="Arial"/>
          <w:szCs w:val="22"/>
        </w:rPr>
        <w:t>; díky cílenějším daňovým kontrolám úbytek administrativy</w:t>
      </w:r>
      <w:r w:rsidRPr="00B9289B">
        <w:rPr>
          <w:rFonts w:cs="Arial"/>
          <w:szCs w:val="22"/>
        </w:rPr>
        <w:t>.</w:t>
      </w:r>
      <w:r w:rsidR="00AF6862" w:rsidRPr="00B9289B">
        <w:rPr>
          <w:rFonts w:cs="Arial"/>
          <w:szCs w:val="22"/>
        </w:rPr>
        <w:t xml:space="preserve"> </w:t>
      </w:r>
      <w:r w:rsidR="00576DEB" w:rsidRPr="00B9289B">
        <w:rPr>
          <w:rFonts w:cs="Arial"/>
          <w:szCs w:val="22"/>
        </w:rPr>
        <w:t xml:space="preserve">Racionální tvrzení by se měla mimo jiné zaměřit na </w:t>
      </w:r>
      <w:r w:rsidR="00483590" w:rsidRPr="00B9289B">
        <w:rPr>
          <w:rFonts w:cs="Arial"/>
          <w:szCs w:val="22"/>
        </w:rPr>
        <w:t>významné termíny</w:t>
      </w:r>
      <w:r w:rsidR="00576DEB" w:rsidRPr="00B9289B">
        <w:rPr>
          <w:rFonts w:cs="Arial"/>
          <w:szCs w:val="22"/>
        </w:rPr>
        <w:t xml:space="preserve"> </w:t>
      </w:r>
      <w:r w:rsidR="00483590" w:rsidRPr="00B9289B">
        <w:rPr>
          <w:rFonts w:cs="Arial"/>
          <w:szCs w:val="22"/>
        </w:rPr>
        <w:t xml:space="preserve">v </w:t>
      </w:r>
      <w:r w:rsidR="00576DEB" w:rsidRPr="00B9289B">
        <w:rPr>
          <w:rFonts w:cs="Arial"/>
          <w:szCs w:val="22"/>
        </w:rPr>
        <w:t>projektu EET</w:t>
      </w:r>
      <w:r w:rsidR="00483590" w:rsidRPr="00B9289B">
        <w:rPr>
          <w:rFonts w:cs="Arial"/>
          <w:szCs w:val="22"/>
        </w:rPr>
        <w:t xml:space="preserve"> pro podnikatelské subjekty</w:t>
      </w:r>
      <w:r w:rsidR="00576DEB" w:rsidRPr="00B9289B">
        <w:rPr>
          <w:rFonts w:cs="Arial"/>
          <w:szCs w:val="22"/>
        </w:rPr>
        <w:t xml:space="preserve">. </w:t>
      </w:r>
    </w:p>
    <w:p w:rsidR="00576DEB" w:rsidRPr="00B9289B" w:rsidRDefault="00576DEB" w:rsidP="001C549C">
      <w:pPr>
        <w:spacing w:before="120"/>
        <w:ind w:left="425"/>
        <w:jc w:val="both"/>
        <w:rPr>
          <w:rFonts w:cs="Arial"/>
          <w:szCs w:val="22"/>
        </w:rPr>
      </w:pPr>
    </w:p>
    <w:p w:rsidR="000A3CD0" w:rsidRPr="00B9289B" w:rsidRDefault="0030135B" w:rsidP="000A3CD0">
      <w:pPr>
        <w:spacing w:before="120"/>
        <w:jc w:val="both"/>
        <w:rPr>
          <w:rFonts w:cs="Arial"/>
          <w:b/>
          <w:szCs w:val="22"/>
        </w:rPr>
      </w:pPr>
      <w:r w:rsidRPr="00B9289B">
        <w:rPr>
          <w:rFonts w:cs="Arial"/>
          <w:b/>
          <w:szCs w:val="22"/>
        </w:rPr>
        <w:t>Cílení a</w:t>
      </w:r>
      <w:r w:rsidR="000A3CD0" w:rsidRPr="00B9289B">
        <w:rPr>
          <w:rFonts w:cs="Arial"/>
          <w:b/>
          <w:szCs w:val="22"/>
        </w:rPr>
        <w:t xml:space="preserve">rgumentace dle typu komunikačního nástroje: </w:t>
      </w:r>
    </w:p>
    <w:p w:rsidR="00402155" w:rsidRPr="00B9289B" w:rsidRDefault="00697DD1" w:rsidP="00697DD1">
      <w:pPr>
        <w:pStyle w:val="Odstavecseseznamem"/>
        <w:numPr>
          <w:ilvl w:val="0"/>
          <w:numId w:val="38"/>
        </w:numPr>
        <w:spacing w:before="120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cílení na „</w:t>
      </w:r>
      <w:proofErr w:type="spellStart"/>
      <w:r w:rsidRPr="00B9289B">
        <w:rPr>
          <w:rFonts w:cs="Arial"/>
          <w:szCs w:val="22"/>
        </w:rPr>
        <w:t>awareness</w:t>
      </w:r>
      <w:proofErr w:type="spellEnd"/>
      <w:r w:rsidRPr="00B9289B">
        <w:rPr>
          <w:rFonts w:cs="Arial"/>
          <w:szCs w:val="22"/>
        </w:rPr>
        <w:t>“ očekáván</w:t>
      </w:r>
      <w:r w:rsidR="00711C3F" w:rsidRPr="00B9289B">
        <w:rPr>
          <w:rFonts w:cs="Arial"/>
          <w:szCs w:val="22"/>
        </w:rPr>
        <w:t>o</w:t>
      </w:r>
      <w:r w:rsidRPr="00B9289B">
        <w:rPr>
          <w:rFonts w:cs="Arial"/>
          <w:szCs w:val="22"/>
        </w:rPr>
        <w:t xml:space="preserve"> zejména u kreativního návrhu TV spotu ve verzi 30´´</w:t>
      </w:r>
    </w:p>
    <w:p w:rsidR="00711C3F" w:rsidRPr="00B9289B" w:rsidRDefault="00711C3F" w:rsidP="00697DD1">
      <w:pPr>
        <w:pStyle w:val="Odstavecseseznamem"/>
        <w:numPr>
          <w:ilvl w:val="0"/>
          <w:numId w:val="38"/>
        </w:numPr>
        <w:spacing w:before="120"/>
        <w:jc w:val="both"/>
        <w:rPr>
          <w:rFonts w:cs="Arial"/>
          <w:szCs w:val="22"/>
        </w:rPr>
      </w:pPr>
      <w:r w:rsidRPr="00B9289B">
        <w:rPr>
          <w:rFonts w:cs="Arial"/>
          <w:szCs w:val="22"/>
        </w:rPr>
        <w:t>cílení na „racionalitu</w:t>
      </w:r>
      <w:r w:rsidR="001C3F70" w:rsidRPr="00B9289B">
        <w:rPr>
          <w:rFonts w:cs="Arial"/>
          <w:szCs w:val="22"/>
        </w:rPr>
        <w:t>“</w:t>
      </w:r>
      <w:r w:rsidRPr="00B9289B">
        <w:rPr>
          <w:rFonts w:cs="Arial"/>
          <w:szCs w:val="22"/>
        </w:rPr>
        <w:t xml:space="preserve"> a </w:t>
      </w:r>
      <w:r w:rsidR="001C3F70" w:rsidRPr="00B9289B">
        <w:rPr>
          <w:rFonts w:cs="Arial"/>
          <w:szCs w:val="22"/>
        </w:rPr>
        <w:t>„</w:t>
      </w:r>
      <w:r w:rsidRPr="00B9289B">
        <w:rPr>
          <w:rFonts w:cs="Arial"/>
          <w:szCs w:val="22"/>
        </w:rPr>
        <w:t>explikac</w:t>
      </w:r>
      <w:r w:rsidR="0030135B" w:rsidRPr="00B9289B">
        <w:rPr>
          <w:rFonts w:cs="Arial"/>
          <w:szCs w:val="22"/>
        </w:rPr>
        <w:t>i</w:t>
      </w:r>
      <w:r w:rsidR="001C3F70" w:rsidRPr="00B9289B">
        <w:rPr>
          <w:rFonts w:cs="Arial"/>
          <w:szCs w:val="22"/>
        </w:rPr>
        <w:t>“</w:t>
      </w:r>
      <w:r w:rsidRPr="00B9289B">
        <w:rPr>
          <w:rFonts w:cs="Arial"/>
          <w:szCs w:val="22"/>
        </w:rPr>
        <w:t xml:space="preserve"> očekáván</w:t>
      </w:r>
      <w:r w:rsidR="0030135B" w:rsidRPr="00B9289B">
        <w:rPr>
          <w:rFonts w:cs="Arial"/>
          <w:szCs w:val="22"/>
        </w:rPr>
        <w:t>o</w:t>
      </w:r>
      <w:r w:rsidRPr="00B9289B">
        <w:rPr>
          <w:rFonts w:cs="Arial"/>
          <w:szCs w:val="22"/>
        </w:rPr>
        <w:t xml:space="preserve"> zejména u </w:t>
      </w:r>
      <w:r w:rsidR="0030135B" w:rsidRPr="00B9289B">
        <w:rPr>
          <w:rFonts w:cs="Arial"/>
          <w:szCs w:val="22"/>
        </w:rPr>
        <w:t>online komunikačních nástrojů</w:t>
      </w:r>
      <w:r w:rsidR="0004104A" w:rsidRPr="00B9289B">
        <w:rPr>
          <w:rFonts w:cs="Arial"/>
          <w:szCs w:val="22"/>
        </w:rPr>
        <w:t xml:space="preserve"> pro cílovou skupinu </w:t>
      </w:r>
      <w:r w:rsidR="00122568" w:rsidRPr="00B9289B">
        <w:rPr>
          <w:rFonts w:cs="Arial"/>
          <w:szCs w:val="22"/>
        </w:rPr>
        <w:t>podnikatelské</w:t>
      </w:r>
      <w:r w:rsidR="0004104A" w:rsidRPr="00B9289B">
        <w:rPr>
          <w:rFonts w:cs="Arial"/>
          <w:szCs w:val="22"/>
        </w:rPr>
        <w:t xml:space="preserve"> subjekty, kreativního návrhu vkládací čtyřstrany a </w:t>
      </w:r>
      <w:r w:rsidR="001C3F70" w:rsidRPr="00B9289B">
        <w:rPr>
          <w:rFonts w:cs="Arial"/>
          <w:szCs w:val="22"/>
        </w:rPr>
        <w:t>kreativního návrhu TV spotu ve verzi 20´´ + 10´´</w:t>
      </w:r>
      <w:r w:rsidR="00122568" w:rsidRPr="00B9289B">
        <w:rPr>
          <w:rFonts w:cs="Arial"/>
          <w:szCs w:val="22"/>
        </w:rPr>
        <w:t xml:space="preserve"> (v rámci 10´</w:t>
      </w:r>
      <w:r w:rsidR="002635E1">
        <w:rPr>
          <w:rFonts w:cs="Arial"/>
          <w:szCs w:val="22"/>
        </w:rPr>
        <w:t>´</w:t>
      </w:r>
      <w:r w:rsidR="00122568" w:rsidRPr="00B9289B">
        <w:rPr>
          <w:rFonts w:cs="Arial"/>
          <w:szCs w:val="22"/>
        </w:rPr>
        <w:t>).</w:t>
      </w:r>
      <w:r w:rsidR="001C3F70" w:rsidRPr="00B9289B">
        <w:rPr>
          <w:rFonts w:cs="Arial"/>
          <w:szCs w:val="22"/>
        </w:rPr>
        <w:t xml:space="preserve"> </w:t>
      </w:r>
      <w:r w:rsidR="0004104A" w:rsidRPr="00B9289B">
        <w:rPr>
          <w:rFonts w:cs="Arial"/>
          <w:szCs w:val="22"/>
        </w:rPr>
        <w:t xml:space="preserve"> </w:t>
      </w:r>
    </w:p>
    <w:p w:rsidR="00455608" w:rsidRPr="00B9289B" w:rsidRDefault="00455608" w:rsidP="003A0BC6">
      <w:pPr>
        <w:ind w:left="360"/>
        <w:jc w:val="both"/>
        <w:rPr>
          <w:rFonts w:cs="Arial"/>
          <w:i/>
          <w:szCs w:val="22"/>
        </w:rPr>
      </w:pPr>
    </w:p>
    <w:p w:rsidR="008F6F01" w:rsidRPr="00B9289B" w:rsidRDefault="008F6F01" w:rsidP="007B289D">
      <w:pPr>
        <w:pStyle w:val="Odstavecseseznamem"/>
        <w:ind w:left="360"/>
        <w:jc w:val="both"/>
        <w:rPr>
          <w:rFonts w:cs="Arial"/>
          <w:i/>
          <w:szCs w:val="22"/>
        </w:rPr>
      </w:pPr>
    </w:p>
    <w:p w:rsidR="008F6F01" w:rsidRPr="00B9289B" w:rsidRDefault="008F6F01" w:rsidP="003A0BC6">
      <w:pPr>
        <w:ind w:left="360"/>
        <w:jc w:val="both"/>
        <w:rPr>
          <w:rFonts w:cs="Arial"/>
          <w:i/>
          <w:szCs w:val="22"/>
        </w:rPr>
      </w:pPr>
    </w:p>
    <w:p w:rsidR="00455608" w:rsidRPr="00B9289B" w:rsidRDefault="00455608" w:rsidP="003A0BC6">
      <w:pPr>
        <w:jc w:val="both"/>
        <w:rPr>
          <w:rFonts w:cs="Arial"/>
          <w:szCs w:val="22"/>
        </w:rPr>
      </w:pPr>
    </w:p>
    <w:p w:rsidR="00613620" w:rsidRPr="00B9289B" w:rsidRDefault="00613620" w:rsidP="003A0BC6">
      <w:pPr>
        <w:jc w:val="both"/>
        <w:rPr>
          <w:rFonts w:cs="Arial"/>
          <w:szCs w:val="22"/>
        </w:rPr>
      </w:pPr>
    </w:p>
    <w:sectPr w:rsidR="00613620" w:rsidRPr="00B9289B" w:rsidSect="00EA5E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54" w:rsidRDefault="00117F54" w:rsidP="00455608">
      <w:r>
        <w:separator/>
      </w:r>
    </w:p>
  </w:endnote>
  <w:endnote w:type="continuationSeparator" w:id="0">
    <w:p w:rsidR="00117F54" w:rsidRDefault="00117F54" w:rsidP="004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67199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455608" w:rsidRPr="00455608" w:rsidRDefault="00EA5E7D">
        <w:pPr>
          <w:pStyle w:val="Zpat"/>
          <w:jc w:val="right"/>
          <w:rPr>
            <w:rFonts w:ascii="Arial Narrow" w:hAnsi="Arial Narrow"/>
          </w:rPr>
        </w:pPr>
        <w:r w:rsidRPr="00455608">
          <w:rPr>
            <w:rFonts w:ascii="Arial Narrow" w:hAnsi="Arial Narrow"/>
          </w:rPr>
          <w:fldChar w:fldCharType="begin"/>
        </w:r>
        <w:r w:rsidR="00455608" w:rsidRPr="00455608">
          <w:rPr>
            <w:rFonts w:ascii="Arial Narrow" w:hAnsi="Arial Narrow"/>
          </w:rPr>
          <w:instrText>PAGE   \* MERGEFORMAT</w:instrText>
        </w:r>
        <w:r w:rsidRPr="00455608">
          <w:rPr>
            <w:rFonts w:ascii="Arial Narrow" w:hAnsi="Arial Narrow"/>
          </w:rPr>
          <w:fldChar w:fldCharType="separate"/>
        </w:r>
        <w:r w:rsidR="00202A8C">
          <w:rPr>
            <w:rFonts w:ascii="Arial Narrow" w:hAnsi="Arial Narrow"/>
            <w:noProof/>
          </w:rPr>
          <w:t>1</w:t>
        </w:r>
        <w:r w:rsidRPr="00455608">
          <w:rPr>
            <w:rFonts w:ascii="Arial Narrow" w:hAnsi="Arial Narrow"/>
          </w:rPr>
          <w:fldChar w:fldCharType="end"/>
        </w:r>
      </w:p>
    </w:sdtContent>
  </w:sdt>
  <w:p w:rsidR="00455608" w:rsidRDefault="004556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54" w:rsidRDefault="00117F54" w:rsidP="00455608">
      <w:r>
        <w:separator/>
      </w:r>
    </w:p>
  </w:footnote>
  <w:footnote w:type="continuationSeparator" w:id="0">
    <w:p w:rsidR="00117F54" w:rsidRDefault="00117F54" w:rsidP="0045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9B" w:rsidRPr="00B9289B" w:rsidRDefault="00B9289B" w:rsidP="00B9289B">
    <w:pPr>
      <w:pStyle w:val="Nadpis1"/>
      <w:numPr>
        <w:ilvl w:val="0"/>
        <w:numId w:val="0"/>
      </w:numPr>
      <w:spacing w:after="480"/>
      <w:ind w:left="431" w:hanging="431"/>
      <w:rPr>
        <w:rFonts w:cs="Arial"/>
        <w:sz w:val="22"/>
        <w:szCs w:val="22"/>
      </w:rPr>
    </w:pPr>
    <w:r w:rsidRPr="00B9289B">
      <w:rPr>
        <w:rFonts w:cs="Arial"/>
        <w:sz w:val="22"/>
        <w:szCs w:val="22"/>
      </w:rPr>
      <w:t xml:space="preserve">Příloha č. 6 Výzvy - Kreativní </w:t>
    </w:r>
    <w:proofErr w:type="spellStart"/>
    <w:r w:rsidRPr="00B9289B">
      <w:rPr>
        <w:rFonts w:cs="Arial"/>
        <w:sz w:val="22"/>
        <w:szCs w:val="22"/>
      </w:rPr>
      <w:t>brief</w:t>
    </w:r>
    <w:proofErr w:type="spellEnd"/>
  </w:p>
  <w:p w:rsidR="00B9289B" w:rsidRDefault="00B928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988"/>
    <w:multiLevelType w:val="hybridMultilevel"/>
    <w:tmpl w:val="69EA9944"/>
    <w:lvl w:ilvl="0" w:tplc="4802E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44CEB"/>
    <w:multiLevelType w:val="hybridMultilevel"/>
    <w:tmpl w:val="92BE1164"/>
    <w:lvl w:ilvl="0" w:tplc="7E9CCF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16E3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5367"/>
    <w:multiLevelType w:val="hybridMultilevel"/>
    <w:tmpl w:val="BC28E1C4"/>
    <w:lvl w:ilvl="0" w:tplc="C85C19C0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9F0EE5"/>
    <w:multiLevelType w:val="hybridMultilevel"/>
    <w:tmpl w:val="E19A88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B5240"/>
    <w:multiLevelType w:val="hybridMultilevel"/>
    <w:tmpl w:val="2A24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7C6E"/>
    <w:multiLevelType w:val="hybridMultilevel"/>
    <w:tmpl w:val="BDA87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2C28"/>
    <w:multiLevelType w:val="hybridMultilevel"/>
    <w:tmpl w:val="DDA81968"/>
    <w:lvl w:ilvl="0" w:tplc="686A2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0F4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29C9"/>
    <w:multiLevelType w:val="hybridMultilevel"/>
    <w:tmpl w:val="989AE4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B37A3"/>
    <w:multiLevelType w:val="hybridMultilevel"/>
    <w:tmpl w:val="7AA461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726BEB"/>
    <w:multiLevelType w:val="hybridMultilevel"/>
    <w:tmpl w:val="46BA9F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B2779"/>
    <w:multiLevelType w:val="hybridMultilevel"/>
    <w:tmpl w:val="240C51B4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841CBD"/>
    <w:multiLevelType w:val="hybridMultilevel"/>
    <w:tmpl w:val="4B8A3C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D0AF4"/>
    <w:multiLevelType w:val="hybridMultilevel"/>
    <w:tmpl w:val="BD0AA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F4CA2"/>
    <w:multiLevelType w:val="hybridMultilevel"/>
    <w:tmpl w:val="73DAF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86E23"/>
    <w:multiLevelType w:val="multilevel"/>
    <w:tmpl w:val="01BE349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2FBF7897"/>
    <w:multiLevelType w:val="hybridMultilevel"/>
    <w:tmpl w:val="2B16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66988"/>
    <w:multiLevelType w:val="hybridMultilevel"/>
    <w:tmpl w:val="C4A0A490"/>
    <w:lvl w:ilvl="0" w:tplc="C85C19C0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7C4C4D"/>
    <w:multiLevelType w:val="hybridMultilevel"/>
    <w:tmpl w:val="E81E7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42AFC"/>
    <w:multiLevelType w:val="hybridMultilevel"/>
    <w:tmpl w:val="7834D0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92443"/>
    <w:multiLevelType w:val="hybridMultilevel"/>
    <w:tmpl w:val="31284644"/>
    <w:lvl w:ilvl="0" w:tplc="FB021274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0262AC"/>
    <w:multiLevelType w:val="hybridMultilevel"/>
    <w:tmpl w:val="5F22FF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07E91"/>
    <w:multiLevelType w:val="hybridMultilevel"/>
    <w:tmpl w:val="7B38824A"/>
    <w:lvl w:ilvl="0" w:tplc="B4F4A6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D51FD0"/>
    <w:multiLevelType w:val="hybridMultilevel"/>
    <w:tmpl w:val="5ECE90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AB1A2F"/>
    <w:multiLevelType w:val="hybridMultilevel"/>
    <w:tmpl w:val="5E96137E"/>
    <w:lvl w:ilvl="0" w:tplc="4802E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73ED0"/>
    <w:multiLevelType w:val="hybridMultilevel"/>
    <w:tmpl w:val="614E803C"/>
    <w:lvl w:ilvl="0" w:tplc="16F2A8E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31FCE"/>
    <w:multiLevelType w:val="hybridMultilevel"/>
    <w:tmpl w:val="B21C9054"/>
    <w:lvl w:ilvl="0" w:tplc="4802E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8355C5"/>
    <w:multiLevelType w:val="hybridMultilevel"/>
    <w:tmpl w:val="67B040DE"/>
    <w:lvl w:ilvl="0" w:tplc="4802E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5177B"/>
    <w:multiLevelType w:val="hybridMultilevel"/>
    <w:tmpl w:val="6F1ABE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1B28C3"/>
    <w:multiLevelType w:val="hybridMultilevel"/>
    <w:tmpl w:val="46BA9F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A05AF0"/>
    <w:multiLevelType w:val="hybridMultilevel"/>
    <w:tmpl w:val="DB3E7DF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74D56410"/>
    <w:multiLevelType w:val="hybridMultilevel"/>
    <w:tmpl w:val="09045E64"/>
    <w:lvl w:ilvl="0" w:tplc="4802E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47548B"/>
    <w:multiLevelType w:val="hybridMultilevel"/>
    <w:tmpl w:val="142A0088"/>
    <w:lvl w:ilvl="0" w:tplc="4802E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190FD0"/>
    <w:multiLevelType w:val="hybridMultilevel"/>
    <w:tmpl w:val="C5C0E14E"/>
    <w:lvl w:ilvl="0" w:tplc="4802E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B42FED"/>
    <w:multiLevelType w:val="hybridMultilevel"/>
    <w:tmpl w:val="3ED61514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"/>
  </w:num>
  <w:num w:numId="3">
    <w:abstractNumId w:val="33"/>
  </w:num>
  <w:num w:numId="4">
    <w:abstractNumId w:val="31"/>
  </w:num>
  <w:num w:numId="5">
    <w:abstractNumId w:val="25"/>
  </w:num>
  <w:num w:numId="6">
    <w:abstractNumId w:val="32"/>
  </w:num>
  <w:num w:numId="7">
    <w:abstractNumId w:val="26"/>
  </w:num>
  <w:num w:numId="8">
    <w:abstractNumId w:val="23"/>
  </w:num>
  <w:num w:numId="9">
    <w:abstractNumId w:val="0"/>
  </w:num>
  <w:num w:numId="10">
    <w:abstractNumId w:val="14"/>
  </w:num>
  <w:num w:numId="11">
    <w:abstractNumId w:val="30"/>
  </w:num>
  <w:num w:numId="12">
    <w:abstractNumId w:val="27"/>
  </w:num>
  <w:num w:numId="13">
    <w:abstractNumId w:val="19"/>
  </w:num>
  <w:num w:numId="14">
    <w:abstractNumId w:val="24"/>
  </w:num>
  <w:num w:numId="15">
    <w:abstractNumId w:val="15"/>
  </w:num>
  <w:num w:numId="16">
    <w:abstractNumId w:val="14"/>
  </w:num>
  <w:num w:numId="17">
    <w:abstractNumId w:val="14"/>
  </w:num>
  <w:num w:numId="18">
    <w:abstractNumId w:val="8"/>
  </w:num>
  <w:num w:numId="19">
    <w:abstractNumId w:val="14"/>
  </w:num>
  <w:num w:numId="20">
    <w:abstractNumId w:val="2"/>
  </w:num>
  <w:num w:numId="21">
    <w:abstractNumId w:val="14"/>
  </w:num>
  <w:num w:numId="22">
    <w:abstractNumId w:val="28"/>
  </w:num>
  <w:num w:numId="23">
    <w:abstractNumId w:val="16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3"/>
  </w:num>
  <w:num w:numId="31">
    <w:abstractNumId w:val="14"/>
  </w:num>
  <w:num w:numId="32">
    <w:abstractNumId w:val="9"/>
  </w:num>
  <w:num w:numId="33">
    <w:abstractNumId w:val="14"/>
  </w:num>
  <w:num w:numId="34">
    <w:abstractNumId w:val="29"/>
  </w:num>
  <w:num w:numId="35">
    <w:abstractNumId w:val="22"/>
  </w:num>
  <w:num w:numId="36">
    <w:abstractNumId w:val="7"/>
  </w:num>
  <w:num w:numId="37">
    <w:abstractNumId w:val="6"/>
  </w:num>
  <w:num w:numId="38">
    <w:abstractNumId w:val="13"/>
  </w:num>
  <w:num w:numId="39">
    <w:abstractNumId w:val="5"/>
  </w:num>
  <w:num w:numId="40">
    <w:abstractNumId w:val="4"/>
  </w:num>
  <w:num w:numId="41">
    <w:abstractNumId w:val="17"/>
  </w:num>
  <w:num w:numId="42">
    <w:abstractNumId w:val="10"/>
  </w:num>
  <w:num w:numId="43">
    <w:abstractNumId w:val="11"/>
  </w:num>
  <w:num w:numId="44">
    <w:abstractNumId w:val="18"/>
  </w:num>
  <w:num w:numId="45">
    <w:abstractNumId w:val="2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019"/>
    <w:rsid w:val="0001273D"/>
    <w:rsid w:val="0004104A"/>
    <w:rsid w:val="00044E76"/>
    <w:rsid w:val="00060416"/>
    <w:rsid w:val="000A1C68"/>
    <w:rsid w:val="000A3CD0"/>
    <w:rsid w:val="000C34D1"/>
    <w:rsid w:val="000D64F9"/>
    <w:rsid w:val="000E51A1"/>
    <w:rsid w:val="000E5B5B"/>
    <w:rsid w:val="001037D9"/>
    <w:rsid w:val="0011593D"/>
    <w:rsid w:val="00116289"/>
    <w:rsid w:val="00117F54"/>
    <w:rsid w:val="001224DD"/>
    <w:rsid w:val="00122568"/>
    <w:rsid w:val="00125227"/>
    <w:rsid w:val="00127019"/>
    <w:rsid w:val="00130844"/>
    <w:rsid w:val="001577CE"/>
    <w:rsid w:val="0016370A"/>
    <w:rsid w:val="00163C25"/>
    <w:rsid w:val="001673C9"/>
    <w:rsid w:val="00190355"/>
    <w:rsid w:val="00192D0D"/>
    <w:rsid w:val="001A45D9"/>
    <w:rsid w:val="001B75CF"/>
    <w:rsid w:val="001C3F70"/>
    <w:rsid w:val="001C549C"/>
    <w:rsid w:val="001D3460"/>
    <w:rsid w:val="001D6454"/>
    <w:rsid w:val="00202A8C"/>
    <w:rsid w:val="00213DB5"/>
    <w:rsid w:val="00221E7A"/>
    <w:rsid w:val="00253050"/>
    <w:rsid w:val="002552B9"/>
    <w:rsid w:val="002635E1"/>
    <w:rsid w:val="00271857"/>
    <w:rsid w:val="00287057"/>
    <w:rsid w:val="002D6F93"/>
    <w:rsid w:val="0030135B"/>
    <w:rsid w:val="00330999"/>
    <w:rsid w:val="00354349"/>
    <w:rsid w:val="00356E96"/>
    <w:rsid w:val="003A0BC6"/>
    <w:rsid w:val="003D0F21"/>
    <w:rsid w:val="003E0D07"/>
    <w:rsid w:val="003E49A7"/>
    <w:rsid w:val="00402155"/>
    <w:rsid w:val="00455608"/>
    <w:rsid w:val="0046724A"/>
    <w:rsid w:val="00473A6E"/>
    <w:rsid w:val="00483590"/>
    <w:rsid w:val="004B77C4"/>
    <w:rsid w:val="004F1A36"/>
    <w:rsid w:val="00504A03"/>
    <w:rsid w:val="00576DEB"/>
    <w:rsid w:val="00587D55"/>
    <w:rsid w:val="005928CF"/>
    <w:rsid w:val="005B18EF"/>
    <w:rsid w:val="005C572F"/>
    <w:rsid w:val="005F2A5E"/>
    <w:rsid w:val="00613620"/>
    <w:rsid w:val="00634B40"/>
    <w:rsid w:val="00684897"/>
    <w:rsid w:val="00693051"/>
    <w:rsid w:val="00697DD1"/>
    <w:rsid w:val="006C035E"/>
    <w:rsid w:val="006C4C2E"/>
    <w:rsid w:val="00711C3F"/>
    <w:rsid w:val="00715C95"/>
    <w:rsid w:val="007329A9"/>
    <w:rsid w:val="007473BC"/>
    <w:rsid w:val="00762C43"/>
    <w:rsid w:val="00787378"/>
    <w:rsid w:val="00787C22"/>
    <w:rsid w:val="007A3A12"/>
    <w:rsid w:val="007B0D28"/>
    <w:rsid w:val="007B289D"/>
    <w:rsid w:val="007C642B"/>
    <w:rsid w:val="007C6873"/>
    <w:rsid w:val="00857DF1"/>
    <w:rsid w:val="008A2320"/>
    <w:rsid w:val="008B59A4"/>
    <w:rsid w:val="008C505D"/>
    <w:rsid w:val="008D1E14"/>
    <w:rsid w:val="008F6F01"/>
    <w:rsid w:val="00906C78"/>
    <w:rsid w:val="00912285"/>
    <w:rsid w:val="00960DDD"/>
    <w:rsid w:val="00991E37"/>
    <w:rsid w:val="00992E2E"/>
    <w:rsid w:val="009A327B"/>
    <w:rsid w:val="00A0308E"/>
    <w:rsid w:val="00A37735"/>
    <w:rsid w:val="00A45364"/>
    <w:rsid w:val="00AE3178"/>
    <w:rsid w:val="00AE451F"/>
    <w:rsid w:val="00AE5574"/>
    <w:rsid w:val="00AF2A33"/>
    <w:rsid w:val="00AF3F77"/>
    <w:rsid w:val="00AF6862"/>
    <w:rsid w:val="00B13871"/>
    <w:rsid w:val="00B26CE5"/>
    <w:rsid w:val="00B9289B"/>
    <w:rsid w:val="00B96EB4"/>
    <w:rsid w:val="00BC0C32"/>
    <w:rsid w:val="00BC64C8"/>
    <w:rsid w:val="00BD06B3"/>
    <w:rsid w:val="00BD2151"/>
    <w:rsid w:val="00BF1C30"/>
    <w:rsid w:val="00C26256"/>
    <w:rsid w:val="00C80AAF"/>
    <w:rsid w:val="00C81A56"/>
    <w:rsid w:val="00CB3C26"/>
    <w:rsid w:val="00CC6FAC"/>
    <w:rsid w:val="00D14906"/>
    <w:rsid w:val="00D66289"/>
    <w:rsid w:val="00DC5CD6"/>
    <w:rsid w:val="00DF0C14"/>
    <w:rsid w:val="00E416FB"/>
    <w:rsid w:val="00EA5E7D"/>
    <w:rsid w:val="00EB0B42"/>
    <w:rsid w:val="00EB574D"/>
    <w:rsid w:val="00F13BC8"/>
    <w:rsid w:val="00F22ACA"/>
    <w:rsid w:val="00F51341"/>
    <w:rsid w:val="00F52FC1"/>
    <w:rsid w:val="00F61684"/>
    <w:rsid w:val="00F83B79"/>
    <w:rsid w:val="00F94BDD"/>
    <w:rsid w:val="00FE582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608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5608"/>
    <w:pPr>
      <w:keepNext/>
      <w:numPr>
        <w:numId w:val="10"/>
      </w:numPr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455608"/>
    <w:pPr>
      <w:keepNext/>
      <w:numPr>
        <w:ilvl w:val="1"/>
        <w:numId w:val="10"/>
      </w:numPr>
      <w:overflowPunct w:val="0"/>
      <w:autoSpaceDE w:val="0"/>
      <w:autoSpaceDN w:val="0"/>
      <w:adjustRightInd w:val="0"/>
      <w:outlineLvl w:val="1"/>
    </w:pPr>
    <w:rPr>
      <w:rFonts w:eastAsia="Arial Unicode MS"/>
      <w:b/>
      <w:position w:val="6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55608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55608"/>
    <w:pPr>
      <w:keepNext/>
      <w:numPr>
        <w:ilvl w:val="3"/>
        <w:numId w:val="10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455608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55608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55608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55608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55608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5608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55608"/>
    <w:rPr>
      <w:rFonts w:ascii="Arial" w:eastAsia="Arial Unicode MS" w:hAnsi="Arial" w:cs="Times New Roman"/>
      <w:b/>
      <w:position w:val="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5560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55608"/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55608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45560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55608"/>
    <w:rPr>
      <w:rFonts w:ascii="Calibri" w:eastAsia="Times New Roman" w:hAnsi="Calibri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455608"/>
    <w:rPr>
      <w:rFonts w:ascii="Calibri" w:eastAsia="Times New Roman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455608"/>
    <w:rPr>
      <w:rFonts w:ascii="Cambria" w:eastAsia="Times New Roman" w:hAnsi="Cambria" w:cs="Times New Roman"/>
      <w:lang w:eastAsia="cs-CZ"/>
    </w:rPr>
  </w:style>
  <w:style w:type="paragraph" w:styleId="Zkladntext2">
    <w:name w:val="Body Text 2"/>
    <w:basedOn w:val="Normln"/>
    <w:link w:val="Zkladntext2Char"/>
    <w:rsid w:val="00455608"/>
    <w:pPr>
      <w:spacing w:before="120" w:after="120"/>
      <w:jc w:val="both"/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55608"/>
    <w:rPr>
      <w:rFonts w:ascii="Arial" w:eastAsia="Times New Roman" w:hAnsi="Arial" w:cs="Times New Roman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rsid w:val="004556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55608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justified">
    <w:name w:val="justified"/>
    <w:basedOn w:val="Normln"/>
    <w:rsid w:val="0045560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455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60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56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608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56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0C1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C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C1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C1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608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5608"/>
    <w:pPr>
      <w:keepNext/>
      <w:numPr>
        <w:numId w:val="10"/>
      </w:numPr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455608"/>
    <w:pPr>
      <w:keepNext/>
      <w:numPr>
        <w:ilvl w:val="1"/>
        <w:numId w:val="10"/>
      </w:numPr>
      <w:overflowPunct w:val="0"/>
      <w:autoSpaceDE w:val="0"/>
      <w:autoSpaceDN w:val="0"/>
      <w:adjustRightInd w:val="0"/>
      <w:outlineLvl w:val="1"/>
    </w:pPr>
    <w:rPr>
      <w:rFonts w:eastAsia="Arial Unicode MS"/>
      <w:b/>
      <w:position w:val="6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55608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55608"/>
    <w:pPr>
      <w:keepNext/>
      <w:numPr>
        <w:ilvl w:val="3"/>
        <w:numId w:val="10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455608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55608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55608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55608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55608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5608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55608"/>
    <w:rPr>
      <w:rFonts w:ascii="Arial" w:eastAsia="Arial Unicode MS" w:hAnsi="Arial" w:cs="Times New Roman"/>
      <w:b/>
      <w:position w:val="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5560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55608"/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55608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45560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55608"/>
    <w:rPr>
      <w:rFonts w:ascii="Calibri" w:eastAsia="Times New Roman" w:hAnsi="Calibri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455608"/>
    <w:rPr>
      <w:rFonts w:ascii="Calibri" w:eastAsia="Times New Roman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455608"/>
    <w:rPr>
      <w:rFonts w:ascii="Cambria" w:eastAsia="Times New Roman" w:hAnsi="Cambria" w:cs="Times New Roman"/>
      <w:lang w:eastAsia="cs-CZ"/>
    </w:rPr>
  </w:style>
  <w:style w:type="paragraph" w:styleId="Zkladntext2">
    <w:name w:val="Body Text 2"/>
    <w:basedOn w:val="Normln"/>
    <w:link w:val="Zkladntext2Char"/>
    <w:rsid w:val="00455608"/>
    <w:pPr>
      <w:spacing w:before="120" w:after="120"/>
      <w:jc w:val="both"/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55608"/>
    <w:rPr>
      <w:rFonts w:ascii="Arial" w:eastAsia="Times New Roman" w:hAnsi="Arial" w:cs="Times New Roman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rsid w:val="004556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55608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justified">
    <w:name w:val="justified"/>
    <w:basedOn w:val="Normln"/>
    <w:rsid w:val="0045560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455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60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56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608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56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0C1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C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C1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C1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1265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Šárka Mgr. (GFŘ)</dc:creator>
  <cp:lastModifiedBy>Petrásková Monika Mgr.</cp:lastModifiedBy>
  <cp:revision>15</cp:revision>
  <cp:lastPrinted>2015-11-27T06:30:00Z</cp:lastPrinted>
  <dcterms:created xsi:type="dcterms:W3CDTF">2015-11-20T21:56:00Z</dcterms:created>
  <dcterms:modified xsi:type="dcterms:W3CDTF">2015-11-27T09:46:00Z</dcterms:modified>
</cp:coreProperties>
</file>