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F3E" w:rsidRDefault="00F12F3E" w:rsidP="00F12F3E">
      <w:pPr>
        <w:jc w:val="center"/>
        <w:rPr>
          <w:b/>
          <w:sz w:val="32"/>
        </w:rPr>
      </w:pPr>
      <w:bookmarkStart w:id="0" w:name="_GoBack"/>
      <w:bookmarkEnd w:id="0"/>
    </w:p>
    <w:p w:rsidR="00F12F3E" w:rsidRDefault="00F12F3E" w:rsidP="00F12F3E">
      <w:pPr>
        <w:jc w:val="center"/>
        <w:rPr>
          <w:b/>
          <w:sz w:val="32"/>
        </w:rPr>
      </w:pPr>
    </w:p>
    <w:p w:rsidR="008D3C98" w:rsidRDefault="008D3C98" w:rsidP="00F12F3E">
      <w:pPr>
        <w:jc w:val="center"/>
        <w:rPr>
          <w:b/>
          <w:sz w:val="32"/>
        </w:rPr>
      </w:pPr>
    </w:p>
    <w:p w:rsidR="008D3C98" w:rsidRDefault="008D3C98" w:rsidP="00F12F3E">
      <w:pPr>
        <w:jc w:val="center"/>
        <w:rPr>
          <w:b/>
          <w:sz w:val="32"/>
        </w:rPr>
      </w:pPr>
    </w:p>
    <w:p w:rsidR="008D3C98" w:rsidRDefault="008D3C98" w:rsidP="00F12F3E">
      <w:pPr>
        <w:jc w:val="center"/>
        <w:rPr>
          <w:b/>
          <w:sz w:val="32"/>
        </w:rPr>
      </w:pPr>
    </w:p>
    <w:p w:rsidR="008D3C98" w:rsidRDefault="0018055E" w:rsidP="0018055E">
      <w:pPr>
        <w:jc w:val="center"/>
        <w:rPr>
          <w:b/>
          <w:sz w:val="32"/>
        </w:rPr>
      </w:pPr>
      <w:r>
        <w:rPr>
          <w:b/>
          <w:sz w:val="32"/>
        </w:rPr>
        <w:t>Zúžená t</w:t>
      </w:r>
      <w:r w:rsidR="008D3C98">
        <w:rPr>
          <w:b/>
          <w:sz w:val="32"/>
        </w:rPr>
        <w:t>echnická dokumentace</w:t>
      </w:r>
    </w:p>
    <w:p w:rsidR="00F12F3E" w:rsidRDefault="00F12F3E" w:rsidP="00F12F3E">
      <w:pPr>
        <w:jc w:val="center"/>
        <w:rPr>
          <w:b/>
          <w:sz w:val="32"/>
        </w:rPr>
      </w:pPr>
    </w:p>
    <w:p w:rsidR="00F12F3E" w:rsidRPr="00CF4502" w:rsidRDefault="00F12F3E" w:rsidP="00F12F3E">
      <w:pPr>
        <w:jc w:val="center"/>
        <w:rPr>
          <w:b/>
          <w:sz w:val="44"/>
        </w:rPr>
      </w:pPr>
      <w:r w:rsidRPr="00CF4502">
        <w:rPr>
          <w:b/>
          <w:sz w:val="44"/>
        </w:rPr>
        <w:t>MONITOR</w:t>
      </w:r>
    </w:p>
    <w:p w:rsidR="00F12F3E" w:rsidRPr="00CF4502" w:rsidRDefault="00F12F3E" w:rsidP="00F12F3E">
      <w:pPr>
        <w:jc w:val="center"/>
        <w:rPr>
          <w:b/>
          <w:sz w:val="32"/>
        </w:rPr>
      </w:pPr>
      <w:r w:rsidRPr="00CF4502">
        <w:rPr>
          <w:b/>
          <w:sz w:val="32"/>
        </w:rPr>
        <w:t>Publikace účetních a finančních dat státu veřejnosti</w:t>
      </w:r>
    </w:p>
    <w:p w:rsidR="00F12F3E" w:rsidRDefault="00F12F3E" w:rsidP="00F12F3E">
      <w:pPr>
        <w:jc w:val="center"/>
        <w:rPr>
          <w:b/>
          <w:sz w:val="32"/>
        </w:rPr>
      </w:pPr>
    </w:p>
    <w:p w:rsidR="00F12F3E" w:rsidRDefault="00F12F3E" w:rsidP="00F12F3E">
      <w:pPr>
        <w:jc w:val="center"/>
        <w:rPr>
          <w:b/>
          <w:sz w:val="32"/>
        </w:rPr>
      </w:pPr>
    </w:p>
    <w:p w:rsidR="00F12F3E" w:rsidRDefault="00F12F3E" w:rsidP="00F12F3E">
      <w:pPr>
        <w:jc w:val="center"/>
        <w:rPr>
          <w:b/>
          <w:sz w:val="32"/>
        </w:rPr>
      </w:pPr>
    </w:p>
    <w:p w:rsidR="008D3C98" w:rsidRPr="008D3C98" w:rsidRDefault="008D3C98" w:rsidP="008D3C98">
      <w:pPr>
        <w:spacing w:after="120" w:line="280" w:lineRule="exact"/>
        <w:jc w:val="center"/>
        <w:rPr>
          <w:rFonts w:ascii="Calibri" w:hAnsi="Calibri"/>
          <w:b/>
          <w:sz w:val="32"/>
          <w:szCs w:val="32"/>
          <w:lang w:eastAsia="cs-CZ"/>
        </w:rPr>
      </w:pPr>
      <w:r w:rsidRPr="008D3C98">
        <w:rPr>
          <w:rFonts w:ascii="Calibri" w:hAnsi="Calibri"/>
          <w:i/>
          <w:sz w:val="32"/>
          <w:szCs w:val="32"/>
          <w:lang w:eastAsia="cs-CZ"/>
        </w:rPr>
        <w:t xml:space="preserve"> (</w:t>
      </w:r>
      <w:r w:rsidR="0018055E">
        <w:rPr>
          <w:rFonts w:ascii="Calibri" w:hAnsi="Calibri"/>
          <w:i/>
          <w:sz w:val="32"/>
          <w:szCs w:val="32"/>
          <w:lang w:eastAsia="cs-CZ"/>
        </w:rPr>
        <w:t xml:space="preserve">úplná Technická dokumentace </w:t>
      </w:r>
      <w:r w:rsidRPr="008D3C98">
        <w:rPr>
          <w:rFonts w:ascii="Calibri" w:hAnsi="Calibri"/>
          <w:i/>
          <w:sz w:val="32"/>
          <w:szCs w:val="32"/>
          <w:lang w:eastAsia="cs-CZ"/>
        </w:rPr>
        <w:t xml:space="preserve">tvoří pevně nesvázanou přílohu – CD, které bude poskytnuto </w:t>
      </w:r>
      <w:r w:rsidRPr="008D3C98">
        <w:rPr>
          <w:rFonts w:ascii="Calibri" w:hAnsi="Calibri"/>
          <w:i/>
          <w:sz w:val="32"/>
          <w:szCs w:val="32"/>
          <w:highlight w:val="yellow"/>
          <w:lang w:eastAsia="cs-CZ"/>
        </w:rPr>
        <w:t>při podpisu Smlouvy)</w:t>
      </w:r>
    </w:p>
    <w:sdt>
      <w:sdtPr>
        <w:rPr>
          <w:rFonts w:asciiTheme="minorHAnsi" w:eastAsiaTheme="minorHAnsi" w:hAnsiTheme="minorHAnsi" w:cstheme="minorBidi"/>
          <w:b w:val="0"/>
          <w:bCs w:val="0"/>
          <w:sz w:val="22"/>
          <w:szCs w:val="22"/>
          <w:lang w:val="cs-CZ" w:eastAsia="en-US"/>
        </w:rPr>
        <w:id w:val="1772666007"/>
        <w:docPartObj>
          <w:docPartGallery w:val="Table of Contents"/>
          <w:docPartUnique/>
        </w:docPartObj>
      </w:sdtPr>
      <w:sdtEndPr/>
      <w:sdtContent>
        <w:p w:rsidR="004874A0" w:rsidRDefault="004874A0">
          <w:pPr>
            <w:pStyle w:val="Nadpisobsahu"/>
          </w:pPr>
          <w:r>
            <w:rPr>
              <w:lang w:val="cs-CZ"/>
            </w:rPr>
            <w:t>Obsah</w:t>
          </w:r>
        </w:p>
        <w:p w:rsidR="00BD2B69" w:rsidRDefault="004874A0">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436140289" w:history="1">
            <w:r w:rsidR="00BD2B69" w:rsidRPr="00EC4C2C">
              <w:rPr>
                <w:rStyle w:val="Hypertextovodkaz"/>
                <w:noProof/>
              </w:rPr>
              <w:t>1</w:t>
            </w:r>
            <w:r w:rsidR="00BD2B69">
              <w:rPr>
                <w:rFonts w:eastAsiaTheme="minorEastAsia"/>
                <w:noProof/>
                <w:lang w:eastAsia="cs-CZ"/>
              </w:rPr>
              <w:tab/>
            </w:r>
            <w:r w:rsidR="00BD2B69" w:rsidRPr="00EC4C2C">
              <w:rPr>
                <w:rStyle w:val="Hypertextovodkaz"/>
                <w:noProof/>
              </w:rPr>
              <w:t>Landscape</w:t>
            </w:r>
            <w:r w:rsidR="00BD2B69">
              <w:rPr>
                <w:noProof/>
                <w:webHidden/>
              </w:rPr>
              <w:tab/>
            </w:r>
            <w:r w:rsidR="00BD2B69">
              <w:rPr>
                <w:noProof/>
                <w:webHidden/>
              </w:rPr>
              <w:fldChar w:fldCharType="begin"/>
            </w:r>
            <w:r w:rsidR="00BD2B69">
              <w:rPr>
                <w:noProof/>
                <w:webHidden/>
              </w:rPr>
              <w:instrText xml:space="preserve"> PAGEREF _Toc436140289 \h </w:instrText>
            </w:r>
            <w:r w:rsidR="00BD2B69">
              <w:rPr>
                <w:noProof/>
                <w:webHidden/>
              </w:rPr>
            </w:r>
            <w:r w:rsidR="00BD2B69">
              <w:rPr>
                <w:noProof/>
                <w:webHidden/>
              </w:rPr>
              <w:fldChar w:fldCharType="separate"/>
            </w:r>
            <w:r w:rsidR="00BD2B69">
              <w:rPr>
                <w:noProof/>
                <w:webHidden/>
              </w:rPr>
              <w:t>3</w:t>
            </w:r>
            <w:r w:rsidR="00BD2B69">
              <w:rPr>
                <w:noProof/>
                <w:webHidden/>
              </w:rPr>
              <w:fldChar w:fldCharType="end"/>
            </w:r>
          </w:hyperlink>
        </w:p>
        <w:p w:rsidR="00BD2B69" w:rsidRDefault="00243076">
          <w:pPr>
            <w:pStyle w:val="Obsah1"/>
            <w:tabs>
              <w:tab w:val="left" w:pos="440"/>
              <w:tab w:val="right" w:leader="dot" w:pos="9062"/>
            </w:tabs>
            <w:rPr>
              <w:rFonts w:eastAsiaTheme="minorEastAsia"/>
              <w:noProof/>
              <w:lang w:eastAsia="cs-CZ"/>
            </w:rPr>
          </w:pPr>
          <w:hyperlink w:anchor="_Toc436140290" w:history="1">
            <w:r w:rsidR="00BD2B69" w:rsidRPr="00EC4C2C">
              <w:rPr>
                <w:rStyle w:val="Hypertextovodkaz"/>
                <w:noProof/>
              </w:rPr>
              <w:t>2</w:t>
            </w:r>
            <w:r w:rsidR="00BD2B69">
              <w:rPr>
                <w:rFonts w:eastAsiaTheme="minorEastAsia"/>
                <w:noProof/>
                <w:lang w:eastAsia="cs-CZ"/>
              </w:rPr>
              <w:tab/>
            </w:r>
            <w:r w:rsidR="00BD2B69" w:rsidRPr="00EC4C2C">
              <w:rPr>
                <w:rStyle w:val="Hypertextovodkaz"/>
                <w:noProof/>
              </w:rPr>
              <w:t>Instalovaný software</w:t>
            </w:r>
            <w:r w:rsidR="00BD2B69">
              <w:rPr>
                <w:noProof/>
                <w:webHidden/>
              </w:rPr>
              <w:tab/>
            </w:r>
            <w:r w:rsidR="00BD2B69">
              <w:rPr>
                <w:noProof/>
                <w:webHidden/>
              </w:rPr>
              <w:fldChar w:fldCharType="begin"/>
            </w:r>
            <w:r w:rsidR="00BD2B69">
              <w:rPr>
                <w:noProof/>
                <w:webHidden/>
              </w:rPr>
              <w:instrText xml:space="preserve"> PAGEREF _Toc436140290 \h </w:instrText>
            </w:r>
            <w:r w:rsidR="00BD2B69">
              <w:rPr>
                <w:noProof/>
                <w:webHidden/>
              </w:rPr>
            </w:r>
            <w:r w:rsidR="00BD2B69">
              <w:rPr>
                <w:noProof/>
                <w:webHidden/>
              </w:rPr>
              <w:fldChar w:fldCharType="separate"/>
            </w:r>
            <w:r w:rsidR="00BD2B69">
              <w:rPr>
                <w:noProof/>
                <w:webHidden/>
              </w:rPr>
              <w:t>4</w:t>
            </w:r>
            <w:r w:rsidR="00BD2B69">
              <w:rPr>
                <w:noProof/>
                <w:webHidden/>
              </w:rPr>
              <w:fldChar w:fldCharType="end"/>
            </w:r>
          </w:hyperlink>
        </w:p>
        <w:p w:rsidR="00BD2B69" w:rsidRDefault="00243076">
          <w:pPr>
            <w:pStyle w:val="Obsah2"/>
            <w:tabs>
              <w:tab w:val="left" w:pos="880"/>
              <w:tab w:val="right" w:leader="dot" w:pos="9062"/>
            </w:tabs>
            <w:rPr>
              <w:rFonts w:eastAsiaTheme="minorEastAsia"/>
              <w:noProof/>
              <w:lang w:eastAsia="cs-CZ"/>
            </w:rPr>
          </w:pPr>
          <w:hyperlink w:anchor="_Toc436140291" w:history="1">
            <w:r w:rsidR="00BD2B69" w:rsidRPr="00EC4C2C">
              <w:rPr>
                <w:rStyle w:val="Hypertextovodkaz"/>
                <w:noProof/>
              </w:rPr>
              <w:t>2.1.</w:t>
            </w:r>
            <w:r w:rsidR="00BD2B69">
              <w:rPr>
                <w:rFonts w:eastAsiaTheme="minorEastAsia"/>
                <w:noProof/>
                <w:lang w:eastAsia="cs-CZ"/>
              </w:rPr>
              <w:tab/>
            </w:r>
            <w:r w:rsidR="00BD2B69" w:rsidRPr="00EC4C2C">
              <w:rPr>
                <w:rStyle w:val="Hypertextovodkaz"/>
                <w:noProof/>
              </w:rPr>
              <w:t>Aplikace Monitor</w:t>
            </w:r>
            <w:r w:rsidR="00BD2B69">
              <w:rPr>
                <w:noProof/>
                <w:webHidden/>
              </w:rPr>
              <w:tab/>
            </w:r>
            <w:r w:rsidR="00BD2B69">
              <w:rPr>
                <w:noProof/>
                <w:webHidden/>
              </w:rPr>
              <w:fldChar w:fldCharType="begin"/>
            </w:r>
            <w:r w:rsidR="00BD2B69">
              <w:rPr>
                <w:noProof/>
                <w:webHidden/>
              </w:rPr>
              <w:instrText xml:space="preserve"> PAGEREF _Toc436140291 \h </w:instrText>
            </w:r>
            <w:r w:rsidR="00BD2B69">
              <w:rPr>
                <w:noProof/>
                <w:webHidden/>
              </w:rPr>
            </w:r>
            <w:r w:rsidR="00BD2B69">
              <w:rPr>
                <w:noProof/>
                <w:webHidden/>
              </w:rPr>
              <w:fldChar w:fldCharType="separate"/>
            </w:r>
            <w:r w:rsidR="00BD2B69">
              <w:rPr>
                <w:noProof/>
                <w:webHidden/>
              </w:rPr>
              <w:t>5</w:t>
            </w:r>
            <w:r w:rsidR="00BD2B69">
              <w:rPr>
                <w:noProof/>
                <w:webHidden/>
              </w:rPr>
              <w:fldChar w:fldCharType="end"/>
            </w:r>
          </w:hyperlink>
        </w:p>
        <w:p w:rsidR="00BD2B69" w:rsidRDefault="00243076">
          <w:pPr>
            <w:pStyle w:val="Obsah1"/>
            <w:tabs>
              <w:tab w:val="left" w:pos="440"/>
              <w:tab w:val="right" w:leader="dot" w:pos="9062"/>
            </w:tabs>
            <w:rPr>
              <w:rFonts w:eastAsiaTheme="minorEastAsia"/>
              <w:noProof/>
              <w:lang w:eastAsia="cs-CZ"/>
            </w:rPr>
          </w:pPr>
          <w:hyperlink w:anchor="_Toc436140292" w:history="1">
            <w:r w:rsidR="00BD2B69" w:rsidRPr="00EC4C2C">
              <w:rPr>
                <w:rStyle w:val="Hypertextovodkaz"/>
                <w:noProof/>
              </w:rPr>
              <w:t>3</w:t>
            </w:r>
            <w:r w:rsidR="00BD2B69">
              <w:rPr>
                <w:rFonts w:eastAsiaTheme="minorEastAsia"/>
                <w:noProof/>
                <w:lang w:eastAsia="cs-CZ"/>
              </w:rPr>
              <w:tab/>
            </w:r>
            <w:r w:rsidR="00BD2B69" w:rsidRPr="00EC4C2C">
              <w:rPr>
                <w:rStyle w:val="Hypertextovodkaz"/>
                <w:noProof/>
              </w:rPr>
              <w:t>Datový model</w:t>
            </w:r>
            <w:r w:rsidR="00BD2B69">
              <w:rPr>
                <w:noProof/>
                <w:webHidden/>
              </w:rPr>
              <w:tab/>
            </w:r>
            <w:r w:rsidR="00BD2B69">
              <w:rPr>
                <w:noProof/>
                <w:webHidden/>
              </w:rPr>
              <w:fldChar w:fldCharType="begin"/>
            </w:r>
            <w:r w:rsidR="00BD2B69">
              <w:rPr>
                <w:noProof/>
                <w:webHidden/>
              </w:rPr>
              <w:instrText xml:space="preserve"> PAGEREF _Toc436140292 \h </w:instrText>
            </w:r>
            <w:r w:rsidR="00BD2B69">
              <w:rPr>
                <w:noProof/>
                <w:webHidden/>
              </w:rPr>
            </w:r>
            <w:r w:rsidR="00BD2B69">
              <w:rPr>
                <w:noProof/>
                <w:webHidden/>
              </w:rPr>
              <w:fldChar w:fldCharType="separate"/>
            </w:r>
            <w:r w:rsidR="00BD2B69">
              <w:rPr>
                <w:noProof/>
                <w:webHidden/>
              </w:rPr>
              <w:t>6</w:t>
            </w:r>
            <w:r w:rsidR="00BD2B69">
              <w:rPr>
                <w:noProof/>
                <w:webHidden/>
              </w:rPr>
              <w:fldChar w:fldCharType="end"/>
            </w:r>
          </w:hyperlink>
        </w:p>
        <w:p w:rsidR="00BD2B69" w:rsidRDefault="00243076">
          <w:pPr>
            <w:pStyle w:val="Obsah2"/>
            <w:tabs>
              <w:tab w:val="right" w:leader="dot" w:pos="9062"/>
            </w:tabs>
            <w:rPr>
              <w:rFonts w:eastAsiaTheme="minorEastAsia"/>
              <w:noProof/>
              <w:lang w:eastAsia="cs-CZ"/>
            </w:rPr>
          </w:pPr>
          <w:hyperlink w:anchor="_Toc436140293" w:history="1">
            <w:r w:rsidR="00BD2B69" w:rsidRPr="00EC4C2C">
              <w:rPr>
                <w:rStyle w:val="Hypertextovodkaz"/>
                <w:noProof/>
              </w:rPr>
              <w:t>Transakční data</w:t>
            </w:r>
            <w:r w:rsidR="00BD2B69">
              <w:rPr>
                <w:noProof/>
                <w:webHidden/>
              </w:rPr>
              <w:tab/>
            </w:r>
            <w:r w:rsidR="00BD2B69">
              <w:rPr>
                <w:noProof/>
                <w:webHidden/>
              </w:rPr>
              <w:fldChar w:fldCharType="begin"/>
            </w:r>
            <w:r w:rsidR="00BD2B69">
              <w:rPr>
                <w:noProof/>
                <w:webHidden/>
              </w:rPr>
              <w:instrText xml:space="preserve"> PAGEREF _Toc436140293 \h </w:instrText>
            </w:r>
            <w:r w:rsidR="00BD2B69">
              <w:rPr>
                <w:noProof/>
                <w:webHidden/>
              </w:rPr>
            </w:r>
            <w:r w:rsidR="00BD2B69">
              <w:rPr>
                <w:noProof/>
                <w:webHidden/>
              </w:rPr>
              <w:fldChar w:fldCharType="separate"/>
            </w:r>
            <w:r w:rsidR="00BD2B69">
              <w:rPr>
                <w:noProof/>
                <w:webHidden/>
              </w:rPr>
              <w:t>6</w:t>
            </w:r>
            <w:r w:rsidR="00BD2B69">
              <w:rPr>
                <w:noProof/>
                <w:webHidden/>
              </w:rPr>
              <w:fldChar w:fldCharType="end"/>
            </w:r>
          </w:hyperlink>
        </w:p>
        <w:p w:rsidR="00BD2B69" w:rsidRDefault="00243076">
          <w:pPr>
            <w:pStyle w:val="Obsah2"/>
            <w:tabs>
              <w:tab w:val="right" w:leader="dot" w:pos="9062"/>
            </w:tabs>
            <w:rPr>
              <w:rFonts w:eastAsiaTheme="minorEastAsia"/>
              <w:noProof/>
              <w:lang w:eastAsia="cs-CZ"/>
            </w:rPr>
          </w:pPr>
          <w:hyperlink w:anchor="_Toc436140294" w:history="1">
            <w:r w:rsidR="00BD2B69" w:rsidRPr="00EC4C2C">
              <w:rPr>
                <w:rStyle w:val="Hypertextovodkaz"/>
                <w:noProof/>
              </w:rPr>
              <w:t>Kmenová data</w:t>
            </w:r>
            <w:r w:rsidR="00BD2B69">
              <w:rPr>
                <w:noProof/>
                <w:webHidden/>
              </w:rPr>
              <w:tab/>
            </w:r>
            <w:r w:rsidR="00BD2B69">
              <w:rPr>
                <w:noProof/>
                <w:webHidden/>
              </w:rPr>
              <w:fldChar w:fldCharType="begin"/>
            </w:r>
            <w:r w:rsidR="00BD2B69">
              <w:rPr>
                <w:noProof/>
                <w:webHidden/>
              </w:rPr>
              <w:instrText xml:space="preserve"> PAGEREF _Toc436140294 \h </w:instrText>
            </w:r>
            <w:r w:rsidR="00BD2B69">
              <w:rPr>
                <w:noProof/>
                <w:webHidden/>
              </w:rPr>
            </w:r>
            <w:r w:rsidR="00BD2B69">
              <w:rPr>
                <w:noProof/>
                <w:webHidden/>
              </w:rPr>
              <w:fldChar w:fldCharType="separate"/>
            </w:r>
            <w:r w:rsidR="00BD2B69">
              <w:rPr>
                <w:noProof/>
                <w:webHidden/>
              </w:rPr>
              <w:t>7</w:t>
            </w:r>
            <w:r w:rsidR="00BD2B69">
              <w:rPr>
                <w:noProof/>
                <w:webHidden/>
              </w:rPr>
              <w:fldChar w:fldCharType="end"/>
            </w:r>
          </w:hyperlink>
        </w:p>
        <w:p w:rsidR="00BD2B69" w:rsidRDefault="00243076">
          <w:pPr>
            <w:pStyle w:val="Obsah2"/>
            <w:tabs>
              <w:tab w:val="right" w:leader="dot" w:pos="9062"/>
            </w:tabs>
            <w:rPr>
              <w:rFonts w:eastAsiaTheme="minorEastAsia"/>
              <w:noProof/>
              <w:lang w:eastAsia="cs-CZ"/>
            </w:rPr>
          </w:pPr>
          <w:hyperlink w:anchor="_Toc436140295" w:history="1">
            <w:r w:rsidR="00BD2B69" w:rsidRPr="00EC4C2C">
              <w:rPr>
                <w:rStyle w:val="Hypertextovodkaz"/>
                <w:noProof/>
              </w:rPr>
              <w:t>Nahrávání dat</w:t>
            </w:r>
            <w:r w:rsidR="00BD2B69">
              <w:rPr>
                <w:noProof/>
                <w:webHidden/>
              </w:rPr>
              <w:tab/>
            </w:r>
            <w:r w:rsidR="00BD2B69">
              <w:rPr>
                <w:noProof/>
                <w:webHidden/>
              </w:rPr>
              <w:fldChar w:fldCharType="begin"/>
            </w:r>
            <w:r w:rsidR="00BD2B69">
              <w:rPr>
                <w:noProof/>
                <w:webHidden/>
              </w:rPr>
              <w:instrText xml:space="preserve"> PAGEREF _Toc436140295 \h </w:instrText>
            </w:r>
            <w:r w:rsidR="00BD2B69">
              <w:rPr>
                <w:noProof/>
                <w:webHidden/>
              </w:rPr>
            </w:r>
            <w:r w:rsidR="00BD2B69">
              <w:rPr>
                <w:noProof/>
                <w:webHidden/>
              </w:rPr>
              <w:fldChar w:fldCharType="separate"/>
            </w:r>
            <w:r w:rsidR="00BD2B69">
              <w:rPr>
                <w:noProof/>
                <w:webHidden/>
              </w:rPr>
              <w:t>8</w:t>
            </w:r>
            <w:r w:rsidR="00BD2B69">
              <w:rPr>
                <w:noProof/>
                <w:webHidden/>
              </w:rPr>
              <w:fldChar w:fldCharType="end"/>
            </w:r>
          </w:hyperlink>
        </w:p>
        <w:p w:rsidR="00BD2B69" w:rsidRDefault="00243076">
          <w:pPr>
            <w:pStyle w:val="Obsah2"/>
            <w:tabs>
              <w:tab w:val="right" w:leader="dot" w:pos="9062"/>
            </w:tabs>
            <w:rPr>
              <w:rFonts w:eastAsiaTheme="minorEastAsia"/>
              <w:noProof/>
              <w:lang w:eastAsia="cs-CZ"/>
            </w:rPr>
          </w:pPr>
          <w:hyperlink w:anchor="_Toc436140296" w:history="1">
            <w:r w:rsidR="00BD2B69" w:rsidRPr="00EC4C2C">
              <w:rPr>
                <w:rStyle w:val="Hypertextovodkaz"/>
                <w:noProof/>
              </w:rPr>
              <w:t>Nekonzistence ve zdrojových kmenových datech z IISSP</w:t>
            </w:r>
            <w:r w:rsidR="00BD2B69">
              <w:rPr>
                <w:noProof/>
                <w:webHidden/>
              </w:rPr>
              <w:tab/>
            </w:r>
            <w:r w:rsidR="00BD2B69">
              <w:rPr>
                <w:noProof/>
                <w:webHidden/>
              </w:rPr>
              <w:fldChar w:fldCharType="begin"/>
            </w:r>
            <w:r w:rsidR="00BD2B69">
              <w:rPr>
                <w:noProof/>
                <w:webHidden/>
              </w:rPr>
              <w:instrText xml:space="preserve"> PAGEREF _Toc436140296 \h </w:instrText>
            </w:r>
            <w:r w:rsidR="00BD2B69">
              <w:rPr>
                <w:noProof/>
                <w:webHidden/>
              </w:rPr>
            </w:r>
            <w:r w:rsidR="00BD2B69">
              <w:rPr>
                <w:noProof/>
                <w:webHidden/>
              </w:rPr>
              <w:fldChar w:fldCharType="separate"/>
            </w:r>
            <w:r w:rsidR="00BD2B69">
              <w:rPr>
                <w:noProof/>
                <w:webHidden/>
              </w:rPr>
              <w:t>8</w:t>
            </w:r>
            <w:r w:rsidR="00BD2B69">
              <w:rPr>
                <w:noProof/>
                <w:webHidden/>
              </w:rPr>
              <w:fldChar w:fldCharType="end"/>
            </w:r>
          </w:hyperlink>
        </w:p>
        <w:p w:rsidR="00BD2B69" w:rsidRDefault="00243076">
          <w:pPr>
            <w:pStyle w:val="Obsah2"/>
            <w:tabs>
              <w:tab w:val="right" w:leader="dot" w:pos="9062"/>
            </w:tabs>
            <w:rPr>
              <w:rFonts w:eastAsiaTheme="minorEastAsia"/>
              <w:noProof/>
              <w:lang w:eastAsia="cs-CZ"/>
            </w:rPr>
          </w:pPr>
          <w:hyperlink w:anchor="_Toc436140297" w:history="1">
            <w:r w:rsidR="00BD2B69" w:rsidRPr="00EC4C2C">
              <w:rPr>
                <w:rStyle w:val="Hypertextovodkaz"/>
                <w:noProof/>
              </w:rPr>
              <w:t>Nekonzistence ve zdrojových transakčních datech z IISSP</w:t>
            </w:r>
            <w:r w:rsidR="00BD2B69">
              <w:rPr>
                <w:noProof/>
                <w:webHidden/>
              </w:rPr>
              <w:tab/>
            </w:r>
            <w:r w:rsidR="00BD2B69">
              <w:rPr>
                <w:noProof/>
                <w:webHidden/>
              </w:rPr>
              <w:fldChar w:fldCharType="begin"/>
            </w:r>
            <w:r w:rsidR="00BD2B69">
              <w:rPr>
                <w:noProof/>
                <w:webHidden/>
              </w:rPr>
              <w:instrText xml:space="preserve"> PAGEREF _Toc436140297 \h </w:instrText>
            </w:r>
            <w:r w:rsidR="00BD2B69">
              <w:rPr>
                <w:noProof/>
                <w:webHidden/>
              </w:rPr>
            </w:r>
            <w:r w:rsidR="00BD2B69">
              <w:rPr>
                <w:noProof/>
                <w:webHidden/>
              </w:rPr>
              <w:fldChar w:fldCharType="separate"/>
            </w:r>
            <w:r w:rsidR="00BD2B69">
              <w:rPr>
                <w:noProof/>
                <w:webHidden/>
              </w:rPr>
              <w:t>9</w:t>
            </w:r>
            <w:r w:rsidR="00BD2B69">
              <w:rPr>
                <w:noProof/>
                <w:webHidden/>
              </w:rPr>
              <w:fldChar w:fldCharType="end"/>
            </w:r>
          </w:hyperlink>
        </w:p>
        <w:p w:rsidR="00BD2B69" w:rsidRDefault="00243076">
          <w:pPr>
            <w:pStyle w:val="Obsah1"/>
            <w:tabs>
              <w:tab w:val="left" w:pos="440"/>
              <w:tab w:val="right" w:leader="dot" w:pos="9062"/>
            </w:tabs>
            <w:rPr>
              <w:rFonts w:eastAsiaTheme="minorEastAsia"/>
              <w:noProof/>
              <w:lang w:eastAsia="cs-CZ"/>
            </w:rPr>
          </w:pPr>
          <w:hyperlink w:anchor="_Toc436140298" w:history="1">
            <w:r w:rsidR="00BD2B69" w:rsidRPr="00EC4C2C">
              <w:rPr>
                <w:rStyle w:val="Hypertextovodkaz"/>
                <w:i/>
                <w:noProof/>
              </w:rPr>
              <w:t>4</w:t>
            </w:r>
            <w:r w:rsidR="00BD2B69">
              <w:rPr>
                <w:rFonts w:eastAsiaTheme="minorEastAsia"/>
                <w:noProof/>
                <w:lang w:eastAsia="cs-CZ"/>
              </w:rPr>
              <w:tab/>
            </w:r>
            <w:r w:rsidR="00BD2B69" w:rsidRPr="00EC4C2C">
              <w:rPr>
                <w:rStyle w:val="Hypertextovodkaz"/>
                <w:i/>
                <w:noProof/>
              </w:rPr>
              <w:t>Architektura analytické části</w:t>
            </w:r>
            <w:r w:rsidR="00BD2B69">
              <w:rPr>
                <w:noProof/>
                <w:webHidden/>
              </w:rPr>
              <w:tab/>
            </w:r>
            <w:r w:rsidR="00BD2B69">
              <w:rPr>
                <w:noProof/>
                <w:webHidden/>
              </w:rPr>
              <w:fldChar w:fldCharType="begin"/>
            </w:r>
            <w:r w:rsidR="00BD2B69">
              <w:rPr>
                <w:noProof/>
                <w:webHidden/>
              </w:rPr>
              <w:instrText xml:space="preserve"> PAGEREF _Toc436140298 \h </w:instrText>
            </w:r>
            <w:r w:rsidR="00BD2B69">
              <w:rPr>
                <w:noProof/>
                <w:webHidden/>
              </w:rPr>
            </w:r>
            <w:r w:rsidR="00BD2B69">
              <w:rPr>
                <w:noProof/>
                <w:webHidden/>
              </w:rPr>
              <w:fldChar w:fldCharType="separate"/>
            </w:r>
            <w:r w:rsidR="00BD2B69">
              <w:rPr>
                <w:noProof/>
                <w:webHidden/>
              </w:rPr>
              <w:t>10</w:t>
            </w:r>
            <w:r w:rsidR="00BD2B69">
              <w:rPr>
                <w:noProof/>
                <w:webHidden/>
              </w:rPr>
              <w:fldChar w:fldCharType="end"/>
            </w:r>
          </w:hyperlink>
        </w:p>
        <w:p w:rsidR="00BD2B69" w:rsidRDefault="00243076">
          <w:pPr>
            <w:pStyle w:val="Obsah1"/>
            <w:tabs>
              <w:tab w:val="left" w:pos="440"/>
              <w:tab w:val="right" w:leader="dot" w:pos="9062"/>
            </w:tabs>
            <w:rPr>
              <w:rFonts w:eastAsiaTheme="minorEastAsia"/>
              <w:noProof/>
              <w:lang w:eastAsia="cs-CZ"/>
            </w:rPr>
          </w:pPr>
          <w:hyperlink w:anchor="_Toc436140299" w:history="1">
            <w:r w:rsidR="00BD2B69" w:rsidRPr="00EC4C2C">
              <w:rPr>
                <w:rStyle w:val="Hypertextovodkaz"/>
                <w:noProof/>
              </w:rPr>
              <w:t>5</w:t>
            </w:r>
            <w:r w:rsidR="00BD2B69">
              <w:rPr>
                <w:rFonts w:eastAsiaTheme="minorEastAsia"/>
                <w:noProof/>
                <w:lang w:eastAsia="cs-CZ"/>
              </w:rPr>
              <w:tab/>
            </w:r>
            <w:r w:rsidR="00BD2B69" w:rsidRPr="00EC4C2C">
              <w:rPr>
                <w:rStyle w:val="Hypertextovodkaz"/>
                <w:noProof/>
              </w:rPr>
              <w:t>OLAP a multidimenzionalita</w:t>
            </w:r>
            <w:r w:rsidR="00BD2B69">
              <w:rPr>
                <w:noProof/>
                <w:webHidden/>
              </w:rPr>
              <w:tab/>
            </w:r>
            <w:r w:rsidR="00BD2B69">
              <w:rPr>
                <w:noProof/>
                <w:webHidden/>
              </w:rPr>
              <w:fldChar w:fldCharType="begin"/>
            </w:r>
            <w:r w:rsidR="00BD2B69">
              <w:rPr>
                <w:noProof/>
                <w:webHidden/>
              </w:rPr>
              <w:instrText xml:space="preserve"> PAGEREF _Toc436140299 \h </w:instrText>
            </w:r>
            <w:r w:rsidR="00BD2B69">
              <w:rPr>
                <w:noProof/>
                <w:webHidden/>
              </w:rPr>
            </w:r>
            <w:r w:rsidR="00BD2B69">
              <w:rPr>
                <w:noProof/>
                <w:webHidden/>
              </w:rPr>
              <w:fldChar w:fldCharType="separate"/>
            </w:r>
            <w:r w:rsidR="00BD2B69">
              <w:rPr>
                <w:noProof/>
                <w:webHidden/>
              </w:rPr>
              <w:t>11</w:t>
            </w:r>
            <w:r w:rsidR="00BD2B69">
              <w:rPr>
                <w:noProof/>
                <w:webHidden/>
              </w:rPr>
              <w:fldChar w:fldCharType="end"/>
            </w:r>
          </w:hyperlink>
        </w:p>
        <w:p w:rsidR="00BD2B69" w:rsidRDefault="00243076">
          <w:pPr>
            <w:pStyle w:val="Obsah1"/>
            <w:tabs>
              <w:tab w:val="left" w:pos="440"/>
              <w:tab w:val="right" w:leader="dot" w:pos="9062"/>
            </w:tabs>
            <w:rPr>
              <w:rFonts w:eastAsiaTheme="minorEastAsia"/>
              <w:noProof/>
              <w:lang w:eastAsia="cs-CZ"/>
            </w:rPr>
          </w:pPr>
          <w:hyperlink w:anchor="_Toc436140300" w:history="1">
            <w:r w:rsidR="00BD2B69" w:rsidRPr="00EC4C2C">
              <w:rPr>
                <w:rStyle w:val="Hypertextovodkaz"/>
                <w:noProof/>
              </w:rPr>
              <w:t>6</w:t>
            </w:r>
            <w:r w:rsidR="00BD2B69">
              <w:rPr>
                <w:rFonts w:eastAsiaTheme="minorEastAsia"/>
                <w:noProof/>
                <w:lang w:eastAsia="cs-CZ"/>
              </w:rPr>
              <w:tab/>
            </w:r>
            <w:r w:rsidR="00BD2B69" w:rsidRPr="00EC4C2C">
              <w:rPr>
                <w:rStyle w:val="Hypertextovodkaz"/>
                <w:noProof/>
              </w:rPr>
              <w:t>Reporty</w:t>
            </w:r>
            <w:r w:rsidR="00BD2B69">
              <w:rPr>
                <w:noProof/>
                <w:webHidden/>
              </w:rPr>
              <w:tab/>
            </w:r>
            <w:r w:rsidR="00BD2B69">
              <w:rPr>
                <w:noProof/>
                <w:webHidden/>
              </w:rPr>
              <w:fldChar w:fldCharType="begin"/>
            </w:r>
            <w:r w:rsidR="00BD2B69">
              <w:rPr>
                <w:noProof/>
                <w:webHidden/>
              </w:rPr>
              <w:instrText xml:space="preserve"> PAGEREF _Toc436140300 \h </w:instrText>
            </w:r>
            <w:r w:rsidR="00BD2B69">
              <w:rPr>
                <w:noProof/>
                <w:webHidden/>
              </w:rPr>
            </w:r>
            <w:r w:rsidR="00BD2B69">
              <w:rPr>
                <w:noProof/>
                <w:webHidden/>
              </w:rPr>
              <w:fldChar w:fldCharType="separate"/>
            </w:r>
            <w:r w:rsidR="00BD2B69">
              <w:rPr>
                <w:noProof/>
                <w:webHidden/>
              </w:rPr>
              <w:t>12</w:t>
            </w:r>
            <w:r w:rsidR="00BD2B69">
              <w:rPr>
                <w:noProof/>
                <w:webHidden/>
              </w:rPr>
              <w:fldChar w:fldCharType="end"/>
            </w:r>
          </w:hyperlink>
        </w:p>
        <w:p w:rsidR="00BD2B69" w:rsidRDefault="00243076">
          <w:pPr>
            <w:pStyle w:val="Obsah1"/>
            <w:tabs>
              <w:tab w:val="left" w:pos="440"/>
              <w:tab w:val="right" w:leader="dot" w:pos="9062"/>
            </w:tabs>
            <w:rPr>
              <w:rFonts w:eastAsiaTheme="minorEastAsia"/>
              <w:noProof/>
              <w:lang w:eastAsia="cs-CZ"/>
            </w:rPr>
          </w:pPr>
          <w:hyperlink w:anchor="_Toc436140301" w:history="1">
            <w:r w:rsidR="00BD2B69" w:rsidRPr="00EC4C2C">
              <w:rPr>
                <w:rStyle w:val="Hypertextovodkaz"/>
                <w:noProof/>
              </w:rPr>
              <w:t>7</w:t>
            </w:r>
            <w:r w:rsidR="00BD2B69">
              <w:rPr>
                <w:rFonts w:eastAsiaTheme="minorEastAsia"/>
                <w:noProof/>
                <w:lang w:eastAsia="cs-CZ"/>
              </w:rPr>
              <w:tab/>
            </w:r>
            <w:r w:rsidR="00BD2B69" w:rsidRPr="00EC4C2C">
              <w:rPr>
                <w:rStyle w:val="Hypertextovodkaz"/>
                <w:noProof/>
              </w:rPr>
              <w:t>Webové služby</w:t>
            </w:r>
            <w:r w:rsidR="00BD2B69">
              <w:rPr>
                <w:noProof/>
                <w:webHidden/>
              </w:rPr>
              <w:tab/>
            </w:r>
            <w:r w:rsidR="00BD2B69">
              <w:rPr>
                <w:noProof/>
                <w:webHidden/>
              </w:rPr>
              <w:fldChar w:fldCharType="begin"/>
            </w:r>
            <w:r w:rsidR="00BD2B69">
              <w:rPr>
                <w:noProof/>
                <w:webHidden/>
              </w:rPr>
              <w:instrText xml:space="preserve"> PAGEREF _Toc436140301 \h </w:instrText>
            </w:r>
            <w:r w:rsidR="00BD2B69">
              <w:rPr>
                <w:noProof/>
                <w:webHidden/>
              </w:rPr>
            </w:r>
            <w:r w:rsidR="00BD2B69">
              <w:rPr>
                <w:noProof/>
                <w:webHidden/>
              </w:rPr>
              <w:fldChar w:fldCharType="separate"/>
            </w:r>
            <w:r w:rsidR="00BD2B69">
              <w:rPr>
                <w:noProof/>
                <w:webHidden/>
              </w:rPr>
              <w:t>13</w:t>
            </w:r>
            <w:r w:rsidR="00BD2B69">
              <w:rPr>
                <w:noProof/>
                <w:webHidden/>
              </w:rPr>
              <w:fldChar w:fldCharType="end"/>
            </w:r>
          </w:hyperlink>
        </w:p>
        <w:p w:rsidR="00BD2B69" w:rsidRDefault="00243076">
          <w:pPr>
            <w:pStyle w:val="Obsah1"/>
            <w:tabs>
              <w:tab w:val="left" w:pos="440"/>
              <w:tab w:val="right" w:leader="dot" w:pos="9062"/>
            </w:tabs>
            <w:rPr>
              <w:rFonts w:eastAsiaTheme="minorEastAsia"/>
              <w:noProof/>
              <w:lang w:eastAsia="cs-CZ"/>
            </w:rPr>
          </w:pPr>
          <w:hyperlink w:anchor="_Toc436140302" w:history="1">
            <w:r w:rsidR="00BD2B69" w:rsidRPr="00EC4C2C">
              <w:rPr>
                <w:rStyle w:val="Hypertextovodkaz"/>
                <w:noProof/>
              </w:rPr>
              <w:t>8</w:t>
            </w:r>
            <w:r w:rsidR="00BD2B69">
              <w:rPr>
                <w:rFonts w:eastAsiaTheme="minorEastAsia"/>
                <w:noProof/>
                <w:lang w:eastAsia="cs-CZ"/>
              </w:rPr>
              <w:tab/>
            </w:r>
            <w:r w:rsidR="00BD2B69" w:rsidRPr="00EC4C2C">
              <w:rPr>
                <w:rStyle w:val="Hypertextovodkaz"/>
                <w:noProof/>
              </w:rPr>
              <w:t>Seznam existujících nástrojů MONITOR</w:t>
            </w:r>
            <w:r w:rsidR="00BD2B69">
              <w:rPr>
                <w:noProof/>
                <w:webHidden/>
              </w:rPr>
              <w:tab/>
            </w:r>
            <w:r w:rsidR="00BD2B69">
              <w:rPr>
                <w:noProof/>
                <w:webHidden/>
              </w:rPr>
              <w:fldChar w:fldCharType="begin"/>
            </w:r>
            <w:r w:rsidR="00BD2B69">
              <w:rPr>
                <w:noProof/>
                <w:webHidden/>
              </w:rPr>
              <w:instrText xml:space="preserve"> PAGEREF _Toc436140302 \h </w:instrText>
            </w:r>
            <w:r w:rsidR="00BD2B69">
              <w:rPr>
                <w:noProof/>
                <w:webHidden/>
              </w:rPr>
            </w:r>
            <w:r w:rsidR="00BD2B69">
              <w:rPr>
                <w:noProof/>
                <w:webHidden/>
              </w:rPr>
              <w:fldChar w:fldCharType="separate"/>
            </w:r>
            <w:r w:rsidR="00BD2B69">
              <w:rPr>
                <w:noProof/>
                <w:webHidden/>
              </w:rPr>
              <w:t>14</w:t>
            </w:r>
            <w:r w:rsidR="00BD2B69">
              <w:rPr>
                <w:noProof/>
                <w:webHidden/>
              </w:rPr>
              <w:fldChar w:fldCharType="end"/>
            </w:r>
          </w:hyperlink>
        </w:p>
        <w:p w:rsidR="004874A0" w:rsidRDefault="004874A0">
          <w:r>
            <w:rPr>
              <w:b/>
              <w:bCs/>
            </w:rPr>
            <w:fldChar w:fldCharType="end"/>
          </w:r>
        </w:p>
      </w:sdtContent>
    </w:sdt>
    <w:p w:rsidR="003F5323" w:rsidRDefault="003F5323" w:rsidP="00283C01"/>
    <w:p w:rsidR="00C44A55" w:rsidRDefault="00C44A55" w:rsidP="00C86289"/>
    <w:p w:rsidR="00C86289" w:rsidRDefault="00C86289" w:rsidP="00C86289">
      <w:pPr>
        <w:pStyle w:val="Nadpis1"/>
      </w:pPr>
      <w:bookmarkStart w:id="1" w:name="_Toc436140289"/>
      <w:r>
        <w:lastRenderedPageBreak/>
        <w:t>Landscape</w:t>
      </w:r>
      <w:bookmarkEnd w:id="1"/>
    </w:p>
    <w:p w:rsidR="00C86289" w:rsidRDefault="005875E6" w:rsidP="00C86289">
      <w:r w:rsidRPr="005875E6">
        <w:rPr>
          <w:noProof/>
          <w:lang w:eastAsia="cs-CZ"/>
        </w:rPr>
        <w:drawing>
          <wp:inline distT="0" distB="0" distL="0" distR="0" wp14:anchorId="4CB7DE9E" wp14:editId="44E437F4">
            <wp:extent cx="5760720" cy="2461329"/>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2461329"/>
                    </a:xfrm>
                    <a:prstGeom prst="rect">
                      <a:avLst/>
                    </a:prstGeom>
                    <a:noFill/>
                    <a:ln>
                      <a:noFill/>
                    </a:ln>
                  </pic:spPr>
                </pic:pic>
              </a:graphicData>
            </a:graphic>
          </wp:inline>
        </w:drawing>
      </w:r>
    </w:p>
    <w:p w:rsidR="005875E6" w:rsidRDefault="005875E6" w:rsidP="001C6613">
      <w:pPr>
        <w:jc w:val="both"/>
      </w:pPr>
      <w:r>
        <w:t>Systém má tříúrovňový landscape. Přenosy mezi vývojovým, testovacím a produktivním prostředím probíhají pomocí kopírování souborů databáze i webového serveru.</w:t>
      </w:r>
    </w:p>
    <w:p w:rsidR="0089633F" w:rsidRDefault="0089633F" w:rsidP="0089633F">
      <w:pPr>
        <w:pStyle w:val="Nadpis1"/>
      </w:pPr>
      <w:bookmarkStart w:id="2" w:name="_Toc436140290"/>
      <w:r>
        <w:lastRenderedPageBreak/>
        <w:t>Instalovaný software</w:t>
      </w:r>
      <w:bookmarkEnd w:id="2"/>
    </w:p>
    <w:p w:rsidR="00357FB7" w:rsidRDefault="00357FB7" w:rsidP="001C6613">
      <w:pPr>
        <w:jc w:val="both"/>
      </w:pPr>
      <w:r>
        <w:t xml:space="preserve">V rámci dodávky základní verze byl nainstalovaný software (SW) pro prezentační vrstvu na servery MF. V první fázi byl vytvořen testovací server jako virtuální systém Microsoft Windows Server </w:t>
      </w:r>
      <w:r w:rsidR="004E1CD6">
        <w:t>2008 R2 Standard SP1</w:t>
      </w:r>
      <w:r>
        <w:t>.  Po importu databáze byl testovací server funkčně i datově otestován. Produktivní server vznikl kopií image testova</w:t>
      </w:r>
      <w:r w:rsidR="001C6613">
        <w:t>cího systému. Po změně síťového</w:t>
      </w:r>
      <w:r>
        <w:t xml:space="preserve"> nastavení byl spuštěn jako produktivní.</w:t>
      </w:r>
    </w:p>
    <w:p w:rsidR="007B61F7" w:rsidRDefault="007B61F7" w:rsidP="001C6613">
      <w:pPr>
        <w:jc w:val="both"/>
      </w:pPr>
      <w:r>
        <w:t>Postgresql a Apache jsou nainstalovány jako služby a jsou spouštěny poduživatelem NETWORK SERVICE.</w:t>
      </w:r>
    </w:p>
    <w:p w:rsidR="007B61F7" w:rsidRDefault="007B61F7" w:rsidP="001C6613">
      <w:pPr>
        <w:jc w:val="both"/>
      </w:pPr>
    </w:p>
    <w:p w:rsidR="0027027C" w:rsidRDefault="0027027C" w:rsidP="001C6613">
      <w:pPr>
        <w:jc w:val="both"/>
      </w:pPr>
      <w:r w:rsidRPr="0027027C">
        <w:rPr>
          <w:b/>
        </w:rPr>
        <w:t xml:space="preserve">PostgreSQL </w:t>
      </w:r>
      <w:r>
        <w:rPr>
          <w:b/>
        </w:rPr>
        <w:t xml:space="preserve"> </w:t>
      </w:r>
      <w:r w:rsidRPr="0027027C">
        <w:t xml:space="preserve">- ver 9.2.4 x86-64 – </w:t>
      </w:r>
      <w:r>
        <w:t>nainstalováno do C:</w:t>
      </w:r>
      <w:r>
        <w:rPr>
          <w:lang w:val="en-US"/>
        </w:rPr>
        <w:t>\</w:t>
      </w:r>
      <w:r>
        <w:t>Program Files, datové soubory databáze umístěny do E:</w:t>
      </w:r>
      <w:r>
        <w:rPr>
          <w:lang w:val="en-US"/>
        </w:rPr>
        <w:t>\</w:t>
      </w:r>
    </w:p>
    <w:p w:rsidR="009466C6" w:rsidRDefault="0027027C" w:rsidP="001C6613">
      <w:pPr>
        <w:jc w:val="both"/>
        <w:rPr>
          <w:lang w:val="en-US"/>
        </w:rPr>
      </w:pPr>
      <w:r w:rsidRPr="009466C6">
        <w:rPr>
          <w:b/>
        </w:rPr>
        <w:t>Apache</w:t>
      </w:r>
      <w:r>
        <w:t xml:space="preserve"> – ver. 2.4.4.</w:t>
      </w:r>
      <w:r w:rsidR="009466C6">
        <w:t xml:space="preserve"> 64 bit</w:t>
      </w:r>
      <w:r>
        <w:t xml:space="preserve"> – Manuální instalace do E:</w:t>
      </w:r>
      <w:r>
        <w:rPr>
          <w:lang w:val="en-US"/>
        </w:rPr>
        <w:t xml:space="preserve">\Apache24. </w:t>
      </w:r>
      <w:r w:rsidR="007B61F7">
        <w:rPr>
          <w:lang w:val="en-US"/>
        </w:rPr>
        <w:t xml:space="preserve"> </w:t>
      </w:r>
    </w:p>
    <w:p w:rsidR="009466C6" w:rsidRPr="009466C6" w:rsidRDefault="009466C6" w:rsidP="001C6613">
      <w:pPr>
        <w:pStyle w:val="Odstavecseseznamem"/>
        <w:numPr>
          <w:ilvl w:val="0"/>
          <w:numId w:val="24"/>
        </w:numPr>
        <w:jc w:val="both"/>
        <w:rPr>
          <w:lang w:val="en-US"/>
        </w:rPr>
      </w:pPr>
      <w:r w:rsidRPr="009466C6">
        <w:rPr>
          <w:lang w:val="en-US"/>
        </w:rPr>
        <w:t>Je spouštěn prostřednictvím služby s názvem “</w:t>
      </w:r>
      <w:r>
        <w:t>Apache 2.4 - Monitor</w:t>
      </w:r>
      <w:r w:rsidRPr="009466C6">
        <w:rPr>
          <w:lang w:val="en-US"/>
        </w:rPr>
        <w:t xml:space="preserve">”. </w:t>
      </w:r>
    </w:p>
    <w:p w:rsidR="009466C6" w:rsidRPr="009466C6" w:rsidRDefault="009466C6" w:rsidP="001C6613">
      <w:pPr>
        <w:pStyle w:val="Odstavecseseznamem"/>
        <w:numPr>
          <w:ilvl w:val="0"/>
          <w:numId w:val="24"/>
        </w:numPr>
        <w:jc w:val="both"/>
        <w:rPr>
          <w:lang w:val="en-US"/>
        </w:rPr>
      </w:pPr>
      <w:r>
        <w:rPr>
          <w:lang w:val="en-US"/>
        </w:rPr>
        <w:t xml:space="preserve">Uživatel NETWORK SERVICE dostal oprávnění číst a spouštět ve složkách </w:t>
      </w:r>
      <w:r>
        <w:t>E:\Apache24\bin; E:\Apache24\htdocs;E:\Apache24\Php_nts</w:t>
      </w:r>
    </w:p>
    <w:p w:rsidR="009466C6" w:rsidRPr="009466C6" w:rsidRDefault="009466C6" w:rsidP="001C6613">
      <w:pPr>
        <w:pStyle w:val="Odstavecseseznamem"/>
        <w:numPr>
          <w:ilvl w:val="0"/>
          <w:numId w:val="24"/>
        </w:numPr>
        <w:jc w:val="both"/>
        <w:rPr>
          <w:lang w:val="en-US"/>
        </w:rPr>
      </w:pPr>
      <w:r>
        <w:t>Uživatel NETWORK SERVICE dostal oprávnění zapisovat do složek E:\Apache24\tmp; E:\Apache24\logs;E:\Apache24\htdocs\www\cache;E:\Apache24\htdocs\temp;E:\Apache24\htdocs\log</w:t>
      </w:r>
    </w:p>
    <w:p w:rsidR="009466C6" w:rsidRPr="009466C6" w:rsidRDefault="009466C6" w:rsidP="001C6613">
      <w:pPr>
        <w:pStyle w:val="Odstavecseseznamem"/>
        <w:numPr>
          <w:ilvl w:val="0"/>
          <w:numId w:val="24"/>
        </w:numPr>
        <w:jc w:val="both"/>
        <w:rPr>
          <w:lang w:val="en-US"/>
        </w:rPr>
      </w:pPr>
      <w:r>
        <w:t xml:space="preserve">Byl doinstalován modul </w:t>
      </w:r>
      <w:r w:rsidRPr="009466C6">
        <w:t>mod_fcgid-2.3.7-win64</w:t>
      </w:r>
    </w:p>
    <w:p w:rsidR="009466C6" w:rsidRPr="009466C6" w:rsidRDefault="009466C6" w:rsidP="001C6613">
      <w:pPr>
        <w:pStyle w:val="Odstavecseseznamem"/>
        <w:numPr>
          <w:ilvl w:val="0"/>
          <w:numId w:val="24"/>
        </w:numPr>
        <w:jc w:val="both"/>
        <w:rPr>
          <w:lang w:val="en-US"/>
        </w:rPr>
      </w:pPr>
      <w:r>
        <w:t xml:space="preserve">Byl doinstalován modul </w:t>
      </w:r>
      <w:r w:rsidRPr="009466C6">
        <w:t>mod_security-2.7.3-win64</w:t>
      </w:r>
    </w:p>
    <w:p w:rsidR="009466C6" w:rsidRDefault="00D41220" w:rsidP="001C6613">
      <w:pPr>
        <w:pStyle w:val="Odstavecseseznamem"/>
        <w:numPr>
          <w:ilvl w:val="0"/>
          <w:numId w:val="24"/>
        </w:numPr>
        <w:jc w:val="both"/>
        <w:rPr>
          <w:lang w:val="en-US"/>
        </w:rPr>
      </w:pPr>
      <w:r>
        <w:rPr>
          <w:lang w:val="en-US"/>
        </w:rPr>
        <w:t>Nastavena rotace log</w:t>
      </w:r>
      <w:r>
        <w:t>ů – každý denvytvořennový soubor vadresáři E:</w:t>
      </w:r>
      <w:r>
        <w:rPr>
          <w:lang w:val="en-US"/>
        </w:rPr>
        <w:t>\Apache24\logs</w:t>
      </w:r>
    </w:p>
    <w:p w:rsidR="001B0966" w:rsidRDefault="001B0966" w:rsidP="001C6613">
      <w:pPr>
        <w:pStyle w:val="Odstavecseseznamem"/>
        <w:numPr>
          <w:ilvl w:val="0"/>
          <w:numId w:val="24"/>
        </w:numPr>
        <w:jc w:val="both"/>
        <w:rPr>
          <w:lang w:val="en-US"/>
        </w:rPr>
      </w:pPr>
      <w:r>
        <w:rPr>
          <w:lang w:val="en-US"/>
        </w:rPr>
        <w:t>Bylo nastaveno kešování na úrovni jednotlivých generovaných stránke/souborů filesystému</w:t>
      </w:r>
      <w:r w:rsidR="0093523E">
        <w:rPr>
          <w:lang w:val="en-US"/>
        </w:rPr>
        <w:t xml:space="preserve"> s využitím modulu Apache mod_rewrite - </w:t>
      </w:r>
      <w:r>
        <w:rPr>
          <w:lang w:val="en-US"/>
        </w:rPr>
        <w:t xml:space="preserve">. viz. odstavec </w:t>
      </w:r>
      <w:r w:rsidR="0093523E">
        <w:rPr>
          <w:lang w:val="en-US"/>
        </w:rPr>
        <w:fldChar w:fldCharType="begin"/>
      </w:r>
      <w:r w:rsidR="0093523E">
        <w:rPr>
          <w:lang w:val="en-US"/>
        </w:rPr>
        <w:instrText xml:space="preserve"> REF _Ref356138569 \r \h </w:instrText>
      </w:r>
      <w:r w:rsidR="001C6613">
        <w:rPr>
          <w:lang w:val="en-US"/>
        </w:rPr>
        <w:instrText xml:space="preserve"> \* MERGEFORMAT </w:instrText>
      </w:r>
      <w:r w:rsidR="0093523E">
        <w:rPr>
          <w:lang w:val="en-US"/>
        </w:rPr>
      </w:r>
      <w:r w:rsidR="0093523E">
        <w:rPr>
          <w:lang w:val="en-US"/>
        </w:rPr>
        <w:fldChar w:fldCharType="separate"/>
      </w:r>
      <w:r w:rsidR="0093523E">
        <w:rPr>
          <w:lang w:val="en-US"/>
        </w:rPr>
        <w:t>3.1</w:t>
      </w:r>
      <w:r w:rsidR="0093523E">
        <w:rPr>
          <w:lang w:val="en-US"/>
        </w:rPr>
        <w:fldChar w:fldCharType="end"/>
      </w:r>
      <w:r w:rsidR="0093523E">
        <w:rPr>
          <w:lang w:val="en-US"/>
        </w:rPr>
        <w:t>.</w:t>
      </w:r>
    </w:p>
    <w:p w:rsidR="0093523E" w:rsidRPr="004E1CD6" w:rsidRDefault="00C54A75" w:rsidP="001C6613">
      <w:pPr>
        <w:pStyle w:val="Odstavecseseznamem"/>
        <w:numPr>
          <w:ilvl w:val="0"/>
          <w:numId w:val="24"/>
        </w:numPr>
        <w:jc w:val="both"/>
        <w:rPr>
          <w:lang w:val="en-US"/>
        </w:rPr>
      </w:pPr>
      <w:r>
        <w:rPr>
          <w:lang w:val="en-US"/>
        </w:rPr>
        <w:t xml:space="preserve">Konfigurační soubory jsou uloženy v adresáři </w:t>
      </w:r>
      <w:r>
        <w:t>E:\Apache24\conf</w:t>
      </w:r>
    </w:p>
    <w:p w:rsidR="004E1CD6" w:rsidRPr="009466C6" w:rsidRDefault="004E1CD6" w:rsidP="001C6613">
      <w:pPr>
        <w:pStyle w:val="Odstavecseseznamem"/>
        <w:numPr>
          <w:ilvl w:val="0"/>
          <w:numId w:val="24"/>
        </w:numPr>
        <w:jc w:val="both"/>
        <w:rPr>
          <w:lang w:val="en-US"/>
        </w:rPr>
      </w:pPr>
      <w:r>
        <w:t xml:space="preserve">Document root je nastaven na </w:t>
      </w:r>
      <w:r w:rsidRPr="004E1CD6">
        <w:t>e:</w:t>
      </w:r>
      <w:r w:rsidR="00417AAE">
        <w:rPr>
          <w:lang w:val="en-US"/>
        </w:rPr>
        <w:t>\</w:t>
      </w:r>
      <w:r w:rsidRPr="004E1CD6">
        <w:t>Apache24</w:t>
      </w:r>
      <w:r w:rsidR="00417AAE">
        <w:t>\</w:t>
      </w:r>
      <w:r w:rsidRPr="004E1CD6">
        <w:t>htdocs</w:t>
      </w:r>
      <w:r w:rsidR="00417AAE">
        <w:t>\</w:t>
      </w:r>
      <w:r w:rsidRPr="004E1CD6">
        <w:t>www</w:t>
      </w:r>
    </w:p>
    <w:p w:rsidR="007D62D8" w:rsidRPr="007D62D8" w:rsidRDefault="007D62D8" w:rsidP="001C6613">
      <w:pPr>
        <w:jc w:val="both"/>
        <w:rPr>
          <w:lang w:val="en-US"/>
        </w:rPr>
      </w:pPr>
      <w:r>
        <w:rPr>
          <w:b/>
        </w:rPr>
        <w:t>PHP</w:t>
      </w:r>
      <w:r>
        <w:t xml:space="preserve"> – ver. 5.4.14.– Manuální instalace do E:</w:t>
      </w:r>
      <w:r>
        <w:rPr>
          <w:lang w:val="en-US"/>
        </w:rPr>
        <w:t>\Apache24\Php_nts</w:t>
      </w:r>
      <w:r w:rsidRPr="007D62D8">
        <w:rPr>
          <w:lang w:val="en-US"/>
        </w:rPr>
        <w:t xml:space="preserve">.  </w:t>
      </w:r>
    </w:p>
    <w:p w:rsidR="009466C6" w:rsidRDefault="00320AAC" w:rsidP="001C6613">
      <w:pPr>
        <w:jc w:val="both"/>
        <w:rPr>
          <w:lang w:val="en-US"/>
        </w:rPr>
      </w:pPr>
      <w:r w:rsidRPr="00320AAC">
        <w:rPr>
          <w:b/>
          <w:lang w:val="en-US"/>
        </w:rPr>
        <w:t>HighCharts</w:t>
      </w:r>
      <w:r>
        <w:rPr>
          <w:lang w:val="en-US"/>
        </w:rPr>
        <w:t xml:space="preserve"> – </w:t>
      </w:r>
      <w:r>
        <w:t xml:space="preserve">3.0.1 - </w:t>
      </w:r>
      <w:r>
        <w:rPr>
          <w:lang w:val="en-US"/>
        </w:rPr>
        <w:t xml:space="preserve">licence pro doménu monitor.statnipokladna.cz Highcharts knihovna </w:t>
      </w:r>
      <w:r w:rsidR="00623FB7">
        <w:rPr>
          <w:lang w:val="en-US"/>
        </w:rPr>
        <w:t xml:space="preserve">pro zobrazování grafů prostřednictvím javascriptu v SVG formátu. Pro potřeby projektu Monitor byla upravena pro zobrazování v požadovaném grafickém formátu. </w:t>
      </w:r>
    </w:p>
    <w:p w:rsidR="00237641" w:rsidRDefault="00E808E4" w:rsidP="001C6613">
      <w:pPr>
        <w:jc w:val="both"/>
        <w:rPr>
          <w:b/>
          <w:lang w:val="en-US"/>
        </w:rPr>
      </w:pPr>
      <w:r w:rsidRPr="00E808E4">
        <w:rPr>
          <w:b/>
          <w:lang w:val="en-US"/>
        </w:rPr>
        <w:t>Nette framework</w:t>
      </w:r>
      <w:r w:rsidRPr="00E808E4">
        <w:rPr>
          <w:lang w:val="en-US"/>
        </w:rPr>
        <w:t xml:space="preserve"> - </w:t>
      </w:r>
      <w:r w:rsidR="005A5470" w:rsidRPr="005A5470">
        <w:rPr>
          <w:lang w:val="en-US"/>
        </w:rPr>
        <w:t>2.0.10</w:t>
      </w:r>
      <w:r w:rsidR="005A5470">
        <w:rPr>
          <w:lang w:val="en-US"/>
        </w:rPr>
        <w:t xml:space="preserve"> – umístěný do adresáře </w:t>
      </w:r>
      <w:r w:rsidR="004E1CD6">
        <w:t xml:space="preserve">E:\Apache24\htdocs\. </w:t>
      </w:r>
    </w:p>
    <w:p w:rsidR="001C6613" w:rsidRDefault="001C6613" w:rsidP="001C6613">
      <w:pPr>
        <w:jc w:val="both"/>
        <w:rPr>
          <w:b/>
          <w:lang w:val="en-US"/>
        </w:rPr>
      </w:pPr>
    </w:p>
    <w:p w:rsidR="001C6613" w:rsidRDefault="001C6613" w:rsidP="001C6613">
      <w:pPr>
        <w:jc w:val="both"/>
        <w:rPr>
          <w:b/>
          <w:lang w:val="en-US"/>
        </w:rPr>
      </w:pPr>
    </w:p>
    <w:p w:rsidR="001C6613" w:rsidRDefault="001C6613" w:rsidP="001C6613">
      <w:pPr>
        <w:jc w:val="both"/>
        <w:rPr>
          <w:b/>
          <w:lang w:val="en-US"/>
        </w:rPr>
      </w:pPr>
    </w:p>
    <w:p w:rsidR="001C6613" w:rsidRPr="001C6613" w:rsidRDefault="001C6613" w:rsidP="001C6613">
      <w:pPr>
        <w:jc w:val="both"/>
        <w:rPr>
          <w:b/>
          <w:lang w:val="en-US"/>
        </w:rPr>
      </w:pPr>
    </w:p>
    <w:p w:rsidR="00237641" w:rsidRDefault="00237641" w:rsidP="00237641">
      <w:pPr>
        <w:pStyle w:val="Nadpis2"/>
      </w:pPr>
      <w:bookmarkStart w:id="3" w:name="_Toc436140291"/>
      <w:r>
        <w:lastRenderedPageBreak/>
        <w:t>Aplikace Monitor</w:t>
      </w:r>
      <w:bookmarkEnd w:id="3"/>
      <w:r>
        <w:t xml:space="preserve"> </w:t>
      </w:r>
    </w:p>
    <w:p w:rsidR="002F53A1" w:rsidRDefault="00237641" w:rsidP="001C6613">
      <w:pPr>
        <w:jc w:val="both"/>
      </w:pPr>
      <w:r>
        <w:t xml:space="preserve">Aplikace Monitor využívá pro svůj běh nette framework. </w:t>
      </w:r>
    </w:p>
    <w:p w:rsidR="00237641" w:rsidRDefault="00EF388C" w:rsidP="001C6613">
      <w:pPr>
        <w:jc w:val="both"/>
      </w:pPr>
      <w:r>
        <w:t xml:space="preserve">Adresář </w:t>
      </w:r>
      <w:r w:rsidRPr="00EF388C">
        <w:t>E:\Apache24\htdocs\app</w:t>
      </w:r>
      <w:r>
        <w:t xml:space="preserve"> obsahuje vyvinutou aplikaci Monitor v rámci Nette frameworku. </w:t>
      </w:r>
    </w:p>
    <w:p w:rsidR="00EF388C" w:rsidRDefault="00EF388C" w:rsidP="001C6613">
      <w:pPr>
        <w:jc w:val="both"/>
      </w:pPr>
      <w:r>
        <w:t xml:space="preserve">Adresář Components slouží jako úložiště znovu použitelných vykreslených objektů, jako např. formulářů, menu, ankiet apod. Adresář </w:t>
      </w:r>
      <w:r w:rsidRPr="00EF388C">
        <w:t>E:\Apache24\htdocs\app\components</w:t>
      </w:r>
      <w:r>
        <w:t xml:space="preserve"> obsahuje componentu </w:t>
      </w:r>
      <w:r w:rsidRPr="00EF388C">
        <w:t>SearchMunicipalityForm</w:t>
      </w:r>
      <w:r>
        <w:t xml:space="preserve"> sloužící k vyhledávání obcí.</w:t>
      </w:r>
    </w:p>
    <w:p w:rsidR="00BC41B3" w:rsidRDefault="00EF388C" w:rsidP="001C6613">
      <w:pPr>
        <w:jc w:val="both"/>
      </w:pPr>
      <w:r>
        <w:t xml:space="preserve">Adresář </w:t>
      </w:r>
      <w:r w:rsidRPr="00EF388C">
        <w:t>E:\Apache24\htdocs\app\config</w:t>
      </w:r>
      <w:r>
        <w:t xml:space="preserve"> obsahuje vedle standardních konfiguračních souborů pro Nette framework (jako je např. napojení na DB apod.) i speciální konfigurační soubor pro kontrolu funkčnosti aplikace</w:t>
      </w:r>
      <w:r w:rsidR="00BC1366">
        <w:t xml:space="preserve"> a spojení na server dbtest.php</w:t>
      </w:r>
      <w:r w:rsidR="001C6613">
        <w:t>.</w:t>
      </w:r>
    </w:p>
    <w:p w:rsidR="00BC41B3" w:rsidRDefault="003915A0" w:rsidP="001C6613">
      <w:pPr>
        <w:jc w:val="both"/>
      </w:pPr>
      <w:r>
        <w:t xml:space="preserve">Adresář </w:t>
      </w:r>
      <w:r w:rsidRPr="003915A0">
        <w:t>E:\Apache24\htdocs\data</w:t>
      </w:r>
      <w:r>
        <w:t xml:space="preserve"> slouží jako </w:t>
      </w:r>
      <w:r w:rsidR="00944034">
        <w:t xml:space="preserve">úložiště pro data, která nejsou uložena v databázi. V adresáři </w:t>
      </w:r>
      <w:r w:rsidR="00944034" w:rsidRPr="00944034">
        <w:t>E:\Apache24\htdocs\data\priloha</w:t>
      </w:r>
      <w:r w:rsidR="00944034">
        <w:t xml:space="preserve"> jsou uložena data Příloh účetní závěrky ve formátu html. Data jsou rozdělena dle jednotlivých let do samostatných podadresářů. Tzn. 2010, 2011, 2012.</w:t>
      </w:r>
    </w:p>
    <w:p w:rsidR="00944034" w:rsidRDefault="00944034" w:rsidP="001C6613">
      <w:pPr>
        <w:jc w:val="both"/>
      </w:pPr>
      <w:r>
        <w:t xml:space="preserve">V adresáři </w:t>
      </w:r>
      <w:r w:rsidRPr="00944034">
        <w:t>E:\Apache24\htdocs\www</w:t>
      </w:r>
      <w:r>
        <w:t xml:space="preserve"> byl vytvořen soubor </w:t>
      </w:r>
      <w:r w:rsidR="00A624AA" w:rsidRPr="00A624AA">
        <w:t>monitor_dbtest6947.php</w:t>
      </w:r>
      <w:r w:rsidR="00A624AA">
        <w:t xml:space="preserve"> Ten slouží k automatické  kontrole, zda server odpovídá na požadavky a zda je aktivní spojení na DB. Konfigurační soubor dbtest.php  je uložen v adresáři </w:t>
      </w:r>
      <w:r w:rsidR="00A624AA" w:rsidRPr="00EF388C">
        <w:t>E:\Apache24\htdocs\app\config</w:t>
      </w:r>
      <w:r w:rsidR="00A624AA">
        <w:t>.</w:t>
      </w:r>
    </w:p>
    <w:p w:rsidR="00BC41B3" w:rsidRDefault="00BC41B3" w:rsidP="00EF388C"/>
    <w:p w:rsidR="00EF388C" w:rsidRPr="00237641" w:rsidRDefault="00EF388C" w:rsidP="00237641"/>
    <w:p w:rsidR="00C86289" w:rsidRPr="00A846A0" w:rsidRDefault="00C86289" w:rsidP="00C86289">
      <w:pPr>
        <w:pStyle w:val="Nadpis1"/>
      </w:pPr>
      <w:bookmarkStart w:id="4" w:name="_Toc436140292"/>
      <w:r w:rsidRPr="00A846A0">
        <w:lastRenderedPageBreak/>
        <w:t>Datový model</w:t>
      </w:r>
      <w:bookmarkEnd w:id="4"/>
    </w:p>
    <w:p w:rsidR="00C86289" w:rsidRPr="00A846A0" w:rsidRDefault="00C86289" w:rsidP="001C6613">
      <w:pPr>
        <w:jc w:val="both"/>
      </w:pPr>
      <w:r w:rsidRPr="00A846A0">
        <w:t>Datový model systému Monitor slučuje transakční data, která jsou exportovány z</w:t>
      </w:r>
      <w:r>
        <w:t xml:space="preserve"> IISSP </w:t>
      </w:r>
      <w:r w:rsidRPr="00A846A0">
        <w:t>a závislá kmenová data. Transakční data se dělí do skupin podle konkrétního finančního nebo účetního výkazu zasílaného do CSÚIS. Kmenová data představují různé pohledy či dimenze, skrz které lze na transakční data nahlížet. Pro jednotlivé výkazy jsou v datovém modelu vytvořeny tabulky, které jsou napojeny na tabulky kmenových dat. Datový model je logickou reprezentací datového skladu. Datový sklad se dle datového modelu vytváří na fyzické úrovni pomocí konkrétního DB produktu. V případě systému Monitor se jedná o DB PostgresSQL. Seznam jednotlivých výkazů a odpovídajících tabulek je obsahem následující podkapitoly. Další podkapitola poskytuje výčet tabulek kmenových dat. Notace použitá v tabulkách:</w:t>
      </w:r>
    </w:p>
    <w:p w:rsidR="00C86289" w:rsidRPr="00A846A0" w:rsidRDefault="00C86289" w:rsidP="00C86289">
      <w:pPr>
        <w:pStyle w:val="Nadpis2"/>
        <w:numPr>
          <w:ilvl w:val="0"/>
          <w:numId w:val="0"/>
        </w:numPr>
      </w:pPr>
      <w:bookmarkStart w:id="5" w:name="_Toc436140293"/>
      <w:r w:rsidRPr="00A846A0">
        <w:t>Transakční data</w:t>
      </w:r>
      <w:bookmarkEnd w:id="5"/>
    </w:p>
    <w:p w:rsidR="00C86289" w:rsidRPr="00A846A0" w:rsidRDefault="00C86289" w:rsidP="001C6613">
      <w:pPr>
        <w:jc w:val="both"/>
      </w:pPr>
      <w:r w:rsidRPr="00A846A0">
        <w:t xml:space="preserve">Transakční data se dělí na finanční a účetní. Hlubší rozdělení dat odpovídá jejich náležitosti jednotlivým výkazům tak, jak je definují příslušné vyhlášky. Finanční data se dle vyhlášky </w:t>
      </w:r>
      <w:hyperlink r:id="rId10" w:history="1">
        <w:r w:rsidRPr="00A846A0">
          <w:rPr>
            <w:rStyle w:val="Hypertextovodkaz"/>
          </w:rPr>
          <w:t>č. 449/2009 Sb.</w:t>
        </w:r>
      </w:hyperlink>
      <w:r w:rsidRPr="00A846A0">
        <w:t>, ve znění vyhlášky č. 403/2010 Sb. a vyhlášky č. 451/2011 Sb.</w:t>
      </w:r>
      <w:r w:rsidRPr="00A846A0">
        <w:rPr>
          <w:rStyle w:val="Znakapoznpodarou"/>
        </w:rPr>
        <w:footnoteReference w:id="1"/>
      </w:r>
      <w:r w:rsidRPr="00A846A0">
        <w:t>:</w:t>
      </w:r>
    </w:p>
    <w:p w:rsidR="00C86289" w:rsidRPr="00A846A0" w:rsidRDefault="00C86289" w:rsidP="00C86289">
      <w:pPr>
        <w:numPr>
          <w:ilvl w:val="0"/>
          <w:numId w:val="16"/>
        </w:numPr>
        <w:spacing w:before="200"/>
      </w:pPr>
      <w:r w:rsidRPr="00A846A0">
        <w:t xml:space="preserve">FIN 2-04 U č. I. a č. II. Rozpočtové příjmy, výdaje a financování </w:t>
      </w:r>
      <w:r>
        <w:t>(f_finu_pvf)</w:t>
      </w:r>
    </w:p>
    <w:p w:rsidR="00C86289" w:rsidRPr="00A846A0" w:rsidRDefault="00C86289" w:rsidP="00C86289">
      <w:pPr>
        <w:numPr>
          <w:ilvl w:val="0"/>
          <w:numId w:val="16"/>
        </w:numPr>
        <w:spacing w:before="200"/>
      </w:pPr>
      <w:r w:rsidRPr="00A846A0">
        <w:t>FIN 2-04 U č. III. Rekapitulace příjmů, výdajů, financování a jejich konsolidace</w:t>
      </w:r>
      <w:r>
        <w:t xml:space="preserve"> (f_finu_kon)</w:t>
      </w:r>
    </w:p>
    <w:p w:rsidR="00C86289" w:rsidRPr="00A846A0" w:rsidRDefault="00C86289" w:rsidP="00C86289">
      <w:pPr>
        <w:numPr>
          <w:ilvl w:val="0"/>
          <w:numId w:val="16"/>
        </w:numPr>
        <w:spacing w:before="200"/>
      </w:pPr>
      <w:r w:rsidRPr="00A846A0">
        <w:t>FIN 2-04 U č. IV. Stavy a obraty na bankovních účtech</w:t>
      </w:r>
      <w:r>
        <w:t xml:space="preserve"> (f_finu_iv)</w:t>
      </w:r>
    </w:p>
    <w:p w:rsidR="00C86289" w:rsidRPr="00A846A0" w:rsidRDefault="00C86289" w:rsidP="00C86289">
      <w:pPr>
        <w:numPr>
          <w:ilvl w:val="0"/>
          <w:numId w:val="16"/>
        </w:numPr>
        <w:spacing w:before="200"/>
      </w:pPr>
      <w:r w:rsidRPr="00A846A0">
        <w:t>FIN 2-04 U č. V. Bankovní účty fondů organizačních složek státu a rekapitulace</w:t>
      </w:r>
      <w:r>
        <w:t xml:space="preserve"> (f_finu_v)</w:t>
      </w:r>
    </w:p>
    <w:p w:rsidR="00C86289" w:rsidRPr="00A846A0" w:rsidRDefault="00C86289" w:rsidP="00C86289">
      <w:pPr>
        <w:numPr>
          <w:ilvl w:val="0"/>
          <w:numId w:val="16"/>
        </w:numPr>
        <w:spacing w:before="200"/>
      </w:pPr>
      <w:r w:rsidRPr="00A846A0">
        <w:t>FIN 2-04 U č. VI. Vybrané záznamové jednotky</w:t>
      </w:r>
      <w:r>
        <w:t xml:space="preserve"> (f_finu_vi)</w:t>
      </w:r>
    </w:p>
    <w:p w:rsidR="00C86289" w:rsidRPr="00A846A0" w:rsidRDefault="00C86289" w:rsidP="00C86289">
      <w:pPr>
        <w:numPr>
          <w:ilvl w:val="0"/>
          <w:numId w:val="16"/>
        </w:numPr>
        <w:spacing w:before="200"/>
      </w:pPr>
      <w:r w:rsidRPr="00A846A0">
        <w:t>FIN 2-04 U č. VII. Závazné ukazatele státního rozpočtu a další analytické údaje</w:t>
      </w:r>
      <w:r>
        <w:t xml:space="preserve"> (f_finu_vii)</w:t>
      </w:r>
    </w:p>
    <w:p w:rsidR="00C86289" w:rsidRPr="00A846A0" w:rsidRDefault="00C86289" w:rsidP="00C86289">
      <w:pPr>
        <w:numPr>
          <w:ilvl w:val="0"/>
          <w:numId w:val="16"/>
        </w:numPr>
        <w:spacing w:before="200"/>
      </w:pPr>
      <w:r w:rsidRPr="00A846A0">
        <w:t xml:space="preserve">FIN 2-04 U č. VIII. Výdaje na financování programů </w:t>
      </w:r>
      <w:r>
        <w:t>(f_finu_viii)</w:t>
      </w:r>
    </w:p>
    <w:p w:rsidR="00C86289" w:rsidRPr="00A846A0" w:rsidRDefault="00C86289" w:rsidP="00C86289">
      <w:pPr>
        <w:numPr>
          <w:ilvl w:val="0"/>
          <w:numId w:val="16"/>
        </w:numPr>
        <w:spacing w:before="200"/>
      </w:pPr>
      <w:r w:rsidRPr="00A846A0">
        <w:t>FIN 2-04 U č. IX. Transfery a půjčky poskytnuté veřejným rozpočtům územní úrovně</w:t>
      </w:r>
      <w:r>
        <w:t xml:space="preserve"> (f_finu_ix)</w:t>
      </w:r>
    </w:p>
    <w:p w:rsidR="00C86289" w:rsidRPr="00A846A0" w:rsidRDefault="00C86289" w:rsidP="00C86289">
      <w:pPr>
        <w:numPr>
          <w:ilvl w:val="0"/>
          <w:numId w:val="17"/>
        </w:numPr>
        <w:spacing w:before="200"/>
      </w:pPr>
      <w:r w:rsidRPr="00A846A0">
        <w:t>FIN 2-12 M č. I. a II. Rozpočtové příjmy a výdaje</w:t>
      </w:r>
      <w:r>
        <w:t xml:space="preserve"> (f_finm_pv)</w:t>
      </w:r>
    </w:p>
    <w:p w:rsidR="00C86289" w:rsidRPr="00A846A0" w:rsidRDefault="00C86289" w:rsidP="00C86289">
      <w:pPr>
        <w:numPr>
          <w:ilvl w:val="0"/>
          <w:numId w:val="17"/>
        </w:numPr>
        <w:spacing w:before="200"/>
      </w:pPr>
      <w:r w:rsidRPr="00A846A0">
        <w:t>FIN 2-12 M č. III. Financování</w:t>
      </w:r>
      <w:r>
        <w:t xml:space="preserve"> (f_finm_f)</w:t>
      </w:r>
    </w:p>
    <w:p w:rsidR="00C86289" w:rsidRPr="00A846A0" w:rsidRDefault="00C86289" w:rsidP="00C86289">
      <w:pPr>
        <w:numPr>
          <w:ilvl w:val="0"/>
          <w:numId w:val="17"/>
        </w:numPr>
        <w:spacing w:before="200"/>
      </w:pPr>
      <w:r w:rsidRPr="00A846A0">
        <w:t>FIN 2-12 M č. IV. Rekapitulace příjmů, výdajů, financování a jejich konsolidace</w:t>
      </w:r>
      <w:r>
        <w:t xml:space="preserve"> (f_finm_iv)</w:t>
      </w:r>
    </w:p>
    <w:p w:rsidR="00C86289" w:rsidRPr="00A846A0" w:rsidRDefault="00C86289" w:rsidP="00C86289">
      <w:pPr>
        <w:numPr>
          <w:ilvl w:val="0"/>
          <w:numId w:val="17"/>
        </w:numPr>
        <w:spacing w:before="200"/>
      </w:pPr>
      <w:r w:rsidRPr="00A846A0">
        <w:t>FIN 2-12 M č. VI. Stavy a obraty na bankovních účtech</w:t>
      </w:r>
      <w:r>
        <w:t xml:space="preserve"> (f_finm_vi)</w:t>
      </w:r>
    </w:p>
    <w:p w:rsidR="00C86289" w:rsidRPr="00A846A0" w:rsidRDefault="00C86289" w:rsidP="00C86289">
      <w:pPr>
        <w:numPr>
          <w:ilvl w:val="0"/>
          <w:numId w:val="17"/>
        </w:numPr>
        <w:spacing w:before="200"/>
      </w:pPr>
      <w:r w:rsidRPr="00A846A0">
        <w:t>FIN 2-12 M č. VII. Vybrané záznamové jednotky</w:t>
      </w:r>
      <w:r>
        <w:t xml:space="preserve"> (f_finm_vii)</w:t>
      </w:r>
    </w:p>
    <w:p w:rsidR="00C86289" w:rsidRPr="00A846A0" w:rsidRDefault="00C86289" w:rsidP="00C86289">
      <w:pPr>
        <w:numPr>
          <w:ilvl w:val="0"/>
          <w:numId w:val="17"/>
        </w:numPr>
        <w:spacing w:before="200"/>
      </w:pPr>
      <w:r w:rsidRPr="00A846A0">
        <w:lastRenderedPageBreak/>
        <w:t>FIN 2-12 M č. IX. Přijaté transfery a půjčky ze státního rozpočtu, státních fondů a regionálních rad</w:t>
      </w:r>
      <w:r>
        <w:t xml:space="preserve"> (f_finm_ix)</w:t>
      </w:r>
    </w:p>
    <w:p w:rsidR="00C86289" w:rsidRPr="00A846A0" w:rsidRDefault="00C86289" w:rsidP="001C6613">
      <w:pPr>
        <w:tabs>
          <w:tab w:val="left" w:pos="2785"/>
        </w:tabs>
        <w:jc w:val="both"/>
      </w:pPr>
      <w:r w:rsidRPr="00A846A0">
        <w:t xml:space="preserve">Účetní data se dle vyhlášky </w:t>
      </w:r>
      <w:hyperlink r:id="rId11" w:history="1">
        <w:r w:rsidRPr="00A846A0">
          <w:rPr>
            <w:rStyle w:val="Hypertextovodkaz"/>
          </w:rPr>
          <w:t>č. 410/2009 Sb.</w:t>
        </w:r>
      </w:hyperlink>
      <w:r w:rsidRPr="00A846A0">
        <w:t> s vyznačením změn podle vyhlášky č. 460/2012 Sb. dělí na:</w:t>
      </w:r>
      <w:r w:rsidRPr="00A846A0">
        <w:tab/>
      </w:r>
    </w:p>
    <w:p w:rsidR="00C86289" w:rsidRPr="00A846A0" w:rsidRDefault="00C86289" w:rsidP="00C86289">
      <w:pPr>
        <w:pStyle w:val="Odstavecseseznamem"/>
        <w:numPr>
          <w:ilvl w:val="0"/>
          <w:numId w:val="15"/>
        </w:numPr>
        <w:spacing w:before="200"/>
      </w:pPr>
      <w:r w:rsidRPr="00A846A0">
        <w:t>Rozvaha</w:t>
      </w:r>
      <w:r>
        <w:t xml:space="preserve"> (f_rozvaha)</w:t>
      </w:r>
    </w:p>
    <w:p w:rsidR="00C86289" w:rsidRPr="00A846A0" w:rsidRDefault="00C86289" w:rsidP="00C86289">
      <w:pPr>
        <w:pStyle w:val="Odstavecseseznamem"/>
        <w:numPr>
          <w:ilvl w:val="0"/>
          <w:numId w:val="15"/>
        </w:numPr>
        <w:spacing w:before="200"/>
      </w:pPr>
      <w:r w:rsidRPr="00A846A0">
        <w:t>Výkaz zisku a ztráty (Výsledovka)</w:t>
      </w:r>
      <w:r>
        <w:t xml:space="preserve"> (f_vysledovka)</w:t>
      </w:r>
    </w:p>
    <w:p w:rsidR="00C86289" w:rsidRPr="00A846A0" w:rsidRDefault="00C86289" w:rsidP="00C86289">
      <w:pPr>
        <w:pStyle w:val="Odstavecseseznamem"/>
        <w:numPr>
          <w:ilvl w:val="0"/>
          <w:numId w:val="15"/>
        </w:numPr>
        <w:spacing w:before="200"/>
      </w:pPr>
      <w:r w:rsidRPr="00A846A0">
        <w:t>Přehled o peněžních tocích</w:t>
      </w:r>
      <w:r>
        <w:t xml:space="preserve"> (f_cashflow)</w:t>
      </w:r>
    </w:p>
    <w:p w:rsidR="00C86289" w:rsidRPr="00A846A0" w:rsidRDefault="00C86289" w:rsidP="00C86289">
      <w:pPr>
        <w:pStyle w:val="Odstavecseseznamem"/>
        <w:numPr>
          <w:ilvl w:val="0"/>
          <w:numId w:val="15"/>
        </w:numPr>
        <w:spacing w:before="200"/>
      </w:pPr>
      <w:r w:rsidRPr="00A846A0">
        <w:t>Vlastní kapitál</w:t>
      </w:r>
      <w:r>
        <w:t xml:space="preserve"> (f_vk)</w:t>
      </w:r>
    </w:p>
    <w:p w:rsidR="00C86289" w:rsidRPr="00A846A0" w:rsidRDefault="00C86289" w:rsidP="001C6613">
      <w:pPr>
        <w:jc w:val="both"/>
      </w:pPr>
      <w:r w:rsidRPr="00A846A0">
        <w:t>Dále se v transakčních datech vyskytují následující skupiny dat. Tato data nepodléhají žádné vyhlášce:</w:t>
      </w:r>
    </w:p>
    <w:p w:rsidR="00C86289" w:rsidRPr="00A846A0" w:rsidRDefault="00C86289" w:rsidP="00C86289">
      <w:pPr>
        <w:pStyle w:val="Odstavecseseznamem"/>
        <w:numPr>
          <w:ilvl w:val="0"/>
          <w:numId w:val="18"/>
        </w:numPr>
        <w:spacing w:before="200"/>
      </w:pPr>
      <w:r w:rsidRPr="00A846A0">
        <w:t>Bilance – historický vývoj bilance státního rozpočtu (f_bilance)</w:t>
      </w:r>
    </w:p>
    <w:p w:rsidR="00C86289" w:rsidRPr="00A846A0" w:rsidRDefault="00C86289" w:rsidP="00C86289">
      <w:pPr>
        <w:pStyle w:val="Odstavecseseznamem"/>
        <w:numPr>
          <w:ilvl w:val="0"/>
          <w:numId w:val="18"/>
        </w:numPr>
        <w:spacing w:before="200"/>
      </w:pPr>
      <w:r w:rsidRPr="00A846A0">
        <w:t>Ukazatelé – obsahuje seznam vypočtených ukazatelů pro účetní jednotky (f_ukazatele2)</w:t>
      </w:r>
    </w:p>
    <w:p w:rsidR="00C86289" w:rsidRPr="00A846A0" w:rsidRDefault="00C86289" w:rsidP="00C86289">
      <w:pPr>
        <w:pStyle w:val="Nadpis2"/>
        <w:numPr>
          <w:ilvl w:val="0"/>
          <w:numId w:val="0"/>
        </w:numPr>
        <w:rPr>
          <w:sz w:val="24"/>
          <w:szCs w:val="24"/>
        </w:rPr>
      </w:pPr>
      <w:bookmarkStart w:id="6" w:name="_Toc436140294"/>
      <w:r w:rsidRPr="00A846A0">
        <w:rPr>
          <w:sz w:val="24"/>
          <w:szCs w:val="24"/>
        </w:rPr>
        <w:t>Kmenová data</w:t>
      </w:r>
      <w:bookmarkEnd w:id="6"/>
    </w:p>
    <w:p w:rsidR="00C86289" w:rsidRPr="00A846A0" w:rsidRDefault="00C86289" w:rsidP="001C6613">
      <w:pPr>
        <w:jc w:val="both"/>
      </w:pPr>
      <w:r w:rsidRPr="00A846A0">
        <w:t xml:space="preserve">Kmenová data v datovém modelu jsou buď přímo, nebo nepřímo napojeny na tabulky transakčních dat. Následuje výčet tabulek kmenových dat a jejich stručný popis. </w:t>
      </w:r>
    </w:p>
    <w:p w:rsidR="00C86289" w:rsidRPr="00A846A0" w:rsidRDefault="00C86289" w:rsidP="00C86289">
      <w:pPr>
        <w:pStyle w:val="Odstavecseseznamem"/>
        <w:numPr>
          <w:ilvl w:val="0"/>
          <w:numId w:val="19"/>
        </w:numPr>
        <w:spacing w:before="200"/>
      </w:pPr>
      <w:r w:rsidRPr="00A846A0">
        <w:t>Účetní jednotka (d_ucjed_scd) – číselník účetních jednotek státu, které zasílají výkazy do CSÚIS. Je použit ve všech výkazových tabulkách.</w:t>
      </w:r>
    </w:p>
    <w:p w:rsidR="00C86289" w:rsidRPr="00A846A0" w:rsidRDefault="00C86289" w:rsidP="00C86289">
      <w:pPr>
        <w:pStyle w:val="Odstavecseseznamem"/>
      </w:pPr>
      <w:r w:rsidRPr="00A846A0">
        <w:t>Podč</w:t>
      </w:r>
      <w:r w:rsidR="00BC1366">
        <w:t>í</w:t>
      </w:r>
      <w:r w:rsidRPr="00A846A0">
        <w:t>selníky (snowflake schéma):</w:t>
      </w:r>
    </w:p>
    <w:p w:rsidR="00C86289" w:rsidRPr="00A846A0" w:rsidRDefault="00C86289" w:rsidP="00C86289">
      <w:pPr>
        <w:pStyle w:val="Odstavecseseznamem"/>
        <w:numPr>
          <w:ilvl w:val="1"/>
          <w:numId w:val="19"/>
        </w:numPr>
        <w:spacing w:before="200"/>
      </w:pPr>
      <w:r w:rsidRPr="00A846A0">
        <w:t>NUTS (d_nuts) – územní příslušnost dle nomenklatury územních statistických jednotek,</w:t>
      </w:r>
    </w:p>
    <w:p w:rsidR="00C86289" w:rsidRPr="00A846A0" w:rsidRDefault="00C86289" w:rsidP="00C86289">
      <w:pPr>
        <w:pStyle w:val="Odstavecseseznamem"/>
        <w:numPr>
          <w:ilvl w:val="1"/>
          <w:numId w:val="19"/>
        </w:numPr>
        <w:spacing w:before="200"/>
      </w:pPr>
      <w:r w:rsidRPr="00A846A0">
        <w:t>COFOG (d_cofog) – klasifikace funkcí vládních institucí,</w:t>
      </w:r>
    </w:p>
    <w:p w:rsidR="00C86289" w:rsidRPr="00A846A0" w:rsidRDefault="00C86289" w:rsidP="00C86289">
      <w:pPr>
        <w:pStyle w:val="Odstavecseseznamem"/>
        <w:numPr>
          <w:ilvl w:val="1"/>
          <w:numId w:val="19"/>
        </w:numPr>
        <w:spacing w:before="200"/>
      </w:pPr>
      <w:r w:rsidRPr="00A846A0">
        <w:t>NACE (d_nace) - statistická klasifikace ekonomických činností,</w:t>
      </w:r>
    </w:p>
    <w:p w:rsidR="00C86289" w:rsidRPr="00A846A0" w:rsidRDefault="00C86289" w:rsidP="00C86289">
      <w:pPr>
        <w:pStyle w:val="Odstavecseseznamem"/>
        <w:numPr>
          <w:ilvl w:val="1"/>
          <w:numId w:val="19"/>
        </w:numPr>
        <w:spacing w:before="200"/>
      </w:pPr>
      <w:r w:rsidRPr="00A846A0">
        <w:t>ISEKTOR (d_isektor) - číselník institucionálních sektorů a subsektorů,</w:t>
      </w:r>
    </w:p>
    <w:p w:rsidR="00C86289" w:rsidRPr="00A846A0" w:rsidRDefault="00C86289" w:rsidP="00C86289">
      <w:pPr>
        <w:pStyle w:val="Odstavecseseznamem"/>
        <w:numPr>
          <w:ilvl w:val="1"/>
          <w:numId w:val="19"/>
        </w:numPr>
        <w:spacing w:before="200"/>
      </w:pPr>
      <w:r w:rsidRPr="00A846A0">
        <w:t>Druh ÚJ (d_druhuj) – druh účetní jednotky,</w:t>
      </w:r>
    </w:p>
    <w:p w:rsidR="00C86289" w:rsidRPr="00A846A0" w:rsidRDefault="00C86289" w:rsidP="00C86289">
      <w:pPr>
        <w:pStyle w:val="Odstavecseseznamem"/>
        <w:numPr>
          <w:ilvl w:val="1"/>
          <w:numId w:val="19"/>
        </w:numPr>
        <w:spacing w:before="200"/>
      </w:pPr>
      <w:r w:rsidRPr="00A846A0">
        <w:t>Poddruh ÚJ (d_poddruhuj) – poddruh účetní jednotky,</w:t>
      </w:r>
    </w:p>
    <w:p w:rsidR="00C86289" w:rsidRPr="00A846A0" w:rsidRDefault="00C86289" w:rsidP="00C86289">
      <w:pPr>
        <w:pStyle w:val="Odstavecseseznamem"/>
        <w:numPr>
          <w:ilvl w:val="1"/>
          <w:numId w:val="19"/>
        </w:numPr>
        <w:spacing w:before="200"/>
      </w:pPr>
      <w:r w:rsidRPr="00A846A0">
        <w:t>Kapitola (d_kapitola) – kód nadřazené kapitoly.</w:t>
      </w:r>
    </w:p>
    <w:p w:rsidR="00C86289" w:rsidRPr="00A846A0" w:rsidRDefault="00C86289" w:rsidP="00C86289">
      <w:pPr>
        <w:pStyle w:val="Odstavecseseznamem"/>
        <w:numPr>
          <w:ilvl w:val="0"/>
          <w:numId w:val="19"/>
        </w:numPr>
        <w:spacing w:before="200"/>
      </w:pPr>
      <w:r w:rsidRPr="00A846A0">
        <w:t>Položka výkazu Rozvaha (d_polvyk_rozv_scd) – číselník položek v Rozvaze.</w:t>
      </w:r>
    </w:p>
    <w:p w:rsidR="00C86289" w:rsidRPr="00A846A0" w:rsidRDefault="00C86289" w:rsidP="00C86289">
      <w:pPr>
        <w:pStyle w:val="Odstavecseseznamem"/>
        <w:numPr>
          <w:ilvl w:val="0"/>
          <w:numId w:val="19"/>
        </w:numPr>
        <w:spacing w:before="200"/>
      </w:pPr>
      <w:r w:rsidRPr="00A846A0">
        <w:t>Položka výkazu Výkaz zisku a ztráty (d_polvyk_vysl_scd) – číselník položek ve Výkazu zisku a ztráty.</w:t>
      </w:r>
    </w:p>
    <w:p w:rsidR="00C86289" w:rsidRPr="00A846A0" w:rsidRDefault="00C86289" w:rsidP="00C86289">
      <w:pPr>
        <w:pStyle w:val="Odstavecseseznamem"/>
        <w:numPr>
          <w:ilvl w:val="0"/>
          <w:numId w:val="19"/>
        </w:numPr>
        <w:spacing w:before="200"/>
      </w:pPr>
      <w:r w:rsidRPr="00A846A0">
        <w:t>Položka výkazu Přehled peněžních toků (d_polvyk_cf_scd) – číselník položek v Přehledu peněžních toků.</w:t>
      </w:r>
    </w:p>
    <w:p w:rsidR="00C86289" w:rsidRPr="00A846A0" w:rsidRDefault="00C86289" w:rsidP="00C86289">
      <w:pPr>
        <w:pStyle w:val="Odstavecseseznamem"/>
        <w:numPr>
          <w:ilvl w:val="0"/>
          <w:numId w:val="19"/>
        </w:numPr>
        <w:spacing w:before="200"/>
      </w:pPr>
      <w:r w:rsidRPr="00A846A0">
        <w:t>Položka výkazu Vlastní kapitál (d_polvyk_vk_scd) – číselník položek ve Vlastním kapitálu.</w:t>
      </w:r>
    </w:p>
    <w:p w:rsidR="00C86289" w:rsidRPr="00A846A0" w:rsidRDefault="00C86289" w:rsidP="00C86289">
      <w:pPr>
        <w:pStyle w:val="Odstavecseseznamem"/>
        <w:numPr>
          <w:ilvl w:val="0"/>
          <w:numId w:val="19"/>
        </w:numPr>
        <w:spacing w:before="200"/>
      </w:pPr>
      <w:r w:rsidRPr="00A846A0">
        <w:t>Položka výkazu FINU (d_polvyk_finu_scd) – číselník položek v částech III., IV., V. a VIII. výkazu FIN 2-04 U.</w:t>
      </w:r>
    </w:p>
    <w:p w:rsidR="00C86289" w:rsidRPr="00A846A0" w:rsidRDefault="00C86289" w:rsidP="00C86289">
      <w:pPr>
        <w:pStyle w:val="Odstavecseseznamem"/>
        <w:numPr>
          <w:ilvl w:val="0"/>
          <w:numId w:val="19"/>
        </w:numPr>
        <w:spacing w:before="200"/>
      </w:pPr>
      <w:r w:rsidRPr="00A846A0">
        <w:t>Položka výkazu FINM (d_polvyk_finm_scd) – číselník položek v částech III., IV., VI. a VII. výkazu FIN 2-12 M.</w:t>
      </w:r>
    </w:p>
    <w:p w:rsidR="00C86289" w:rsidRPr="00A846A0" w:rsidRDefault="00C86289" w:rsidP="00C86289">
      <w:pPr>
        <w:pStyle w:val="Odstavecseseznamem"/>
        <w:numPr>
          <w:ilvl w:val="0"/>
          <w:numId w:val="19"/>
        </w:numPr>
        <w:spacing w:before="200"/>
      </w:pPr>
      <w:r w:rsidRPr="00A846A0">
        <w:t>Položka rozpočtu (d_položka_scd) - číselník položek se používá v rámci druhového třídění rozpočtové skladby v částech I. a II. finančního výkazu FIN 2-04 U a v částech I., a II. finančního výkazu FIN 2-12 M.</w:t>
      </w:r>
    </w:p>
    <w:p w:rsidR="00C86289" w:rsidRPr="00A846A0" w:rsidRDefault="00C86289" w:rsidP="00C86289">
      <w:pPr>
        <w:pStyle w:val="Odstavecseseznamem"/>
        <w:numPr>
          <w:ilvl w:val="0"/>
          <w:numId w:val="19"/>
        </w:numPr>
        <w:spacing w:before="200"/>
      </w:pPr>
      <w:r w:rsidRPr="00A846A0">
        <w:lastRenderedPageBreak/>
        <w:t>Paragraf (d_paragraf_scd) - číselník paragrafů se používá v rámci odvětvového třídění rozpočtové skladby v částech I. a II. finančního výkazu FIN 2-04 U a v částech I., a II. finančního výkazu FIN 2-12 M.</w:t>
      </w:r>
    </w:p>
    <w:p w:rsidR="00C86289" w:rsidRPr="00A846A0" w:rsidRDefault="00C86289" w:rsidP="00C86289">
      <w:pPr>
        <w:pStyle w:val="Odstavecseseznamem"/>
        <w:numPr>
          <w:ilvl w:val="0"/>
          <w:numId w:val="19"/>
        </w:numPr>
        <w:spacing w:before="200"/>
      </w:pPr>
      <w:r w:rsidRPr="00A846A0">
        <w:t xml:space="preserve">Účelový znak (d_ucelznak) </w:t>
      </w:r>
      <w:r>
        <w:t>– číslo účelového znaku, použité ve výkazu FIN 2-04 U č. IX.</w:t>
      </w:r>
    </w:p>
    <w:p w:rsidR="00C86289" w:rsidRPr="00677604" w:rsidRDefault="00C86289" w:rsidP="00C86289">
      <w:pPr>
        <w:pStyle w:val="Odstavecseseznamem"/>
        <w:numPr>
          <w:ilvl w:val="0"/>
          <w:numId w:val="19"/>
        </w:numPr>
        <w:spacing w:before="200"/>
      </w:pPr>
      <w:r w:rsidRPr="00A846A0">
        <w:t>Rozpočtový program (d_rozprog)</w:t>
      </w:r>
      <w:r>
        <w:t xml:space="preserve"> – č</w:t>
      </w:r>
      <w:r w:rsidRPr="00677604">
        <w:t>íslo</w:t>
      </w:r>
      <w:r>
        <w:t xml:space="preserve"> rozpočtového </w:t>
      </w:r>
      <w:r w:rsidRPr="00677604">
        <w:t>programu</w:t>
      </w:r>
      <w:r>
        <w:t>, použité ve výkazu FIN 2-04 U č. VIII.</w:t>
      </w:r>
    </w:p>
    <w:p w:rsidR="00C86289" w:rsidRDefault="00C86289" w:rsidP="00C86289">
      <w:pPr>
        <w:pStyle w:val="Odstavecseseznamem"/>
        <w:numPr>
          <w:ilvl w:val="0"/>
          <w:numId w:val="19"/>
        </w:numPr>
        <w:spacing w:before="200"/>
      </w:pPr>
      <w:r w:rsidRPr="00A846A0">
        <w:t>Období rok/měsíc nahrání dat (load_id) – stanovuje časovou náležitost dat.</w:t>
      </w:r>
    </w:p>
    <w:p w:rsidR="00C86289" w:rsidRDefault="00C86289" w:rsidP="00C86289">
      <w:pPr>
        <w:pStyle w:val="Odstavecseseznamem"/>
        <w:numPr>
          <w:ilvl w:val="0"/>
          <w:numId w:val="19"/>
        </w:numPr>
        <w:spacing w:before="200"/>
      </w:pPr>
      <w:r>
        <w:t>Texty IČ (d_texty_ica) – texty na profil určitých ÚJ.</w:t>
      </w:r>
    </w:p>
    <w:p w:rsidR="00C86289" w:rsidRPr="00A846A0" w:rsidRDefault="00C86289" w:rsidP="00C86289">
      <w:pPr>
        <w:pStyle w:val="Odstavecseseznamem"/>
        <w:numPr>
          <w:ilvl w:val="0"/>
          <w:numId w:val="19"/>
        </w:numPr>
        <w:spacing w:before="200"/>
      </w:pPr>
      <w:r>
        <w:t>Texty kapitoly (d_texty_kap) – texty na profil určitých kapitol.</w:t>
      </w:r>
    </w:p>
    <w:p w:rsidR="00C86289" w:rsidRPr="00A846A0" w:rsidRDefault="0000548E" w:rsidP="00C86289">
      <w:pPr>
        <w:pStyle w:val="Nadpis2"/>
        <w:numPr>
          <w:ilvl w:val="0"/>
          <w:numId w:val="0"/>
        </w:numPr>
        <w:rPr>
          <w:sz w:val="24"/>
          <w:szCs w:val="24"/>
        </w:rPr>
      </w:pPr>
      <w:bookmarkStart w:id="7" w:name="_Toc436140295"/>
      <w:r>
        <w:rPr>
          <w:sz w:val="24"/>
          <w:szCs w:val="24"/>
        </w:rPr>
        <w:t>N</w:t>
      </w:r>
      <w:r w:rsidR="00C86289" w:rsidRPr="00A846A0">
        <w:rPr>
          <w:sz w:val="24"/>
          <w:szCs w:val="24"/>
        </w:rPr>
        <w:t>ahrávání dat</w:t>
      </w:r>
      <w:bookmarkEnd w:id="7"/>
    </w:p>
    <w:p w:rsidR="00C86289" w:rsidRPr="00A846A0" w:rsidRDefault="00C86289" w:rsidP="001C6613">
      <w:pPr>
        <w:jc w:val="both"/>
      </w:pPr>
      <w:r w:rsidRPr="00A846A0">
        <w:t>Zdrojem transakčních dat jsou extrakty z </w:t>
      </w:r>
      <w:r w:rsidR="0000548E">
        <w:t>IISSP</w:t>
      </w:r>
      <w:r w:rsidRPr="00A846A0">
        <w:t>, jsou ve formátu CSV. Zdrojem číselníku kmenových dat jsou soubory ve formátu XML, MS Excel příp. CSV převzaté z webu MF.</w:t>
      </w:r>
    </w:p>
    <w:p w:rsidR="00C86289" w:rsidRPr="00A846A0" w:rsidRDefault="00C86289" w:rsidP="001C6613">
      <w:pPr>
        <w:jc w:val="both"/>
      </w:pPr>
      <w:r w:rsidRPr="00A846A0">
        <w:t>Nahrávání dat probíhá s využitím nástroje Talend Open Studio (TOS). Filosofie TOS je založena na metadatech. Před vytvářením jakýchkoliv transformačních a přenášejících jobů je nutné definovat metadata v příslušné kategorii metadata v TOS repository:</w:t>
      </w:r>
    </w:p>
    <w:p w:rsidR="00C86289" w:rsidRPr="00A846A0" w:rsidRDefault="00C86289" w:rsidP="00C86289">
      <w:pPr>
        <w:pStyle w:val="Odstavecseseznamem"/>
        <w:numPr>
          <w:ilvl w:val="0"/>
          <w:numId w:val="21"/>
        </w:numPr>
        <w:spacing w:before="200"/>
        <w:jc w:val="both"/>
      </w:pPr>
      <w:r w:rsidRPr="00A846A0">
        <w:t xml:space="preserve">V kategorii </w:t>
      </w:r>
      <w:r w:rsidRPr="00A846A0">
        <w:rPr>
          <w:i/>
          <w:iCs/>
        </w:rPr>
        <w:t>DB spojení</w:t>
      </w:r>
      <w:r w:rsidRPr="00A846A0">
        <w:t xml:space="preserve"> je třeba vytvořit spojení s DB (výstupní sestava), poté v rámci definice spojení lze vytvořit definice hromadných SQL dotazů a schéma jednotlivých DB tabulek. Po výběru tabulky z dialogu lze schéma načíst přímo z DB. </w:t>
      </w:r>
    </w:p>
    <w:p w:rsidR="00C86289" w:rsidRPr="00A846A0" w:rsidRDefault="00C86289" w:rsidP="00C86289">
      <w:pPr>
        <w:pStyle w:val="Odstavecseseznamem"/>
        <w:numPr>
          <w:ilvl w:val="0"/>
          <w:numId w:val="21"/>
        </w:numPr>
        <w:spacing w:before="200"/>
        <w:jc w:val="both"/>
      </w:pPr>
      <w:r w:rsidRPr="00A846A0">
        <w:t xml:space="preserve">V kategorii </w:t>
      </w:r>
      <w:r w:rsidRPr="00A846A0">
        <w:rPr>
          <w:i/>
          <w:iCs/>
        </w:rPr>
        <w:t xml:space="preserve">DSV soubor </w:t>
      </w:r>
      <w:r w:rsidRPr="00A846A0">
        <w:t xml:space="preserve">je třeba vytvořit napojení na konkrétní soubor (CSV), v rámci spojení se musí vytvořit schéma struktury souboru. Schéma lze načíst z hlaviček v souboru. </w:t>
      </w:r>
    </w:p>
    <w:p w:rsidR="00C86289" w:rsidRPr="00A846A0" w:rsidRDefault="00C86289" w:rsidP="00C86289">
      <w:pPr>
        <w:pStyle w:val="Odstavecseseznamem"/>
        <w:numPr>
          <w:ilvl w:val="0"/>
          <w:numId w:val="21"/>
        </w:numPr>
        <w:spacing w:before="200"/>
        <w:jc w:val="both"/>
      </w:pPr>
      <w:r w:rsidRPr="00A846A0">
        <w:t xml:space="preserve">V kategorii </w:t>
      </w:r>
      <w:r w:rsidRPr="00A846A0">
        <w:rPr>
          <w:i/>
          <w:iCs/>
        </w:rPr>
        <w:t xml:space="preserve">Excel soubor </w:t>
      </w:r>
      <w:r w:rsidRPr="00A846A0">
        <w:t>lze</w:t>
      </w:r>
      <w:r w:rsidRPr="00A846A0">
        <w:rPr>
          <w:i/>
          <w:iCs/>
        </w:rPr>
        <w:t xml:space="preserve"> </w:t>
      </w:r>
      <w:r w:rsidRPr="00A846A0">
        <w:t>obdobně načíst zdroj a strukturu vstupního souboru MS Excel.</w:t>
      </w:r>
    </w:p>
    <w:p w:rsidR="00C86289" w:rsidRPr="00A846A0" w:rsidRDefault="00C86289" w:rsidP="00C86289">
      <w:pPr>
        <w:pStyle w:val="Odstavecseseznamem"/>
        <w:numPr>
          <w:ilvl w:val="0"/>
          <w:numId w:val="21"/>
        </w:numPr>
        <w:spacing w:before="200"/>
        <w:jc w:val="both"/>
      </w:pPr>
      <w:r w:rsidRPr="00A846A0">
        <w:t>Další kategorie umožňují definovat například rozhraní webových služeb, LDAP systémů, FTP systémů, spojení s Talend Master Data Management a dalších.</w:t>
      </w:r>
    </w:p>
    <w:p w:rsidR="00C86289" w:rsidRPr="00A846A0" w:rsidRDefault="00C86289" w:rsidP="00C86289">
      <w:pPr>
        <w:jc w:val="both"/>
      </w:pPr>
      <w:r w:rsidRPr="00A846A0">
        <w:t>Po definici metadat lze vytvářet joby. Job je univerzální stavební prvek datové pumpy, do kterého lze vkládat libovolné komponenty. Nadefinovaný job může být také komponentou, tzn. joby lze jednoduše zapouzdřovat. Většina komponent pro přímou práci s daty nebo datovými strukturami vyžaduje odkaz na již nadefinovaná metadata v repository. Grafické rozhraní TOS je intuitivní a při přetáhnutí nadefinované datové struktury (schématu) z repository metadata do pracovního rastru nabídne uživateli na výběr seznam potenciálních komponent, které mohou s těmito metadaty pracovat (vstu</w:t>
      </w:r>
      <w:r w:rsidR="00480A40">
        <w:t xml:space="preserve">pní soubor, výstupní DB atd.). </w:t>
      </w:r>
    </w:p>
    <w:p w:rsidR="00C86289" w:rsidRPr="00A846A0" w:rsidRDefault="005875E6" w:rsidP="00C86289">
      <w:pPr>
        <w:pStyle w:val="Nadpis2"/>
        <w:numPr>
          <w:ilvl w:val="0"/>
          <w:numId w:val="0"/>
        </w:numPr>
        <w:rPr>
          <w:sz w:val="24"/>
          <w:szCs w:val="24"/>
        </w:rPr>
      </w:pPr>
      <w:bookmarkStart w:id="8" w:name="_Toc436140296"/>
      <w:r>
        <w:rPr>
          <w:sz w:val="24"/>
          <w:szCs w:val="24"/>
        </w:rPr>
        <w:t>Nekonzistence ve zdrojových kmenových datech z IISSP</w:t>
      </w:r>
      <w:bookmarkEnd w:id="8"/>
    </w:p>
    <w:p w:rsidR="00C86289" w:rsidRPr="00A846A0" w:rsidRDefault="00C86289" w:rsidP="00C86289">
      <w:pPr>
        <w:pStyle w:val="Odstavecseseznamem"/>
        <w:numPr>
          <w:ilvl w:val="0"/>
          <w:numId w:val="22"/>
        </w:numPr>
        <w:spacing w:before="200"/>
      </w:pPr>
      <w:r w:rsidRPr="00A846A0">
        <w:t xml:space="preserve">Účetní jednotky mají založené záznamy i po konci platnosti. Konec platnosti je vyplněn v charakteristice ZC_EXPDAT. Pokud je tento atribut v kmenových datech vyplněn, nastaví se k historicky poslednímu záznamu jako DATETO. </w:t>
      </w:r>
    </w:p>
    <w:p w:rsidR="00C86289" w:rsidRPr="00A846A0" w:rsidRDefault="00C86289" w:rsidP="00C86289">
      <w:pPr>
        <w:pStyle w:val="Odstavecseseznamem"/>
        <w:numPr>
          <w:ilvl w:val="0"/>
          <w:numId w:val="22"/>
        </w:numPr>
        <w:spacing w:before="200"/>
      </w:pPr>
      <w:r w:rsidRPr="00A846A0">
        <w:t xml:space="preserve">V číselníku UCJED z CSÚIS je vyplněna jiná kapitola než v transakčních datech. </w:t>
      </w:r>
    </w:p>
    <w:p w:rsidR="00C86289" w:rsidRPr="00A846A0" w:rsidRDefault="00C86289" w:rsidP="00C86289">
      <w:pPr>
        <w:pStyle w:val="Odstavecseseznamem"/>
        <w:numPr>
          <w:ilvl w:val="0"/>
          <w:numId w:val="22"/>
        </w:numPr>
        <w:spacing w:before="200"/>
      </w:pPr>
      <w:r w:rsidRPr="00A846A0">
        <w:t>Účetní jednoty, které mají platnost od i do 1.1.201X narušují unikátnost výběru účetních jednotek pro mapování na transakční data, výběr může potenciálně obsahovat duplicity.</w:t>
      </w:r>
    </w:p>
    <w:p w:rsidR="00C86289" w:rsidRPr="00A846A0" w:rsidRDefault="00C86289" w:rsidP="00C86289">
      <w:pPr>
        <w:pStyle w:val="Odstavecseseznamem"/>
        <w:numPr>
          <w:ilvl w:val="0"/>
          <w:numId w:val="22"/>
        </w:numPr>
        <w:spacing w:before="200"/>
      </w:pPr>
      <w:r w:rsidRPr="00A846A0">
        <w:t xml:space="preserve">Identifikace kapitol 396,397,398 jako účetních jednotek bez využití identifikačního mechanizmu </w:t>
      </w:r>
      <w:r w:rsidR="005875E6">
        <w:t>IISSP</w:t>
      </w:r>
      <w:r w:rsidRPr="00A846A0">
        <w:t>.</w:t>
      </w:r>
    </w:p>
    <w:p w:rsidR="00C86289" w:rsidRPr="00A846A0" w:rsidRDefault="00C86289" w:rsidP="00C86289">
      <w:pPr>
        <w:pStyle w:val="Odstavecseseznamem"/>
        <w:numPr>
          <w:ilvl w:val="0"/>
          <w:numId w:val="22"/>
        </w:numPr>
        <w:spacing w:before="200"/>
      </w:pPr>
      <w:r w:rsidRPr="00A846A0">
        <w:lastRenderedPageBreak/>
        <w:t>Některé OSS mají záznam s historickou platností, když byly založeny později. Př.: Státní pozemkový úřad.</w:t>
      </w:r>
    </w:p>
    <w:p w:rsidR="005875E6" w:rsidRPr="00A846A0" w:rsidRDefault="005875E6" w:rsidP="005875E6">
      <w:pPr>
        <w:pStyle w:val="Nadpis2"/>
        <w:numPr>
          <w:ilvl w:val="0"/>
          <w:numId w:val="0"/>
        </w:numPr>
        <w:rPr>
          <w:sz w:val="24"/>
          <w:szCs w:val="24"/>
        </w:rPr>
      </w:pPr>
      <w:bookmarkStart w:id="9" w:name="_Toc436140297"/>
      <w:r>
        <w:rPr>
          <w:sz w:val="24"/>
          <w:szCs w:val="24"/>
        </w:rPr>
        <w:t>Nekonzistence ve zdrojových transakčních datech z IISSP</w:t>
      </w:r>
      <w:bookmarkEnd w:id="9"/>
    </w:p>
    <w:p w:rsidR="00C86289" w:rsidRPr="00A846A0" w:rsidRDefault="00C86289" w:rsidP="00C86289">
      <w:pPr>
        <w:pStyle w:val="Odstavecseseznamem"/>
        <w:numPr>
          <w:ilvl w:val="0"/>
          <w:numId w:val="23"/>
        </w:numPr>
        <w:spacing w:before="200"/>
      </w:pPr>
      <w:r w:rsidRPr="00A846A0">
        <w:t>Nevyplněné atributy v záznamech: účetní jednotka, položka výkazu, nebo jejich kombinace.</w:t>
      </w:r>
    </w:p>
    <w:p w:rsidR="00C86289" w:rsidRPr="00A846A0" w:rsidRDefault="00C86289" w:rsidP="00C86289">
      <w:pPr>
        <w:pStyle w:val="Odstavecseseznamem"/>
        <w:numPr>
          <w:ilvl w:val="0"/>
          <w:numId w:val="23"/>
        </w:numPr>
        <w:spacing w:before="200"/>
      </w:pPr>
      <w:r w:rsidRPr="00A846A0">
        <w:t>Mínus na pravé straně čísla je třeba přetransportovat na levou.</w:t>
      </w:r>
    </w:p>
    <w:p w:rsidR="00C86289" w:rsidRPr="00A846A0" w:rsidRDefault="00C86289" w:rsidP="00C86289">
      <w:pPr>
        <w:pStyle w:val="Odstavecseseznamem"/>
        <w:numPr>
          <w:ilvl w:val="0"/>
          <w:numId w:val="23"/>
        </w:numPr>
        <w:spacing w:before="200"/>
      </w:pPr>
      <w:r w:rsidRPr="00A846A0">
        <w:t>IČO má 10 znaků, je potřeba pro mapování oříznout.</w:t>
      </w:r>
    </w:p>
    <w:p w:rsidR="00C86289" w:rsidRPr="00A846A0" w:rsidRDefault="00C86289" w:rsidP="00C86289">
      <w:pPr>
        <w:pStyle w:val="Odstavecseseznamem"/>
        <w:numPr>
          <w:ilvl w:val="0"/>
          <w:numId w:val="23"/>
        </w:numPr>
        <w:spacing w:before="200"/>
      </w:pPr>
      <w:r w:rsidRPr="00A846A0">
        <w:t>Výkazy FIN – výdaje se vyskytují na příjmovém paragrafu.</w:t>
      </w:r>
    </w:p>
    <w:p w:rsidR="00C86289" w:rsidRDefault="00C86289" w:rsidP="00C86289">
      <w:pPr>
        <w:pStyle w:val="Odstavecseseznamem"/>
        <w:numPr>
          <w:ilvl w:val="0"/>
          <w:numId w:val="23"/>
        </w:numPr>
        <w:spacing w:before="200"/>
      </w:pPr>
      <w:r w:rsidRPr="00A846A0">
        <w:t>Rozdílné datové typy vstupních a výstupních dat.</w:t>
      </w:r>
    </w:p>
    <w:p w:rsidR="00C44A55" w:rsidRPr="002F53A1" w:rsidRDefault="00C44A55" w:rsidP="00C44A55">
      <w:pPr>
        <w:pStyle w:val="Nadpis1"/>
        <w:rPr>
          <w:i/>
        </w:rPr>
      </w:pPr>
      <w:bookmarkStart w:id="10" w:name="_Toc369791753"/>
      <w:bookmarkStart w:id="11" w:name="_Toc436140298"/>
      <w:r w:rsidRPr="002F53A1">
        <w:rPr>
          <w:i/>
        </w:rPr>
        <w:lastRenderedPageBreak/>
        <w:t>Architektura</w:t>
      </w:r>
      <w:bookmarkEnd w:id="10"/>
      <w:r w:rsidRPr="002F53A1">
        <w:rPr>
          <w:i/>
        </w:rPr>
        <w:t xml:space="preserve"> analytické části</w:t>
      </w:r>
      <w:bookmarkEnd w:id="11"/>
    </w:p>
    <w:p w:rsidR="00C44A55" w:rsidRPr="004D3C56" w:rsidRDefault="00C44A55" w:rsidP="001C6613">
      <w:pPr>
        <w:jc w:val="both"/>
      </w:pPr>
      <w:r>
        <w:t xml:space="preserve">V serverové vrstvě je umístěn webový kontejner Apache Tomcat, ve kterém běží OLAP server Mondrian. OLAP server Mondrian obsahuje knihovny pro získání a zpracování dat v multidimenzionální podobě, které jsou následně k dispozici pro klientskou vrstvu. Komunikace s databázi probíhá pomocí OLAP4J, což je API pro práci s multidimenzionálním modelem dat (analogie JDBC pro relační model). OLAP4J přijímá, validuje a zpracovává klientské dotazy ve formátu MDX a převádí je na dotaz pro klasickou relační DB ve formátu SQL. Obdržená data OLAP4J převede do multidimenzionální sktruktury a poskytne k dispozici klientovi. Multidimenzionální model dat je navržen nad klasickým relačním modelem. Definuje se v tzv. OLAP schématu pomocí XML a jeho tvorba a závislé principy jsou popsány v další kapitole. Klientské dotazy přijímá server pomocí REST rozhraní. Komunikace mezi klientem a serverem probíhají formou HTTP. </w:t>
      </w:r>
    </w:p>
    <w:p w:rsidR="00C44A55" w:rsidRDefault="00C44A55" w:rsidP="001C6613">
      <w:pPr>
        <w:jc w:val="both"/>
      </w:pPr>
      <w:r>
        <w:t>V klientské části jsou data formou webové aplikace prezentována pomocí tabulek a grafů. Uživatel má širokou možnost analýzy dat, která vychází s OLAP principu aplikace (viz kapitola OLAP). Na transakční data lze nahlížet z různých pohledů neboli pomocí různých dimenzí. Zvolený rozpad lze zobrazit ve formě rozklikávací hierarchie nebo s použitím součtových řádků. Všechny tabulkové výstupy lze převést i do grafické podoby. Aplikace rovněž nabízí možnost exportu zobrazovaných výstupů.</w:t>
      </w:r>
    </w:p>
    <w:p w:rsidR="00C44A55" w:rsidRDefault="00C44A55" w:rsidP="00C44A55">
      <w:pPr>
        <w:pStyle w:val="Nadpis1"/>
      </w:pPr>
      <w:bookmarkStart w:id="12" w:name="_Toc369791754"/>
      <w:bookmarkStart w:id="13" w:name="_Toc436140299"/>
      <w:r>
        <w:lastRenderedPageBreak/>
        <w:t>OLAP a multidimenzionalita</w:t>
      </w:r>
      <w:bookmarkEnd w:id="12"/>
      <w:bookmarkEnd w:id="13"/>
    </w:p>
    <w:p w:rsidR="00C44A55" w:rsidRDefault="00C44A55" w:rsidP="003170C6">
      <w:pPr>
        <w:jc w:val="both"/>
      </w:pPr>
      <w:r>
        <w:t>Multidimensionalita umožňuje rychle a jednoduše vytvářet nové pohledy na data, jejich řazení do nových souvislostí, vyhledávání zákonitostí (trendových charakteristik), indikaci odchylek klíčových ukazatelů od plánovaných hodnot, práci s historií a anticipaci budoucího vývoje. Základem je několika dimenzionální schéma umožňující rychle a pružně měnit jednotlivé dimenze, tedy měnit pohledy uživatele na modelovanou realitu. Analytická část systému Monitor je tedy založena především na využití tzv. multidimensionálního uložení dat, které uživateli umožňuje pružně realizovat různé pohledy (řezy) na data. Výhoda aplikace spočívá ve schopno</w:t>
      </w:r>
      <w:r w:rsidR="003170C6">
        <w:t>sti velmi operativně pracovat v </w:t>
      </w:r>
      <w:r>
        <w:t>nadprostorové matici s výrazně větším počtem buněk. Několika dimenzionální uložení dat je většinou realizováno na bázi metadatové nadstavby nad relačními tabulkami (viz OLAP schéma). Metadata přiřazují řádky a sloupce relačních databází je</w:t>
      </w:r>
      <w:r w:rsidR="003170C6">
        <w:t>dnotlivým dimenzím a buňkám v n </w:t>
      </w:r>
      <w:r>
        <w:t>dimenzionální tabulce. V metadatech jsou také obsažena pravidla agregace dat na jednotlivých úrovních definovaných dimenzí.</w:t>
      </w:r>
    </w:p>
    <w:p w:rsidR="00C44A55" w:rsidRPr="004D3C56" w:rsidRDefault="00C44A55" w:rsidP="00C44A55"/>
    <w:p w:rsidR="00C44A55" w:rsidRPr="00723569" w:rsidRDefault="00C44A55" w:rsidP="00C44A55">
      <w:pPr>
        <w:spacing w:after="160" w:line="259" w:lineRule="auto"/>
      </w:pPr>
      <w:r>
        <w:br w:type="page"/>
      </w:r>
    </w:p>
    <w:p w:rsidR="00C44A55" w:rsidRDefault="00C44A55" w:rsidP="00C44A55">
      <w:pPr>
        <w:pStyle w:val="Nadpis1"/>
      </w:pPr>
      <w:bookmarkStart w:id="14" w:name="_Toc369791756"/>
      <w:bookmarkStart w:id="15" w:name="_Toc436140300"/>
      <w:r>
        <w:lastRenderedPageBreak/>
        <w:t>Reporty</w:t>
      </w:r>
      <w:bookmarkEnd w:id="14"/>
      <w:bookmarkEnd w:id="15"/>
    </w:p>
    <w:p w:rsidR="00C44A55" w:rsidRDefault="00C44A55" w:rsidP="003170C6">
      <w:pPr>
        <w:jc w:val="both"/>
      </w:pPr>
      <w:r>
        <w:t>Množina dostupných reportů a jejich podoba je stanovena vyhláškami pro účetní záznamy a finanční výkazy (souhrnně výkazy). Každý report odpovídá jednomu výkazu je vybudován nad kostkou, která reflektuje vztah dimenzí a ukazatelů daného výkazu. Vyhláško</w:t>
      </w:r>
      <w:r w:rsidR="003170C6">
        <w:t>vá podoba výkazu je předlohou a </w:t>
      </w:r>
      <w:r>
        <w:t>výchozím zobrazením pro report. Uživatel má možnost analyzovat data v reportu ze všech dostupných pohledů (dimenzí), které jsou k dispozici pro daný výkaz. Následující tabulka shrnuje výkazy podle vyhlášek a odpovídající report v aplikaci.</w:t>
      </w:r>
    </w:p>
    <w:tbl>
      <w:tblPr>
        <w:tblStyle w:val="GridTable1LightAccent5"/>
        <w:tblW w:w="9420" w:type="dxa"/>
        <w:tblLook w:val="04A0" w:firstRow="1" w:lastRow="0" w:firstColumn="1" w:lastColumn="0" w:noHBand="0" w:noVBand="1"/>
      </w:tblPr>
      <w:tblGrid>
        <w:gridCol w:w="4760"/>
        <w:gridCol w:w="4660"/>
      </w:tblGrid>
      <w:tr w:rsidR="00C44A55" w:rsidRPr="00DC2C3C" w:rsidTr="002F53A1">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760" w:type="dxa"/>
            <w:hideMark/>
          </w:tcPr>
          <w:p w:rsidR="00C44A55" w:rsidRPr="00DC2C3C" w:rsidRDefault="00C44A55" w:rsidP="002F53A1">
            <w:pPr>
              <w:rPr>
                <w:rFonts w:ascii="Calibri" w:eastAsia="Times New Roman" w:hAnsi="Calibri" w:cs="Times New Roman"/>
                <w:color w:val="000000"/>
                <w:lang w:eastAsia="cs-CZ"/>
              </w:rPr>
            </w:pPr>
            <w:r>
              <w:rPr>
                <w:rFonts w:ascii="Calibri" w:eastAsia="Times New Roman" w:hAnsi="Calibri" w:cs="Times New Roman"/>
                <w:color w:val="000000"/>
                <w:lang w:eastAsia="cs-CZ"/>
              </w:rPr>
              <w:t>Vyhláškový název</w:t>
            </w:r>
          </w:p>
        </w:tc>
        <w:tc>
          <w:tcPr>
            <w:tcW w:w="4660" w:type="dxa"/>
            <w:hideMark/>
          </w:tcPr>
          <w:p w:rsidR="00C44A55" w:rsidRPr="00DC2C3C" w:rsidRDefault="00C44A55" w:rsidP="002F53A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cs-CZ"/>
              </w:rPr>
            </w:pPr>
            <w:r>
              <w:rPr>
                <w:rFonts w:ascii="Calibri" w:eastAsia="Times New Roman" w:hAnsi="Calibri" w:cs="Times New Roman"/>
                <w:color w:val="000000"/>
                <w:lang w:eastAsia="cs-CZ"/>
              </w:rPr>
              <w:t>Název reportu</w:t>
            </w:r>
          </w:p>
        </w:tc>
      </w:tr>
      <w:tr w:rsidR="00C44A55" w:rsidRPr="00DC2C3C" w:rsidTr="002F53A1">
        <w:trPr>
          <w:trHeight w:val="288"/>
        </w:trPr>
        <w:tc>
          <w:tcPr>
            <w:cnfStyle w:val="001000000000" w:firstRow="0" w:lastRow="0" w:firstColumn="1" w:lastColumn="0" w:oddVBand="0" w:evenVBand="0" w:oddHBand="0" w:evenHBand="0" w:firstRowFirstColumn="0" w:firstRowLastColumn="0" w:lastRowFirstColumn="0" w:lastRowLastColumn="0"/>
            <w:tcW w:w="4760" w:type="dxa"/>
            <w:hideMark/>
          </w:tcPr>
          <w:p w:rsidR="00C44A55" w:rsidRPr="00DC2C3C" w:rsidRDefault="00C44A55" w:rsidP="002F53A1">
            <w:pPr>
              <w:rPr>
                <w:rFonts w:ascii="Calibri" w:eastAsia="Times New Roman" w:hAnsi="Calibri" w:cs="Times New Roman"/>
                <w:color w:val="000000"/>
                <w:lang w:eastAsia="cs-CZ"/>
              </w:rPr>
            </w:pPr>
            <w:r w:rsidRPr="00DC2C3C">
              <w:rPr>
                <w:rFonts w:ascii="Calibri" w:eastAsia="Times New Roman" w:hAnsi="Calibri" w:cs="Times New Roman"/>
                <w:color w:val="000000"/>
                <w:lang w:eastAsia="cs-CZ"/>
              </w:rPr>
              <w:t>FINU I., II. Rozpočtové příjmy, výdaje a financování</w:t>
            </w:r>
          </w:p>
        </w:tc>
        <w:tc>
          <w:tcPr>
            <w:tcW w:w="4660" w:type="dxa"/>
            <w:hideMark/>
          </w:tcPr>
          <w:p w:rsidR="00C44A55" w:rsidRPr="00DC2C3C" w:rsidRDefault="00C44A55" w:rsidP="002F53A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cs-CZ"/>
              </w:rPr>
            </w:pPr>
            <w:r w:rsidRPr="00DC2C3C">
              <w:rPr>
                <w:rFonts w:ascii="Calibri" w:eastAsia="Times New Roman" w:hAnsi="Calibri" w:cs="Times New Roman"/>
                <w:color w:val="000000"/>
                <w:lang w:eastAsia="cs-CZ"/>
              </w:rPr>
              <w:t>Příjmy, výdaje a financování státu</w:t>
            </w:r>
          </w:p>
        </w:tc>
      </w:tr>
      <w:tr w:rsidR="00C44A55" w:rsidRPr="00DC2C3C" w:rsidTr="002F53A1">
        <w:trPr>
          <w:trHeight w:val="288"/>
        </w:trPr>
        <w:tc>
          <w:tcPr>
            <w:cnfStyle w:val="001000000000" w:firstRow="0" w:lastRow="0" w:firstColumn="1" w:lastColumn="0" w:oddVBand="0" w:evenVBand="0" w:oddHBand="0" w:evenHBand="0" w:firstRowFirstColumn="0" w:firstRowLastColumn="0" w:lastRowFirstColumn="0" w:lastRowLastColumn="0"/>
            <w:tcW w:w="4760" w:type="dxa"/>
            <w:hideMark/>
          </w:tcPr>
          <w:p w:rsidR="00C44A55" w:rsidRPr="00DC2C3C" w:rsidRDefault="00C44A55" w:rsidP="002F53A1">
            <w:pPr>
              <w:rPr>
                <w:rFonts w:ascii="Calibri" w:eastAsia="Times New Roman" w:hAnsi="Calibri" w:cs="Times New Roman"/>
                <w:color w:val="000000"/>
                <w:lang w:eastAsia="cs-CZ"/>
              </w:rPr>
            </w:pPr>
            <w:r w:rsidRPr="00DC2C3C">
              <w:rPr>
                <w:rFonts w:ascii="Calibri" w:eastAsia="Times New Roman" w:hAnsi="Calibri" w:cs="Times New Roman"/>
                <w:color w:val="000000"/>
                <w:lang w:eastAsia="cs-CZ"/>
              </w:rPr>
              <w:t>FINU IV. Stavy a obraty na bankovních účtech</w:t>
            </w:r>
          </w:p>
        </w:tc>
        <w:tc>
          <w:tcPr>
            <w:tcW w:w="4660" w:type="dxa"/>
            <w:hideMark/>
          </w:tcPr>
          <w:p w:rsidR="00C44A55" w:rsidRPr="00DC2C3C" w:rsidRDefault="00C44A55" w:rsidP="002F53A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cs-CZ"/>
              </w:rPr>
            </w:pPr>
            <w:r w:rsidRPr="00DC2C3C">
              <w:rPr>
                <w:rFonts w:ascii="Calibri" w:eastAsia="Times New Roman" w:hAnsi="Calibri" w:cs="Times New Roman"/>
                <w:color w:val="000000"/>
                <w:lang w:eastAsia="cs-CZ"/>
              </w:rPr>
              <w:t>Stavy a obraty na bankovních účtech státu</w:t>
            </w:r>
          </w:p>
        </w:tc>
      </w:tr>
      <w:tr w:rsidR="00C44A55" w:rsidRPr="00DC2C3C" w:rsidTr="002F53A1">
        <w:trPr>
          <w:trHeight w:val="288"/>
        </w:trPr>
        <w:tc>
          <w:tcPr>
            <w:cnfStyle w:val="001000000000" w:firstRow="0" w:lastRow="0" w:firstColumn="1" w:lastColumn="0" w:oddVBand="0" w:evenVBand="0" w:oddHBand="0" w:evenHBand="0" w:firstRowFirstColumn="0" w:firstRowLastColumn="0" w:lastRowFirstColumn="0" w:lastRowLastColumn="0"/>
            <w:tcW w:w="4760" w:type="dxa"/>
            <w:hideMark/>
          </w:tcPr>
          <w:p w:rsidR="00C44A55" w:rsidRPr="00DC2C3C" w:rsidRDefault="00C44A55" w:rsidP="002F53A1">
            <w:pPr>
              <w:rPr>
                <w:rFonts w:ascii="Calibri" w:eastAsia="Times New Roman" w:hAnsi="Calibri" w:cs="Times New Roman"/>
                <w:color w:val="000000"/>
                <w:lang w:eastAsia="cs-CZ"/>
              </w:rPr>
            </w:pPr>
            <w:r w:rsidRPr="00DC2C3C">
              <w:rPr>
                <w:rFonts w:ascii="Calibri" w:eastAsia="Times New Roman" w:hAnsi="Calibri" w:cs="Times New Roman"/>
                <w:color w:val="000000"/>
                <w:lang w:eastAsia="cs-CZ"/>
              </w:rPr>
              <w:t>FINU V. Bankovní účty fondů organizačních složek státu</w:t>
            </w:r>
          </w:p>
        </w:tc>
        <w:tc>
          <w:tcPr>
            <w:tcW w:w="4660" w:type="dxa"/>
            <w:hideMark/>
          </w:tcPr>
          <w:p w:rsidR="00C44A55" w:rsidRPr="00DC2C3C" w:rsidRDefault="00C44A55" w:rsidP="002F53A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cs-CZ"/>
              </w:rPr>
            </w:pPr>
            <w:r w:rsidRPr="00DC2C3C">
              <w:rPr>
                <w:rFonts w:ascii="Calibri" w:eastAsia="Times New Roman" w:hAnsi="Calibri" w:cs="Times New Roman"/>
                <w:color w:val="000000"/>
                <w:lang w:eastAsia="cs-CZ"/>
              </w:rPr>
              <w:t>Bankovní účty fondů státu</w:t>
            </w:r>
          </w:p>
        </w:tc>
      </w:tr>
      <w:tr w:rsidR="00C44A55" w:rsidRPr="00DC2C3C" w:rsidTr="002F53A1">
        <w:trPr>
          <w:trHeight w:val="288"/>
        </w:trPr>
        <w:tc>
          <w:tcPr>
            <w:cnfStyle w:val="001000000000" w:firstRow="0" w:lastRow="0" w:firstColumn="1" w:lastColumn="0" w:oddVBand="0" w:evenVBand="0" w:oddHBand="0" w:evenHBand="0" w:firstRowFirstColumn="0" w:firstRowLastColumn="0" w:lastRowFirstColumn="0" w:lastRowLastColumn="0"/>
            <w:tcW w:w="4760" w:type="dxa"/>
            <w:hideMark/>
          </w:tcPr>
          <w:p w:rsidR="00C44A55" w:rsidRPr="00DC2C3C" w:rsidRDefault="00C44A55" w:rsidP="002F53A1">
            <w:pPr>
              <w:rPr>
                <w:rFonts w:ascii="Calibri" w:eastAsia="Times New Roman" w:hAnsi="Calibri" w:cs="Times New Roman"/>
                <w:color w:val="000000"/>
                <w:lang w:eastAsia="cs-CZ"/>
              </w:rPr>
            </w:pPr>
            <w:r w:rsidRPr="00DC2C3C">
              <w:rPr>
                <w:rFonts w:ascii="Calibri" w:eastAsia="Times New Roman" w:hAnsi="Calibri" w:cs="Times New Roman"/>
                <w:color w:val="000000"/>
                <w:lang w:eastAsia="cs-CZ"/>
              </w:rPr>
              <w:t>FINU VI. Vybrané záznamové jednotky</w:t>
            </w:r>
          </w:p>
        </w:tc>
        <w:tc>
          <w:tcPr>
            <w:tcW w:w="4660" w:type="dxa"/>
            <w:hideMark/>
          </w:tcPr>
          <w:p w:rsidR="00C44A55" w:rsidRPr="00DC2C3C" w:rsidRDefault="00C44A55" w:rsidP="002F53A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cs-CZ"/>
              </w:rPr>
            </w:pPr>
            <w:r w:rsidRPr="00DC2C3C">
              <w:rPr>
                <w:rFonts w:ascii="Calibri" w:eastAsia="Times New Roman" w:hAnsi="Calibri" w:cs="Times New Roman"/>
                <w:color w:val="000000"/>
                <w:lang w:eastAsia="cs-CZ"/>
              </w:rPr>
              <w:t>Vybrané záznamové jednotky státu</w:t>
            </w:r>
          </w:p>
        </w:tc>
      </w:tr>
      <w:tr w:rsidR="00C44A55" w:rsidRPr="00DC2C3C" w:rsidTr="002F53A1">
        <w:trPr>
          <w:trHeight w:val="576"/>
        </w:trPr>
        <w:tc>
          <w:tcPr>
            <w:cnfStyle w:val="001000000000" w:firstRow="0" w:lastRow="0" w:firstColumn="1" w:lastColumn="0" w:oddVBand="0" w:evenVBand="0" w:oddHBand="0" w:evenHBand="0" w:firstRowFirstColumn="0" w:firstRowLastColumn="0" w:lastRowFirstColumn="0" w:lastRowLastColumn="0"/>
            <w:tcW w:w="4760" w:type="dxa"/>
            <w:hideMark/>
          </w:tcPr>
          <w:p w:rsidR="00C44A55" w:rsidRPr="00DC2C3C" w:rsidRDefault="00C44A55" w:rsidP="002F53A1">
            <w:pPr>
              <w:rPr>
                <w:rFonts w:ascii="Calibri" w:eastAsia="Times New Roman" w:hAnsi="Calibri" w:cs="Times New Roman"/>
                <w:color w:val="000000"/>
                <w:lang w:eastAsia="cs-CZ"/>
              </w:rPr>
            </w:pPr>
            <w:r w:rsidRPr="00DC2C3C">
              <w:rPr>
                <w:rFonts w:ascii="Calibri" w:eastAsia="Times New Roman" w:hAnsi="Calibri" w:cs="Times New Roman"/>
                <w:color w:val="000000"/>
                <w:lang w:eastAsia="cs-CZ"/>
              </w:rPr>
              <w:t>FINU VII. Závazné ukazatele státního rozpočtu a další analytické údaje</w:t>
            </w:r>
          </w:p>
        </w:tc>
        <w:tc>
          <w:tcPr>
            <w:tcW w:w="4660" w:type="dxa"/>
            <w:hideMark/>
          </w:tcPr>
          <w:p w:rsidR="00C44A55" w:rsidRPr="00DC2C3C" w:rsidRDefault="00C44A55" w:rsidP="002F53A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cs-CZ"/>
              </w:rPr>
            </w:pPr>
            <w:r w:rsidRPr="00DC2C3C">
              <w:rPr>
                <w:rFonts w:ascii="Calibri" w:eastAsia="Times New Roman" w:hAnsi="Calibri" w:cs="Times New Roman"/>
                <w:color w:val="000000"/>
                <w:lang w:eastAsia="cs-CZ"/>
              </w:rPr>
              <w:t>Závazné ukazatele státu</w:t>
            </w:r>
          </w:p>
        </w:tc>
      </w:tr>
      <w:tr w:rsidR="00C44A55" w:rsidRPr="00DC2C3C" w:rsidTr="002F53A1">
        <w:trPr>
          <w:trHeight w:val="288"/>
        </w:trPr>
        <w:tc>
          <w:tcPr>
            <w:cnfStyle w:val="001000000000" w:firstRow="0" w:lastRow="0" w:firstColumn="1" w:lastColumn="0" w:oddVBand="0" w:evenVBand="0" w:oddHBand="0" w:evenHBand="0" w:firstRowFirstColumn="0" w:firstRowLastColumn="0" w:lastRowFirstColumn="0" w:lastRowLastColumn="0"/>
            <w:tcW w:w="4760" w:type="dxa"/>
            <w:hideMark/>
          </w:tcPr>
          <w:p w:rsidR="00C44A55" w:rsidRPr="00DC2C3C" w:rsidRDefault="00C44A55" w:rsidP="002F53A1">
            <w:pPr>
              <w:rPr>
                <w:rFonts w:ascii="Calibri" w:eastAsia="Times New Roman" w:hAnsi="Calibri" w:cs="Times New Roman"/>
                <w:color w:val="000000"/>
                <w:lang w:eastAsia="cs-CZ"/>
              </w:rPr>
            </w:pPr>
            <w:r w:rsidRPr="00DC2C3C">
              <w:rPr>
                <w:rFonts w:ascii="Calibri" w:eastAsia="Times New Roman" w:hAnsi="Calibri" w:cs="Times New Roman"/>
                <w:color w:val="000000"/>
                <w:lang w:eastAsia="cs-CZ"/>
              </w:rPr>
              <w:t>FINU VIII. Výdaje na financování programů</w:t>
            </w:r>
          </w:p>
        </w:tc>
        <w:tc>
          <w:tcPr>
            <w:tcW w:w="4660" w:type="dxa"/>
            <w:hideMark/>
          </w:tcPr>
          <w:p w:rsidR="00C44A55" w:rsidRPr="00DC2C3C" w:rsidRDefault="00C44A55" w:rsidP="002F53A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cs-CZ"/>
              </w:rPr>
            </w:pPr>
            <w:r w:rsidRPr="00DC2C3C">
              <w:rPr>
                <w:rFonts w:ascii="Calibri" w:eastAsia="Times New Roman" w:hAnsi="Calibri" w:cs="Times New Roman"/>
                <w:color w:val="000000"/>
                <w:lang w:eastAsia="cs-CZ"/>
              </w:rPr>
              <w:t>Výdaje na financování programů státem</w:t>
            </w:r>
          </w:p>
        </w:tc>
      </w:tr>
      <w:tr w:rsidR="00C44A55" w:rsidRPr="00DC2C3C" w:rsidTr="002F53A1">
        <w:trPr>
          <w:trHeight w:val="576"/>
        </w:trPr>
        <w:tc>
          <w:tcPr>
            <w:cnfStyle w:val="001000000000" w:firstRow="0" w:lastRow="0" w:firstColumn="1" w:lastColumn="0" w:oddVBand="0" w:evenVBand="0" w:oddHBand="0" w:evenHBand="0" w:firstRowFirstColumn="0" w:firstRowLastColumn="0" w:lastRowFirstColumn="0" w:lastRowLastColumn="0"/>
            <w:tcW w:w="4760" w:type="dxa"/>
            <w:hideMark/>
          </w:tcPr>
          <w:p w:rsidR="00C44A55" w:rsidRPr="00DC2C3C" w:rsidRDefault="00C44A55" w:rsidP="002F53A1">
            <w:pPr>
              <w:rPr>
                <w:rFonts w:ascii="Calibri" w:eastAsia="Times New Roman" w:hAnsi="Calibri" w:cs="Times New Roman"/>
                <w:color w:val="000000"/>
                <w:lang w:eastAsia="cs-CZ"/>
              </w:rPr>
            </w:pPr>
            <w:r w:rsidRPr="00DC2C3C">
              <w:rPr>
                <w:rFonts w:ascii="Calibri" w:eastAsia="Times New Roman" w:hAnsi="Calibri" w:cs="Times New Roman"/>
                <w:color w:val="000000"/>
                <w:lang w:eastAsia="cs-CZ"/>
              </w:rPr>
              <w:t>FINU IX. Transfery a půjčky poskytnuté veřejným rozpočtům územní úrovně</w:t>
            </w:r>
          </w:p>
        </w:tc>
        <w:tc>
          <w:tcPr>
            <w:tcW w:w="4660" w:type="dxa"/>
            <w:hideMark/>
          </w:tcPr>
          <w:p w:rsidR="00C44A55" w:rsidRPr="00DC2C3C" w:rsidRDefault="00C44A55" w:rsidP="002F53A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cs-CZ"/>
              </w:rPr>
            </w:pPr>
            <w:r w:rsidRPr="00DC2C3C">
              <w:rPr>
                <w:rFonts w:ascii="Calibri" w:eastAsia="Times New Roman" w:hAnsi="Calibri" w:cs="Times New Roman"/>
                <w:color w:val="000000"/>
                <w:lang w:eastAsia="cs-CZ"/>
              </w:rPr>
              <w:t>Státní transfery a půjčky poskytnuté územním organizací</w:t>
            </w:r>
          </w:p>
        </w:tc>
      </w:tr>
      <w:tr w:rsidR="00C44A55" w:rsidRPr="00DC2C3C" w:rsidTr="002F53A1">
        <w:trPr>
          <w:trHeight w:val="288"/>
        </w:trPr>
        <w:tc>
          <w:tcPr>
            <w:cnfStyle w:val="001000000000" w:firstRow="0" w:lastRow="0" w:firstColumn="1" w:lastColumn="0" w:oddVBand="0" w:evenVBand="0" w:oddHBand="0" w:evenHBand="0" w:firstRowFirstColumn="0" w:firstRowLastColumn="0" w:lastRowFirstColumn="0" w:lastRowLastColumn="0"/>
            <w:tcW w:w="4760" w:type="dxa"/>
            <w:hideMark/>
          </w:tcPr>
          <w:p w:rsidR="00C44A55" w:rsidRPr="00DC2C3C" w:rsidRDefault="00C44A55" w:rsidP="002F53A1">
            <w:pPr>
              <w:rPr>
                <w:rFonts w:ascii="Calibri" w:eastAsia="Times New Roman" w:hAnsi="Calibri" w:cs="Times New Roman"/>
                <w:color w:val="000000"/>
                <w:lang w:eastAsia="cs-CZ"/>
              </w:rPr>
            </w:pPr>
            <w:r w:rsidRPr="00DC2C3C">
              <w:rPr>
                <w:rFonts w:ascii="Calibri" w:eastAsia="Times New Roman" w:hAnsi="Calibri" w:cs="Times New Roman"/>
                <w:color w:val="000000"/>
                <w:lang w:eastAsia="cs-CZ"/>
              </w:rPr>
              <w:t>FINM I., II. Rozpočtové příjmy a výdaje</w:t>
            </w:r>
          </w:p>
        </w:tc>
        <w:tc>
          <w:tcPr>
            <w:tcW w:w="4660" w:type="dxa"/>
            <w:hideMark/>
          </w:tcPr>
          <w:p w:rsidR="00C44A55" w:rsidRPr="00DC2C3C" w:rsidRDefault="00C44A55" w:rsidP="002F53A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cs-CZ"/>
              </w:rPr>
            </w:pPr>
            <w:r w:rsidRPr="00DC2C3C">
              <w:rPr>
                <w:rFonts w:ascii="Calibri" w:eastAsia="Times New Roman" w:hAnsi="Calibri" w:cs="Times New Roman"/>
                <w:color w:val="000000"/>
                <w:lang w:eastAsia="cs-CZ"/>
              </w:rPr>
              <w:t>Příjmy a výdaje územních rozpočtů</w:t>
            </w:r>
          </w:p>
        </w:tc>
      </w:tr>
      <w:tr w:rsidR="00C44A55" w:rsidRPr="00DC2C3C" w:rsidTr="002F53A1">
        <w:trPr>
          <w:trHeight w:val="288"/>
        </w:trPr>
        <w:tc>
          <w:tcPr>
            <w:cnfStyle w:val="001000000000" w:firstRow="0" w:lastRow="0" w:firstColumn="1" w:lastColumn="0" w:oddVBand="0" w:evenVBand="0" w:oddHBand="0" w:evenHBand="0" w:firstRowFirstColumn="0" w:firstRowLastColumn="0" w:lastRowFirstColumn="0" w:lastRowLastColumn="0"/>
            <w:tcW w:w="4760" w:type="dxa"/>
            <w:hideMark/>
          </w:tcPr>
          <w:p w:rsidR="00C44A55" w:rsidRPr="00DC2C3C" w:rsidRDefault="00C44A55" w:rsidP="002F53A1">
            <w:pPr>
              <w:rPr>
                <w:rFonts w:ascii="Calibri" w:eastAsia="Times New Roman" w:hAnsi="Calibri" w:cs="Times New Roman"/>
                <w:color w:val="000000"/>
                <w:lang w:eastAsia="cs-CZ"/>
              </w:rPr>
            </w:pPr>
            <w:r w:rsidRPr="00DC2C3C">
              <w:rPr>
                <w:rFonts w:ascii="Calibri" w:eastAsia="Times New Roman" w:hAnsi="Calibri" w:cs="Times New Roman"/>
                <w:color w:val="000000"/>
                <w:lang w:eastAsia="cs-CZ"/>
              </w:rPr>
              <w:t>FINM III. Financování</w:t>
            </w:r>
          </w:p>
        </w:tc>
        <w:tc>
          <w:tcPr>
            <w:tcW w:w="4660" w:type="dxa"/>
            <w:hideMark/>
          </w:tcPr>
          <w:p w:rsidR="00C44A55" w:rsidRPr="00DC2C3C" w:rsidRDefault="00C44A55" w:rsidP="002F53A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cs-CZ"/>
              </w:rPr>
            </w:pPr>
            <w:r w:rsidRPr="00DC2C3C">
              <w:rPr>
                <w:rFonts w:ascii="Calibri" w:eastAsia="Times New Roman" w:hAnsi="Calibri" w:cs="Times New Roman"/>
                <w:color w:val="000000"/>
                <w:lang w:eastAsia="cs-CZ"/>
              </w:rPr>
              <w:t>Financování územních rozpočtů</w:t>
            </w:r>
          </w:p>
        </w:tc>
      </w:tr>
      <w:tr w:rsidR="00C44A55" w:rsidRPr="00DC2C3C" w:rsidTr="002F53A1">
        <w:trPr>
          <w:trHeight w:val="576"/>
        </w:trPr>
        <w:tc>
          <w:tcPr>
            <w:cnfStyle w:val="001000000000" w:firstRow="0" w:lastRow="0" w:firstColumn="1" w:lastColumn="0" w:oddVBand="0" w:evenVBand="0" w:oddHBand="0" w:evenHBand="0" w:firstRowFirstColumn="0" w:firstRowLastColumn="0" w:lastRowFirstColumn="0" w:lastRowLastColumn="0"/>
            <w:tcW w:w="4760" w:type="dxa"/>
            <w:hideMark/>
          </w:tcPr>
          <w:p w:rsidR="00C44A55" w:rsidRPr="00DC2C3C" w:rsidRDefault="00C44A55" w:rsidP="002F53A1">
            <w:pPr>
              <w:rPr>
                <w:rFonts w:ascii="Calibri" w:eastAsia="Times New Roman" w:hAnsi="Calibri" w:cs="Times New Roman"/>
                <w:color w:val="000000"/>
                <w:lang w:eastAsia="cs-CZ"/>
              </w:rPr>
            </w:pPr>
            <w:r w:rsidRPr="00DC2C3C">
              <w:rPr>
                <w:rFonts w:ascii="Calibri" w:eastAsia="Times New Roman" w:hAnsi="Calibri" w:cs="Times New Roman"/>
                <w:color w:val="000000"/>
                <w:lang w:eastAsia="cs-CZ"/>
              </w:rPr>
              <w:t>FINM VI. Stavy a obraty na bankovních účtech</w:t>
            </w:r>
          </w:p>
        </w:tc>
        <w:tc>
          <w:tcPr>
            <w:tcW w:w="4660" w:type="dxa"/>
            <w:hideMark/>
          </w:tcPr>
          <w:p w:rsidR="00C44A55" w:rsidRPr="00DC2C3C" w:rsidRDefault="00C44A55" w:rsidP="002F53A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cs-CZ"/>
              </w:rPr>
            </w:pPr>
            <w:r w:rsidRPr="00DC2C3C">
              <w:rPr>
                <w:rFonts w:ascii="Calibri" w:eastAsia="Times New Roman" w:hAnsi="Calibri" w:cs="Times New Roman"/>
                <w:color w:val="000000"/>
                <w:lang w:eastAsia="cs-CZ"/>
              </w:rPr>
              <w:t>Stavy a obraty na bankovních účtech územních organizací</w:t>
            </w:r>
          </w:p>
        </w:tc>
      </w:tr>
      <w:tr w:rsidR="00C44A55" w:rsidRPr="00DC2C3C" w:rsidTr="002F53A1">
        <w:trPr>
          <w:trHeight w:val="288"/>
        </w:trPr>
        <w:tc>
          <w:tcPr>
            <w:cnfStyle w:val="001000000000" w:firstRow="0" w:lastRow="0" w:firstColumn="1" w:lastColumn="0" w:oddVBand="0" w:evenVBand="0" w:oddHBand="0" w:evenHBand="0" w:firstRowFirstColumn="0" w:firstRowLastColumn="0" w:lastRowFirstColumn="0" w:lastRowLastColumn="0"/>
            <w:tcW w:w="4760" w:type="dxa"/>
            <w:hideMark/>
          </w:tcPr>
          <w:p w:rsidR="00C44A55" w:rsidRPr="00DC2C3C" w:rsidRDefault="00C44A55" w:rsidP="002F53A1">
            <w:pPr>
              <w:rPr>
                <w:rFonts w:ascii="Calibri" w:eastAsia="Times New Roman" w:hAnsi="Calibri" w:cs="Times New Roman"/>
                <w:color w:val="000000"/>
                <w:lang w:eastAsia="cs-CZ"/>
              </w:rPr>
            </w:pPr>
            <w:r w:rsidRPr="00DC2C3C">
              <w:rPr>
                <w:rFonts w:ascii="Calibri" w:eastAsia="Times New Roman" w:hAnsi="Calibri" w:cs="Times New Roman"/>
                <w:color w:val="000000"/>
                <w:lang w:eastAsia="cs-CZ"/>
              </w:rPr>
              <w:t>FINM VII. Vybrané záznamové jednotky</w:t>
            </w:r>
          </w:p>
        </w:tc>
        <w:tc>
          <w:tcPr>
            <w:tcW w:w="4660" w:type="dxa"/>
            <w:hideMark/>
          </w:tcPr>
          <w:p w:rsidR="00C44A55" w:rsidRPr="00DC2C3C" w:rsidRDefault="00C44A55" w:rsidP="002F53A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cs-CZ"/>
              </w:rPr>
            </w:pPr>
            <w:r w:rsidRPr="00DC2C3C">
              <w:rPr>
                <w:rFonts w:ascii="Calibri" w:eastAsia="Times New Roman" w:hAnsi="Calibri" w:cs="Times New Roman"/>
                <w:color w:val="000000"/>
                <w:lang w:eastAsia="cs-CZ"/>
              </w:rPr>
              <w:t>Vybrané záznamové jednotky územních organizací</w:t>
            </w:r>
          </w:p>
        </w:tc>
      </w:tr>
      <w:tr w:rsidR="00C44A55" w:rsidRPr="00DC2C3C" w:rsidTr="002F53A1">
        <w:trPr>
          <w:trHeight w:val="576"/>
        </w:trPr>
        <w:tc>
          <w:tcPr>
            <w:cnfStyle w:val="001000000000" w:firstRow="0" w:lastRow="0" w:firstColumn="1" w:lastColumn="0" w:oddVBand="0" w:evenVBand="0" w:oddHBand="0" w:evenHBand="0" w:firstRowFirstColumn="0" w:firstRowLastColumn="0" w:lastRowFirstColumn="0" w:lastRowLastColumn="0"/>
            <w:tcW w:w="4760" w:type="dxa"/>
            <w:hideMark/>
          </w:tcPr>
          <w:p w:rsidR="00C44A55" w:rsidRPr="00DC2C3C" w:rsidRDefault="00C44A55" w:rsidP="002F53A1">
            <w:pPr>
              <w:rPr>
                <w:rFonts w:ascii="Calibri" w:eastAsia="Times New Roman" w:hAnsi="Calibri" w:cs="Times New Roman"/>
                <w:color w:val="000000"/>
                <w:lang w:eastAsia="cs-CZ"/>
              </w:rPr>
            </w:pPr>
            <w:r w:rsidRPr="00DC2C3C">
              <w:rPr>
                <w:rFonts w:ascii="Calibri" w:eastAsia="Times New Roman" w:hAnsi="Calibri" w:cs="Times New Roman"/>
                <w:color w:val="000000"/>
                <w:lang w:eastAsia="cs-CZ"/>
              </w:rPr>
              <w:t>FINM IX. Přijaté transfery a půjčky ze státního rozpočtu, státních fondů a regionálních rad</w:t>
            </w:r>
          </w:p>
        </w:tc>
        <w:tc>
          <w:tcPr>
            <w:tcW w:w="4660" w:type="dxa"/>
            <w:hideMark/>
          </w:tcPr>
          <w:p w:rsidR="00C44A55" w:rsidRPr="00DC2C3C" w:rsidRDefault="00C44A55" w:rsidP="002F53A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cs-CZ"/>
              </w:rPr>
            </w:pPr>
            <w:r w:rsidRPr="00DC2C3C">
              <w:rPr>
                <w:rFonts w:ascii="Calibri" w:eastAsia="Times New Roman" w:hAnsi="Calibri" w:cs="Times New Roman"/>
                <w:color w:val="000000"/>
                <w:lang w:eastAsia="cs-CZ"/>
              </w:rPr>
              <w:t>Transfery a půjčky od státu a regionálních rad přijaté územními organizacemi</w:t>
            </w:r>
          </w:p>
        </w:tc>
      </w:tr>
      <w:tr w:rsidR="00C44A55" w:rsidRPr="00DC2C3C" w:rsidTr="002F53A1">
        <w:trPr>
          <w:trHeight w:val="288"/>
        </w:trPr>
        <w:tc>
          <w:tcPr>
            <w:cnfStyle w:val="001000000000" w:firstRow="0" w:lastRow="0" w:firstColumn="1" w:lastColumn="0" w:oddVBand="0" w:evenVBand="0" w:oddHBand="0" w:evenHBand="0" w:firstRowFirstColumn="0" w:firstRowLastColumn="0" w:lastRowFirstColumn="0" w:lastRowLastColumn="0"/>
            <w:tcW w:w="4760" w:type="dxa"/>
            <w:hideMark/>
          </w:tcPr>
          <w:p w:rsidR="00C44A55" w:rsidRPr="00DC2C3C" w:rsidRDefault="00C44A55" w:rsidP="002F53A1">
            <w:pPr>
              <w:rPr>
                <w:rFonts w:ascii="Calibri" w:eastAsia="Times New Roman" w:hAnsi="Calibri" w:cs="Times New Roman"/>
                <w:color w:val="000000"/>
                <w:lang w:eastAsia="cs-CZ"/>
              </w:rPr>
            </w:pPr>
            <w:r w:rsidRPr="00DC2C3C">
              <w:rPr>
                <w:rFonts w:ascii="Calibri" w:eastAsia="Times New Roman" w:hAnsi="Calibri" w:cs="Times New Roman"/>
                <w:color w:val="000000"/>
                <w:lang w:eastAsia="cs-CZ"/>
              </w:rPr>
              <w:t>Rozvaha</w:t>
            </w:r>
          </w:p>
        </w:tc>
        <w:tc>
          <w:tcPr>
            <w:tcW w:w="4660" w:type="dxa"/>
            <w:hideMark/>
          </w:tcPr>
          <w:p w:rsidR="00C44A55" w:rsidRPr="00DC2C3C" w:rsidRDefault="00C44A55" w:rsidP="002F53A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cs-CZ"/>
              </w:rPr>
            </w:pPr>
            <w:r w:rsidRPr="00DC2C3C">
              <w:rPr>
                <w:rFonts w:ascii="Calibri" w:eastAsia="Times New Roman" w:hAnsi="Calibri" w:cs="Times New Roman"/>
                <w:color w:val="000000"/>
                <w:lang w:eastAsia="cs-CZ"/>
              </w:rPr>
              <w:t>Rozvaha</w:t>
            </w:r>
          </w:p>
        </w:tc>
      </w:tr>
      <w:tr w:rsidR="00C44A55" w:rsidRPr="00DC2C3C" w:rsidTr="002F53A1">
        <w:trPr>
          <w:trHeight w:val="288"/>
        </w:trPr>
        <w:tc>
          <w:tcPr>
            <w:cnfStyle w:val="001000000000" w:firstRow="0" w:lastRow="0" w:firstColumn="1" w:lastColumn="0" w:oddVBand="0" w:evenVBand="0" w:oddHBand="0" w:evenHBand="0" w:firstRowFirstColumn="0" w:firstRowLastColumn="0" w:lastRowFirstColumn="0" w:lastRowLastColumn="0"/>
            <w:tcW w:w="4760" w:type="dxa"/>
            <w:hideMark/>
          </w:tcPr>
          <w:p w:rsidR="00C44A55" w:rsidRPr="00DC2C3C" w:rsidRDefault="00C44A55" w:rsidP="002F53A1">
            <w:pPr>
              <w:rPr>
                <w:rFonts w:ascii="Calibri" w:eastAsia="Times New Roman" w:hAnsi="Calibri" w:cs="Times New Roman"/>
                <w:color w:val="000000"/>
                <w:lang w:eastAsia="cs-CZ"/>
              </w:rPr>
            </w:pPr>
            <w:r w:rsidRPr="00DC2C3C">
              <w:rPr>
                <w:rFonts w:ascii="Calibri" w:eastAsia="Times New Roman" w:hAnsi="Calibri" w:cs="Times New Roman"/>
                <w:color w:val="000000"/>
                <w:lang w:eastAsia="cs-CZ"/>
              </w:rPr>
              <w:t>Výkaz zisku a ztráty</w:t>
            </w:r>
          </w:p>
        </w:tc>
        <w:tc>
          <w:tcPr>
            <w:tcW w:w="4660" w:type="dxa"/>
            <w:hideMark/>
          </w:tcPr>
          <w:p w:rsidR="00C44A55" w:rsidRPr="00DC2C3C" w:rsidRDefault="00C44A55" w:rsidP="002F53A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cs-CZ"/>
              </w:rPr>
            </w:pPr>
            <w:r w:rsidRPr="00DC2C3C">
              <w:rPr>
                <w:rFonts w:ascii="Calibri" w:eastAsia="Times New Roman" w:hAnsi="Calibri" w:cs="Times New Roman"/>
                <w:color w:val="000000"/>
                <w:lang w:eastAsia="cs-CZ"/>
              </w:rPr>
              <w:t>Výkaz zisku a ztráty</w:t>
            </w:r>
          </w:p>
        </w:tc>
      </w:tr>
      <w:tr w:rsidR="00C44A55" w:rsidRPr="00DC2C3C" w:rsidTr="002F53A1">
        <w:trPr>
          <w:trHeight w:val="288"/>
        </w:trPr>
        <w:tc>
          <w:tcPr>
            <w:cnfStyle w:val="001000000000" w:firstRow="0" w:lastRow="0" w:firstColumn="1" w:lastColumn="0" w:oddVBand="0" w:evenVBand="0" w:oddHBand="0" w:evenHBand="0" w:firstRowFirstColumn="0" w:firstRowLastColumn="0" w:lastRowFirstColumn="0" w:lastRowLastColumn="0"/>
            <w:tcW w:w="4760" w:type="dxa"/>
            <w:hideMark/>
          </w:tcPr>
          <w:p w:rsidR="00C44A55" w:rsidRPr="00DC2C3C" w:rsidRDefault="00C44A55" w:rsidP="002F53A1">
            <w:pPr>
              <w:rPr>
                <w:rFonts w:ascii="Calibri" w:eastAsia="Times New Roman" w:hAnsi="Calibri" w:cs="Times New Roman"/>
                <w:color w:val="000000"/>
                <w:lang w:eastAsia="cs-CZ"/>
              </w:rPr>
            </w:pPr>
            <w:r w:rsidRPr="00DC2C3C">
              <w:rPr>
                <w:rFonts w:ascii="Calibri" w:eastAsia="Times New Roman" w:hAnsi="Calibri" w:cs="Times New Roman"/>
                <w:color w:val="000000"/>
                <w:lang w:eastAsia="cs-CZ"/>
              </w:rPr>
              <w:t>Přehled o peněžních tocích</w:t>
            </w:r>
          </w:p>
        </w:tc>
        <w:tc>
          <w:tcPr>
            <w:tcW w:w="4660" w:type="dxa"/>
            <w:hideMark/>
          </w:tcPr>
          <w:p w:rsidR="00C44A55" w:rsidRPr="00DC2C3C" w:rsidRDefault="00C44A55" w:rsidP="002F53A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cs-CZ"/>
              </w:rPr>
            </w:pPr>
            <w:r w:rsidRPr="00DC2C3C">
              <w:rPr>
                <w:rFonts w:ascii="Calibri" w:eastAsia="Times New Roman" w:hAnsi="Calibri" w:cs="Times New Roman"/>
                <w:color w:val="000000"/>
                <w:lang w:eastAsia="cs-CZ"/>
              </w:rPr>
              <w:t>Přehled o peněžních tocích</w:t>
            </w:r>
          </w:p>
        </w:tc>
      </w:tr>
      <w:tr w:rsidR="00C44A55" w:rsidRPr="00DC2C3C" w:rsidTr="002F53A1">
        <w:trPr>
          <w:trHeight w:val="288"/>
        </w:trPr>
        <w:tc>
          <w:tcPr>
            <w:cnfStyle w:val="001000000000" w:firstRow="0" w:lastRow="0" w:firstColumn="1" w:lastColumn="0" w:oddVBand="0" w:evenVBand="0" w:oddHBand="0" w:evenHBand="0" w:firstRowFirstColumn="0" w:firstRowLastColumn="0" w:lastRowFirstColumn="0" w:lastRowLastColumn="0"/>
            <w:tcW w:w="4760" w:type="dxa"/>
            <w:hideMark/>
          </w:tcPr>
          <w:p w:rsidR="00C44A55" w:rsidRPr="00DC2C3C" w:rsidRDefault="00C44A55" w:rsidP="002F53A1">
            <w:pPr>
              <w:rPr>
                <w:rFonts w:ascii="Calibri" w:eastAsia="Times New Roman" w:hAnsi="Calibri" w:cs="Times New Roman"/>
                <w:color w:val="000000"/>
                <w:lang w:eastAsia="cs-CZ"/>
              </w:rPr>
            </w:pPr>
            <w:r w:rsidRPr="00DC2C3C">
              <w:rPr>
                <w:rFonts w:ascii="Calibri" w:eastAsia="Times New Roman" w:hAnsi="Calibri" w:cs="Times New Roman"/>
                <w:color w:val="000000"/>
                <w:lang w:eastAsia="cs-CZ"/>
              </w:rPr>
              <w:t>Přehled o změnách vlastního kapitálu</w:t>
            </w:r>
          </w:p>
        </w:tc>
        <w:tc>
          <w:tcPr>
            <w:tcW w:w="4660" w:type="dxa"/>
            <w:hideMark/>
          </w:tcPr>
          <w:p w:rsidR="00C44A55" w:rsidRPr="00DC2C3C" w:rsidRDefault="00C44A55" w:rsidP="002F53A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cs-CZ"/>
              </w:rPr>
            </w:pPr>
            <w:r w:rsidRPr="00DC2C3C">
              <w:rPr>
                <w:rFonts w:ascii="Calibri" w:eastAsia="Times New Roman" w:hAnsi="Calibri" w:cs="Times New Roman"/>
                <w:color w:val="000000"/>
                <w:lang w:eastAsia="cs-CZ"/>
              </w:rPr>
              <w:t>Přehled o změnách vlastního kapitálu</w:t>
            </w:r>
          </w:p>
        </w:tc>
      </w:tr>
    </w:tbl>
    <w:p w:rsidR="00C44A55" w:rsidRDefault="00C44A55" w:rsidP="00C44A55">
      <w:pPr>
        <w:rPr>
          <w:rFonts w:asciiTheme="majorHAnsi" w:eastAsiaTheme="majorEastAsia" w:hAnsiTheme="majorHAnsi" w:cstheme="majorBidi"/>
          <w:sz w:val="28"/>
          <w:szCs w:val="28"/>
        </w:rPr>
      </w:pPr>
    </w:p>
    <w:p w:rsidR="00C44A55" w:rsidRDefault="00C44A55" w:rsidP="003170C6">
      <w:pPr>
        <w:spacing w:after="160" w:line="259" w:lineRule="auto"/>
        <w:jc w:val="both"/>
      </w:pPr>
      <w:r>
        <w:t>Každý report se rovněž uchovává ve formátu XML, definuje v sobě základní rozlož</w:t>
      </w:r>
      <w:r w:rsidR="003170C6">
        <w:t>ení os, a vyfiltrované hodnoty.</w:t>
      </w:r>
    </w:p>
    <w:p w:rsidR="00C44A55" w:rsidRDefault="00C44A55" w:rsidP="00C44A55">
      <w:pPr>
        <w:spacing w:after="160" w:line="259" w:lineRule="auto"/>
      </w:pPr>
    </w:p>
    <w:p w:rsidR="00C44A55" w:rsidRDefault="00C44A55" w:rsidP="00C44A55">
      <w:pPr>
        <w:pStyle w:val="Nadpis1"/>
      </w:pPr>
      <w:bookmarkStart w:id="16" w:name="_Toc369791757"/>
      <w:bookmarkStart w:id="17" w:name="_Toc436140301"/>
      <w:r>
        <w:lastRenderedPageBreak/>
        <w:t>Webové služby</w:t>
      </w:r>
      <w:bookmarkEnd w:id="16"/>
      <w:bookmarkEnd w:id="17"/>
    </w:p>
    <w:p w:rsidR="00C44A55" w:rsidRDefault="00C44A55" w:rsidP="003170C6">
      <w:pPr>
        <w:spacing w:before="200"/>
        <w:jc w:val="both"/>
      </w:pPr>
      <w:r>
        <w:t>Webové služby portálu Monitor slouží k extrakci dat výkazů jednotlivých účetních jednotek. Ke komunikaci mezi klientem a serverem je použit SOAP protokol. Jedním požadavkem lze stáhnout data jednoho výkazu pro jednu účetní jednotku za jeden rok. Struktura požadavku a odpovědí (výkazů) je popsána v XSD schématech. Pro chybová hlášení je použit standartní SOAP Fault.</w:t>
      </w:r>
    </w:p>
    <w:p w:rsidR="00480A40" w:rsidRDefault="00480A40" w:rsidP="00C44A55">
      <w:pPr>
        <w:spacing w:before="200"/>
      </w:pPr>
    </w:p>
    <w:p w:rsidR="00480A40" w:rsidRDefault="00480A40" w:rsidP="00424E3D">
      <w:pPr>
        <w:pStyle w:val="Nadpis1"/>
      </w:pPr>
      <w:bookmarkStart w:id="18" w:name="_Toc436140302"/>
      <w:r w:rsidRPr="00480A40">
        <w:lastRenderedPageBreak/>
        <w:t>Seznam existujících nástrojů MONITOR</w:t>
      </w:r>
      <w:bookmarkEnd w:id="18"/>
    </w:p>
    <w:p w:rsidR="007A45D9" w:rsidRDefault="007A45D9" w:rsidP="007A45D9"/>
    <w:p w:rsidR="007A45D9" w:rsidRDefault="007A45D9" w:rsidP="00735D57">
      <w:pPr>
        <w:pStyle w:val="Odstavecseseznamem"/>
        <w:numPr>
          <w:ilvl w:val="0"/>
          <w:numId w:val="31"/>
        </w:numPr>
        <w:spacing w:after="0"/>
      </w:pPr>
      <w:r>
        <w:t>MS Windows Server</w:t>
      </w:r>
    </w:p>
    <w:p w:rsidR="007A45D9" w:rsidRDefault="00735D57" w:rsidP="00735D57">
      <w:pPr>
        <w:numPr>
          <w:ilvl w:val="0"/>
          <w:numId w:val="31"/>
        </w:numPr>
        <w:tabs>
          <w:tab w:val="left" w:pos="1701"/>
        </w:tabs>
        <w:autoSpaceDE w:val="0"/>
        <w:autoSpaceDN w:val="0"/>
        <w:adjustRightInd w:val="0"/>
        <w:spacing w:after="0" w:line="240" w:lineRule="auto"/>
        <w:jc w:val="both"/>
      </w:pPr>
      <w:r>
        <w:t>PostgreSQL, Apache</w:t>
      </w:r>
    </w:p>
    <w:p w:rsidR="007A45D9" w:rsidRDefault="007A45D9" w:rsidP="007A45D9">
      <w:pPr>
        <w:pStyle w:val="Odstavecseseznamem"/>
        <w:numPr>
          <w:ilvl w:val="0"/>
          <w:numId w:val="31"/>
        </w:numPr>
      </w:pPr>
      <w:r w:rsidRPr="005604AB">
        <w:t>Mod Security</w:t>
      </w:r>
    </w:p>
    <w:p w:rsidR="007A45D9" w:rsidRDefault="007A45D9" w:rsidP="007A45D9">
      <w:pPr>
        <w:pStyle w:val="Odstavecseseznamem"/>
        <w:numPr>
          <w:ilvl w:val="0"/>
          <w:numId w:val="31"/>
        </w:numPr>
      </w:pPr>
      <w:r>
        <w:t>Java</w:t>
      </w:r>
    </w:p>
    <w:p w:rsidR="007A45D9" w:rsidRDefault="00735D57" w:rsidP="007A45D9">
      <w:pPr>
        <w:pStyle w:val="Odstavecseseznamem"/>
        <w:numPr>
          <w:ilvl w:val="0"/>
          <w:numId w:val="31"/>
        </w:numPr>
      </w:pPr>
      <w:r>
        <w:t>PHP</w:t>
      </w:r>
    </w:p>
    <w:p w:rsidR="00735D57" w:rsidRDefault="00735D57" w:rsidP="00735D57">
      <w:pPr>
        <w:pStyle w:val="Odstavecseseznamem"/>
        <w:numPr>
          <w:ilvl w:val="0"/>
          <w:numId w:val="31"/>
        </w:numPr>
        <w:spacing w:after="0"/>
      </w:pPr>
      <w:r w:rsidRPr="005604AB">
        <w:t>Java Script (Jquery)</w:t>
      </w:r>
    </w:p>
    <w:p w:rsidR="00735D57" w:rsidRDefault="00735D57" w:rsidP="00735D57">
      <w:pPr>
        <w:numPr>
          <w:ilvl w:val="0"/>
          <w:numId w:val="31"/>
        </w:numPr>
        <w:tabs>
          <w:tab w:val="left" w:pos="1701"/>
        </w:tabs>
        <w:autoSpaceDE w:val="0"/>
        <w:autoSpaceDN w:val="0"/>
        <w:adjustRightInd w:val="0"/>
        <w:spacing w:after="0" w:line="240" w:lineRule="auto"/>
        <w:jc w:val="both"/>
      </w:pPr>
      <w:r w:rsidRPr="00162818">
        <w:t>Grafick</w:t>
      </w:r>
      <w:r>
        <w:t>á</w:t>
      </w:r>
      <w:r w:rsidRPr="00162818">
        <w:t xml:space="preserve"> knihovn</w:t>
      </w:r>
      <w:r>
        <w:t>a HighCharts</w:t>
      </w:r>
    </w:p>
    <w:p w:rsidR="00735D57" w:rsidRDefault="00735D57" w:rsidP="007A45D9">
      <w:pPr>
        <w:pStyle w:val="Odstavecseseznamem"/>
        <w:numPr>
          <w:ilvl w:val="0"/>
          <w:numId w:val="31"/>
        </w:numPr>
      </w:pPr>
      <w:r w:rsidRPr="00162818">
        <w:t>Nette Framework</w:t>
      </w:r>
    </w:p>
    <w:p w:rsidR="00735D57" w:rsidRDefault="00735D57" w:rsidP="007A45D9">
      <w:pPr>
        <w:pStyle w:val="Odstavecseseznamem"/>
        <w:numPr>
          <w:ilvl w:val="0"/>
          <w:numId w:val="31"/>
        </w:numPr>
      </w:pPr>
      <w:r>
        <w:t>Talend Open Studio</w:t>
      </w:r>
    </w:p>
    <w:p w:rsidR="00735D57" w:rsidRDefault="00735D57" w:rsidP="007A45D9">
      <w:pPr>
        <w:pStyle w:val="Odstavecseseznamem"/>
        <w:numPr>
          <w:ilvl w:val="0"/>
          <w:numId w:val="31"/>
        </w:numPr>
      </w:pPr>
      <w:r w:rsidRPr="005604AB">
        <w:t>Mondrian</w:t>
      </w:r>
    </w:p>
    <w:p w:rsidR="00735D57" w:rsidRPr="007A45D9" w:rsidRDefault="00735D57" w:rsidP="007A45D9">
      <w:pPr>
        <w:pStyle w:val="Odstavecseseznamem"/>
        <w:numPr>
          <w:ilvl w:val="0"/>
          <w:numId w:val="31"/>
        </w:numPr>
      </w:pPr>
      <w:r>
        <w:t>Saiko</w:t>
      </w:r>
    </w:p>
    <w:sectPr w:rsidR="00735D57" w:rsidRPr="007A45D9" w:rsidSect="00F85C7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CCD" w:rsidRDefault="00086CCD" w:rsidP="00F12F3E">
      <w:pPr>
        <w:spacing w:after="0" w:line="240" w:lineRule="auto"/>
      </w:pPr>
      <w:r>
        <w:separator/>
      </w:r>
    </w:p>
  </w:endnote>
  <w:endnote w:type="continuationSeparator" w:id="0">
    <w:p w:rsidR="00086CCD" w:rsidRDefault="00086CCD" w:rsidP="00F12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ommet">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85126"/>
      <w:docPartObj>
        <w:docPartGallery w:val="Page Numbers (Bottom of Page)"/>
        <w:docPartUnique/>
      </w:docPartObj>
    </w:sdtPr>
    <w:sdtEndPr/>
    <w:sdtContent>
      <w:p w:rsidR="002F53A1" w:rsidRDefault="002F53A1">
        <w:pPr>
          <w:pStyle w:val="Zpat"/>
          <w:jc w:val="center"/>
        </w:pPr>
        <w:r>
          <w:fldChar w:fldCharType="begin"/>
        </w:r>
        <w:r>
          <w:instrText>PAGE   \* MERGEFORMAT</w:instrText>
        </w:r>
        <w:r>
          <w:fldChar w:fldCharType="separate"/>
        </w:r>
        <w:r w:rsidR="00243076">
          <w:rPr>
            <w:noProof/>
          </w:rPr>
          <w:t>14</w:t>
        </w:r>
        <w:r>
          <w:fldChar w:fldCharType="end"/>
        </w:r>
      </w:p>
    </w:sdtContent>
  </w:sdt>
  <w:p w:rsidR="002F53A1" w:rsidRDefault="002F53A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CCD" w:rsidRDefault="00086CCD" w:rsidP="00F12F3E">
      <w:pPr>
        <w:spacing w:after="0" w:line="240" w:lineRule="auto"/>
      </w:pPr>
      <w:r>
        <w:separator/>
      </w:r>
    </w:p>
  </w:footnote>
  <w:footnote w:type="continuationSeparator" w:id="0">
    <w:p w:rsidR="00086CCD" w:rsidRDefault="00086CCD" w:rsidP="00F12F3E">
      <w:pPr>
        <w:spacing w:after="0" w:line="240" w:lineRule="auto"/>
      </w:pPr>
      <w:r>
        <w:continuationSeparator/>
      </w:r>
    </w:p>
  </w:footnote>
  <w:footnote w:id="1">
    <w:p w:rsidR="002F53A1" w:rsidRPr="00FC2E7D" w:rsidRDefault="002F53A1" w:rsidP="00C86289">
      <w:pPr>
        <w:pStyle w:val="Textpoznpodarou"/>
        <w:rPr>
          <w:sz w:val="20"/>
          <w:szCs w:val="20"/>
          <w:lang w:val="cs-CZ"/>
        </w:rPr>
      </w:pPr>
      <w:r w:rsidRPr="00FC2E7D">
        <w:rPr>
          <w:rStyle w:val="Znakapoznpodarou"/>
          <w:sz w:val="20"/>
          <w:szCs w:val="20"/>
        </w:rPr>
        <w:footnoteRef/>
      </w:r>
      <w:r w:rsidRPr="00FC2E7D">
        <w:rPr>
          <w:sz w:val="20"/>
          <w:szCs w:val="20"/>
          <w:lang w:val="cs-CZ"/>
        </w:rPr>
        <w:t>FIN 2-04 U Výkaz pro hodnocení plnění rozpočtu správců kapitol, jimi řízených organizačních složek státu a státních fondů</w:t>
      </w:r>
    </w:p>
    <w:p w:rsidR="002F53A1" w:rsidRPr="00FC2E7D" w:rsidRDefault="002F53A1" w:rsidP="00C86289">
      <w:pPr>
        <w:pStyle w:val="Textpoznpodarou"/>
        <w:rPr>
          <w:sz w:val="20"/>
          <w:szCs w:val="20"/>
          <w:lang w:val="cs-CZ"/>
        </w:rPr>
      </w:pPr>
      <w:r w:rsidRPr="00FC2E7D">
        <w:rPr>
          <w:sz w:val="20"/>
          <w:szCs w:val="20"/>
          <w:lang w:val="cs-CZ"/>
        </w:rPr>
        <w:t xml:space="preserve"> FIN 2-12 M Výkaz pro hodnocení plnění rozpočtu územních samosprávných celků, dobrovolných svazků obcí a regionálních rad</w:t>
      </w:r>
    </w:p>
    <w:p w:rsidR="002F53A1" w:rsidRPr="00FC2E7D" w:rsidRDefault="002F53A1" w:rsidP="00C86289">
      <w:pPr>
        <w:pStyle w:val="Textpoznpodarou"/>
        <w:rPr>
          <w:lang w:val="cs-CZ"/>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E66" w:rsidRDefault="00137E66" w:rsidP="00137E66">
    <w:pPr>
      <w:pStyle w:val="Zhlav"/>
      <w:jc w:val="right"/>
    </w:pPr>
    <w:r>
      <w:t>PŘÍLOHA Č. 5 SMLOUVY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55D7"/>
    <w:multiLevelType w:val="hybridMultilevel"/>
    <w:tmpl w:val="C996F4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FF3058C"/>
    <w:multiLevelType w:val="hybridMultilevel"/>
    <w:tmpl w:val="FED6ED1E"/>
    <w:lvl w:ilvl="0" w:tplc="106A198A">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0DA3EB7"/>
    <w:multiLevelType w:val="hybridMultilevel"/>
    <w:tmpl w:val="6B7C0D8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557270"/>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
    <w:nsid w:val="2B4C4F7E"/>
    <w:multiLevelType w:val="hybridMultilevel"/>
    <w:tmpl w:val="F1E21DFE"/>
    <w:lvl w:ilvl="0" w:tplc="06BCBA2C">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BAF08B7"/>
    <w:multiLevelType w:val="hybridMultilevel"/>
    <w:tmpl w:val="ED6CF73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C9D4636"/>
    <w:multiLevelType w:val="hybridMultilevel"/>
    <w:tmpl w:val="7E40EE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05325CB"/>
    <w:multiLevelType w:val="hybridMultilevel"/>
    <w:tmpl w:val="3586A9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1B47FE0"/>
    <w:multiLevelType w:val="hybridMultilevel"/>
    <w:tmpl w:val="247AA5C8"/>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2B74E63"/>
    <w:multiLevelType w:val="hybridMultilevel"/>
    <w:tmpl w:val="D24412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3CF4DFC"/>
    <w:multiLevelType w:val="hybridMultilevel"/>
    <w:tmpl w:val="B9685C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4845BE6"/>
    <w:multiLevelType w:val="hybridMultilevel"/>
    <w:tmpl w:val="9D5447A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6C6796F"/>
    <w:multiLevelType w:val="hybridMultilevel"/>
    <w:tmpl w:val="DDFEE1C2"/>
    <w:lvl w:ilvl="0" w:tplc="106A198A">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8264696"/>
    <w:multiLevelType w:val="hybridMultilevel"/>
    <w:tmpl w:val="36DE444C"/>
    <w:lvl w:ilvl="0" w:tplc="106A198A">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A300BFE"/>
    <w:multiLevelType w:val="hybridMultilevel"/>
    <w:tmpl w:val="1EDC58F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A4E7C98"/>
    <w:multiLevelType w:val="hybridMultilevel"/>
    <w:tmpl w:val="713684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BA620E2"/>
    <w:multiLevelType w:val="hybridMultilevel"/>
    <w:tmpl w:val="6D141A2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F0C7196"/>
    <w:multiLevelType w:val="hybridMultilevel"/>
    <w:tmpl w:val="D06069F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8B21079"/>
    <w:multiLevelType w:val="hybridMultilevel"/>
    <w:tmpl w:val="30FCB8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D3D5BE9"/>
    <w:multiLevelType w:val="hybridMultilevel"/>
    <w:tmpl w:val="6DA255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1BC6B14"/>
    <w:multiLevelType w:val="hybridMultilevel"/>
    <w:tmpl w:val="7C16F5AE"/>
    <w:lvl w:ilvl="0" w:tplc="106A198A">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95727FA"/>
    <w:multiLevelType w:val="hybridMultilevel"/>
    <w:tmpl w:val="D2D6F2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DFE1598"/>
    <w:multiLevelType w:val="multilevel"/>
    <w:tmpl w:val="06007D90"/>
    <w:lvl w:ilvl="0">
      <w:start w:val="1"/>
      <w:numFmt w:val="decimal"/>
      <w:pStyle w:val="Nadpis1"/>
      <w:lvlText w:val="%1"/>
      <w:lvlJc w:val="left"/>
      <w:pPr>
        <w:ind w:left="360" w:hanging="360"/>
      </w:pPr>
      <w:rPr>
        <w:rFonts w:hint="default"/>
      </w:rPr>
    </w:lvl>
    <w:lvl w:ilvl="1">
      <w:start w:val="1"/>
      <w:numFmt w:val="decimal"/>
      <w:pStyle w:val="Nadpis2"/>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52D2FF2"/>
    <w:multiLevelType w:val="hybridMultilevel"/>
    <w:tmpl w:val="836652DA"/>
    <w:lvl w:ilvl="0" w:tplc="632E5DDE">
      <w:numFmt w:val="bullet"/>
      <w:lvlText w:val="-"/>
      <w:lvlJc w:val="left"/>
      <w:pPr>
        <w:ind w:left="408"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F960AC5"/>
    <w:multiLevelType w:val="hybridMultilevel"/>
    <w:tmpl w:val="2E62EC4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nsid w:val="70E141BF"/>
    <w:multiLevelType w:val="hybridMultilevel"/>
    <w:tmpl w:val="FA344A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E3A4AE5"/>
    <w:multiLevelType w:val="hybridMultilevel"/>
    <w:tmpl w:val="80525D6E"/>
    <w:lvl w:ilvl="0" w:tplc="646ABD7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4"/>
  </w:num>
  <w:num w:numId="4">
    <w:abstractNumId w:val="13"/>
  </w:num>
  <w:num w:numId="5">
    <w:abstractNumId w:val="20"/>
  </w:num>
  <w:num w:numId="6">
    <w:abstractNumId w:val="1"/>
  </w:num>
  <w:num w:numId="7">
    <w:abstractNumId w:val="3"/>
  </w:num>
  <w:num w:numId="8">
    <w:abstractNumId w:val="12"/>
  </w:num>
  <w:num w:numId="9">
    <w:abstractNumId w:val="8"/>
  </w:num>
  <w:num w:numId="10">
    <w:abstractNumId w:val="18"/>
  </w:num>
  <w:num w:numId="11">
    <w:abstractNumId w:val="10"/>
  </w:num>
  <w:num w:numId="12">
    <w:abstractNumId w:val="16"/>
  </w:num>
  <w:num w:numId="13">
    <w:abstractNumId w:val="15"/>
  </w:num>
  <w:num w:numId="14">
    <w:abstractNumId w:val="4"/>
  </w:num>
  <w:num w:numId="15">
    <w:abstractNumId w:val="25"/>
  </w:num>
  <w:num w:numId="16">
    <w:abstractNumId w:val="11"/>
  </w:num>
  <w:num w:numId="17">
    <w:abstractNumId w:val="17"/>
  </w:num>
  <w:num w:numId="18">
    <w:abstractNumId w:val="9"/>
  </w:num>
  <w:num w:numId="19">
    <w:abstractNumId w:val="2"/>
  </w:num>
  <w:num w:numId="20">
    <w:abstractNumId w:val="7"/>
  </w:num>
  <w:num w:numId="21">
    <w:abstractNumId w:val="6"/>
  </w:num>
  <w:num w:numId="22">
    <w:abstractNumId w:val="21"/>
  </w:num>
  <w:num w:numId="23">
    <w:abstractNumId w:val="0"/>
  </w:num>
  <w:num w:numId="24">
    <w:abstractNumId w:val="26"/>
  </w:num>
  <w:num w:numId="25">
    <w:abstractNumId w:val="22"/>
  </w:num>
  <w:num w:numId="26">
    <w:abstractNumId w:val="23"/>
  </w:num>
  <w:num w:numId="27">
    <w:abstractNumId w:val="22"/>
  </w:num>
  <w:num w:numId="28">
    <w:abstractNumId w:val="22"/>
  </w:num>
  <w:num w:numId="29">
    <w:abstractNumId w:val="22"/>
  </w:num>
  <w:num w:numId="30">
    <w:abstractNumId w:val="19"/>
  </w:num>
  <w:num w:numId="31">
    <w:abstractNumId w:val="5"/>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489"/>
    <w:rsid w:val="000012C1"/>
    <w:rsid w:val="00003108"/>
    <w:rsid w:val="0000365E"/>
    <w:rsid w:val="0000548E"/>
    <w:rsid w:val="000064F5"/>
    <w:rsid w:val="0000769F"/>
    <w:rsid w:val="000164D9"/>
    <w:rsid w:val="00020BEE"/>
    <w:rsid w:val="00023C1B"/>
    <w:rsid w:val="000345CD"/>
    <w:rsid w:val="00034F5A"/>
    <w:rsid w:val="00034FC5"/>
    <w:rsid w:val="00035A69"/>
    <w:rsid w:val="00040C23"/>
    <w:rsid w:val="00042DA5"/>
    <w:rsid w:val="000433C9"/>
    <w:rsid w:val="00045CDE"/>
    <w:rsid w:val="00047F4D"/>
    <w:rsid w:val="0005543C"/>
    <w:rsid w:val="00057904"/>
    <w:rsid w:val="0006125B"/>
    <w:rsid w:val="00062194"/>
    <w:rsid w:val="00063694"/>
    <w:rsid w:val="000659ED"/>
    <w:rsid w:val="00065BD4"/>
    <w:rsid w:val="000705D6"/>
    <w:rsid w:val="00072405"/>
    <w:rsid w:val="000756B6"/>
    <w:rsid w:val="00077143"/>
    <w:rsid w:val="00082B37"/>
    <w:rsid w:val="00086CCD"/>
    <w:rsid w:val="00087A47"/>
    <w:rsid w:val="00091100"/>
    <w:rsid w:val="00092C7C"/>
    <w:rsid w:val="0009587F"/>
    <w:rsid w:val="000960DE"/>
    <w:rsid w:val="000A0594"/>
    <w:rsid w:val="000A1A96"/>
    <w:rsid w:val="000A6EB6"/>
    <w:rsid w:val="000A7F33"/>
    <w:rsid w:val="000B09C7"/>
    <w:rsid w:val="000B34FC"/>
    <w:rsid w:val="000B7C4E"/>
    <w:rsid w:val="000C3432"/>
    <w:rsid w:val="000C603F"/>
    <w:rsid w:val="000C6DAD"/>
    <w:rsid w:val="000D66EE"/>
    <w:rsid w:val="000D6C72"/>
    <w:rsid w:val="000E0AC3"/>
    <w:rsid w:val="000F053B"/>
    <w:rsid w:val="000F7408"/>
    <w:rsid w:val="001003A8"/>
    <w:rsid w:val="001010ED"/>
    <w:rsid w:val="00101660"/>
    <w:rsid w:val="00103CEB"/>
    <w:rsid w:val="00106FFC"/>
    <w:rsid w:val="00112699"/>
    <w:rsid w:val="00112B6B"/>
    <w:rsid w:val="0011362B"/>
    <w:rsid w:val="00114EB6"/>
    <w:rsid w:val="00122189"/>
    <w:rsid w:val="00122236"/>
    <w:rsid w:val="00123D57"/>
    <w:rsid w:val="001244AD"/>
    <w:rsid w:val="0012590D"/>
    <w:rsid w:val="0013129A"/>
    <w:rsid w:val="001326BB"/>
    <w:rsid w:val="001341BF"/>
    <w:rsid w:val="00137A07"/>
    <w:rsid w:val="00137E66"/>
    <w:rsid w:val="00140F53"/>
    <w:rsid w:val="001437D2"/>
    <w:rsid w:val="00144271"/>
    <w:rsid w:val="001466B4"/>
    <w:rsid w:val="00147D32"/>
    <w:rsid w:val="001507A7"/>
    <w:rsid w:val="00151CD0"/>
    <w:rsid w:val="00151F48"/>
    <w:rsid w:val="00160710"/>
    <w:rsid w:val="0016161F"/>
    <w:rsid w:val="00163490"/>
    <w:rsid w:val="00163C31"/>
    <w:rsid w:val="00163C37"/>
    <w:rsid w:val="001653ED"/>
    <w:rsid w:val="00165E33"/>
    <w:rsid w:val="00167C7E"/>
    <w:rsid w:val="0017179D"/>
    <w:rsid w:val="001718DF"/>
    <w:rsid w:val="00174836"/>
    <w:rsid w:val="0017540A"/>
    <w:rsid w:val="00175F0D"/>
    <w:rsid w:val="0018055E"/>
    <w:rsid w:val="00181231"/>
    <w:rsid w:val="001814C1"/>
    <w:rsid w:val="001822C0"/>
    <w:rsid w:val="00182CAA"/>
    <w:rsid w:val="00182E4E"/>
    <w:rsid w:val="00182FA1"/>
    <w:rsid w:val="001831AE"/>
    <w:rsid w:val="0018727A"/>
    <w:rsid w:val="00194283"/>
    <w:rsid w:val="0019715A"/>
    <w:rsid w:val="001973DF"/>
    <w:rsid w:val="001977BE"/>
    <w:rsid w:val="00197992"/>
    <w:rsid w:val="00197F70"/>
    <w:rsid w:val="001A0FE6"/>
    <w:rsid w:val="001A29E0"/>
    <w:rsid w:val="001A2D27"/>
    <w:rsid w:val="001A3CA2"/>
    <w:rsid w:val="001A4722"/>
    <w:rsid w:val="001A5877"/>
    <w:rsid w:val="001A766C"/>
    <w:rsid w:val="001A7830"/>
    <w:rsid w:val="001B04AD"/>
    <w:rsid w:val="001B0966"/>
    <w:rsid w:val="001B0971"/>
    <w:rsid w:val="001B23E8"/>
    <w:rsid w:val="001B2C9A"/>
    <w:rsid w:val="001B5D99"/>
    <w:rsid w:val="001C0816"/>
    <w:rsid w:val="001C6613"/>
    <w:rsid w:val="001D1AD3"/>
    <w:rsid w:val="001D20A7"/>
    <w:rsid w:val="001D6B0A"/>
    <w:rsid w:val="001D7E82"/>
    <w:rsid w:val="001E11A1"/>
    <w:rsid w:val="001E26B9"/>
    <w:rsid w:val="001E7422"/>
    <w:rsid w:val="001F1E46"/>
    <w:rsid w:val="001F23DF"/>
    <w:rsid w:val="001F270F"/>
    <w:rsid w:val="001F2DF5"/>
    <w:rsid w:val="001F34B1"/>
    <w:rsid w:val="001F5E64"/>
    <w:rsid w:val="00200B28"/>
    <w:rsid w:val="002012E1"/>
    <w:rsid w:val="00206911"/>
    <w:rsid w:val="00207194"/>
    <w:rsid w:val="0021144F"/>
    <w:rsid w:val="00211F0C"/>
    <w:rsid w:val="0021256E"/>
    <w:rsid w:val="002129F5"/>
    <w:rsid w:val="00212BC7"/>
    <w:rsid w:val="002130F4"/>
    <w:rsid w:val="002174EB"/>
    <w:rsid w:val="0021762B"/>
    <w:rsid w:val="00221419"/>
    <w:rsid w:val="00221CC1"/>
    <w:rsid w:val="00223E88"/>
    <w:rsid w:val="002271D3"/>
    <w:rsid w:val="0022773C"/>
    <w:rsid w:val="00230CF7"/>
    <w:rsid w:val="0023126E"/>
    <w:rsid w:val="00233262"/>
    <w:rsid w:val="002374C3"/>
    <w:rsid w:val="00237641"/>
    <w:rsid w:val="00237FCD"/>
    <w:rsid w:val="002406FD"/>
    <w:rsid w:val="002410AA"/>
    <w:rsid w:val="002426F5"/>
    <w:rsid w:val="00243076"/>
    <w:rsid w:val="00244775"/>
    <w:rsid w:val="00250CDA"/>
    <w:rsid w:val="00252492"/>
    <w:rsid w:val="00252BBC"/>
    <w:rsid w:val="002533E2"/>
    <w:rsid w:val="002542A0"/>
    <w:rsid w:val="002606B9"/>
    <w:rsid w:val="00260C57"/>
    <w:rsid w:val="00261F4A"/>
    <w:rsid w:val="002620C5"/>
    <w:rsid w:val="00265CD3"/>
    <w:rsid w:val="0027027C"/>
    <w:rsid w:val="00273031"/>
    <w:rsid w:val="002754C9"/>
    <w:rsid w:val="002767EF"/>
    <w:rsid w:val="002817B9"/>
    <w:rsid w:val="00283C01"/>
    <w:rsid w:val="00285991"/>
    <w:rsid w:val="00287719"/>
    <w:rsid w:val="00291DDF"/>
    <w:rsid w:val="00294896"/>
    <w:rsid w:val="00297A3D"/>
    <w:rsid w:val="002A0D41"/>
    <w:rsid w:val="002A1D81"/>
    <w:rsid w:val="002A4A67"/>
    <w:rsid w:val="002B3194"/>
    <w:rsid w:val="002B3930"/>
    <w:rsid w:val="002B4014"/>
    <w:rsid w:val="002B4626"/>
    <w:rsid w:val="002B628A"/>
    <w:rsid w:val="002B6C37"/>
    <w:rsid w:val="002B7CE9"/>
    <w:rsid w:val="002C0594"/>
    <w:rsid w:val="002C56D2"/>
    <w:rsid w:val="002D074F"/>
    <w:rsid w:val="002D124A"/>
    <w:rsid w:val="002D2050"/>
    <w:rsid w:val="002E0ACB"/>
    <w:rsid w:val="002E1776"/>
    <w:rsid w:val="002F4B21"/>
    <w:rsid w:val="002F53A1"/>
    <w:rsid w:val="002F7D05"/>
    <w:rsid w:val="002F7F24"/>
    <w:rsid w:val="003046E3"/>
    <w:rsid w:val="00304CC5"/>
    <w:rsid w:val="00314E84"/>
    <w:rsid w:val="003170C6"/>
    <w:rsid w:val="003209A5"/>
    <w:rsid w:val="00320AAC"/>
    <w:rsid w:val="0032163E"/>
    <w:rsid w:val="00321BF2"/>
    <w:rsid w:val="00323274"/>
    <w:rsid w:val="00326126"/>
    <w:rsid w:val="00332501"/>
    <w:rsid w:val="00332E7F"/>
    <w:rsid w:val="0033375D"/>
    <w:rsid w:val="00333F14"/>
    <w:rsid w:val="00334830"/>
    <w:rsid w:val="0033623F"/>
    <w:rsid w:val="003409E6"/>
    <w:rsid w:val="003422DB"/>
    <w:rsid w:val="00342F8F"/>
    <w:rsid w:val="003437CA"/>
    <w:rsid w:val="0034541E"/>
    <w:rsid w:val="00350FFF"/>
    <w:rsid w:val="00355853"/>
    <w:rsid w:val="00357D07"/>
    <w:rsid w:val="00357FB7"/>
    <w:rsid w:val="00360A46"/>
    <w:rsid w:val="00361CF1"/>
    <w:rsid w:val="003629A0"/>
    <w:rsid w:val="00363C85"/>
    <w:rsid w:val="0036449F"/>
    <w:rsid w:val="0036484B"/>
    <w:rsid w:val="00365C8F"/>
    <w:rsid w:val="003707B6"/>
    <w:rsid w:val="00373211"/>
    <w:rsid w:val="00377BB6"/>
    <w:rsid w:val="00385575"/>
    <w:rsid w:val="003857EE"/>
    <w:rsid w:val="00387DE9"/>
    <w:rsid w:val="003915A0"/>
    <w:rsid w:val="00391854"/>
    <w:rsid w:val="0039257F"/>
    <w:rsid w:val="00393525"/>
    <w:rsid w:val="0039535E"/>
    <w:rsid w:val="00395EE7"/>
    <w:rsid w:val="00397C8E"/>
    <w:rsid w:val="003A2933"/>
    <w:rsid w:val="003A4363"/>
    <w:rsid w:val="003A5CF3"/>
    <w:rsid w:val="003A7CFA"/>
    <w:rsid w:val="003B2AEF"/>
    <w:rsid w:val="003B3C64"/>
    <w:rsid w:val="003B66CD"/>
    <w:rsid w:val="003C2AF3"/>
    <w:rsid w:val="003C6EAC"/>
    <w:rsid w:val="003D0D21"/>
    <w:rsid w:val="003D1183"/>
    <w:rsid w:val="003D5485"/>
    <w:rsid w:val="003D5A08"/>
    <w:rsid w:val="003E170D"/>
    <w:rsid w:val="003E5B56"/>
    <w:rsid w:val="003F2DE6"/>
    <w:rsid w:val="003F5323"/>
    <w:rsid w:val="003F563B"/>
    <w:rsid w:val="003F5A97"/>
    <w:rsid w:val="003F63C6"/>
    <w:rsid w:val="00401E1D"/>
    <w:rsid w:val="00403B51"/>
    <w:rsid w:val="0040440A"/>
    <w:rsid w:val="00406733"/>
    <w:rsid w:val="00411BCD"/>
    <w:rsid w:val="0041694B"/>
    <w:rsid w:val="00417AAE"/>
    <w:rsid w:val="00421A47"/>
    <w:rsid w:val="00424E3D"/>
    <w:rsid w:val="00425D9D"/>
    <w:rsid w:val="0043373E"/>
    <w:rsid w:val="0043687F"/>
    <w:rsid w:val="0043724A"/>
    <w:rsid w:val="00437B58"/>
    <w:rsid w:val="00440816"/>
    <w:rsid w:val="00442A53"/>
    <w:rsid w:val="00442B46"/>
    <w:rsid w:val="00443244"/>
    <w:rsid w:val="004459AD"/>
    <w:rsid w:val="00446D96"/>
    <w:rsid w:val="00447BDD"/>
    <w:rsid w:val="00451056"/>
    <w:rsid w:val="004523EC"/>
    <w:rsid w:val="0045327B"/>
    <w:rsid w:val="004532FC"/>
    <w:rsid w:val="00453E6E"/>
    <w:rsid w:val="00453F50"/>
    <w:rsid w:val="00454707"/>
    <w:rsid w:val="00460FC0"/>
    <w:rsid w:val="00462742"/>
    <w:rsid w:val="0046422E"/>
    <w:rsid w:val="004674C7"/>
    <w:rsid w:val="00467835"/>
    <w:rsid w:val="00480A40"/>
    <w:rsid w:val="00482DEA"/>
    <w:rsid w:val="0048433E"/>
    <w:rsid w:val="00486851"/>
    <w:rsid w:val="004868A5"/>
    <w:rsid w:val="00486B67"/>
    <w:rsid w:val="004874A0"/>
    <w:rsid w:val="00487D9B"/>
    <w:rsid w:val="00487EE6"/>
    <w:rsid w:val="00492877"/>
    <w:rsid w:val="00493A52"/>
    <w:rsid w:val="00493B45"/>
    <w:rsid w:val="004A20CE"/>
    <w:rsid w:val="004A755A"/>
    <w:rsid w:val="004B2F1D"/>
    <w:rsid w:val="004B369C"/>
    <w:rsid w:val="004C168A"/>
    <w:rsid w:val="004C2ECE"/>
    <w:rsid w:val="004C3562"/>
    <w:rsid w:val="004C406B"/>
    <w:rsid w:val="004C5886"/>
    <w:rsid w:val="004C71C7"/>
    <w:rsid w:val="004D13C8"/>
    <w:rsid w:val="004D17E4"/>
    <w:rsid w:val="004D3E71"/>
    <w:rsid w:val="004D59E2"/>
    <w:rsid w:val="004D7624"/>
    <w:rsid w:val="004E1CD6"/>
    <w:rsid w:val="004E2534"/>
    <w:rsid w:val="004E34AE"/>
    <w:rsid w:val="004E51E8"/>
    <w:rsid w:val="004F1129"/>
    <w:rsid w:val="004F3BDC"/>
    <w:rsid w:val="004F6F12"/>
    <w:rsid w:val="004F7364"/>
    <w:rsid w:val="00500CD0"/>
    <w:rsid w:val="00501833"/>
    <w:rsid w:val="00502A41"/>
    <w:rsid w:val="00504E96"/>
    <w:rsid w:val="0051212E"/>
    <w:rsid w:val="005126D1"/>
    <w:rsid w:val="005143D9"/>
    <w:rsid w:val="005149F1"/>
    <w:rsid w:val="00514E51"/>
    <w:rsid w:val="00515466"/>
    <w:rsid w:val="00517489"/>
    <w:rsid w:val="00517920"/>
    <w:rsid w:val="00520196"/>
    <w:rsid w:val="0052447F"/>
    <w:rsid w:val="0052502F"/>
    <w:rsid w:val="00525906"/>
    <w:rsid w:val="00525E83"/>
    <w:rsid w:val="005262CD"/>
    <w:rsid w:val="00531472"/>
    <w:rsid w:val="00533ECD"/>
    <w:rsid w:val="005340CF"/>
    <w:rsid w:val="005464C9"/>
    <w:rsid w:val="00550C18"/>
    <w:rsid w:val="00550FC4"/>
    <w:rsid w:val="00551B49"/>
    <w:rsid w:val="00552014"/>
    <w:rsid w:val="005534BF"/>
    <w:rsid w:val="00553B6C"/>
    <w:rsid w:val="00555334"/>
    <w:rsid w:val="005568BB"/>
    <w:rsid w:val="00561B0A"/>
    <w:rsid w:val="00564B6F"/>
    <w:rsid w:val="00567FC7"/>
    <w:rsid w:val="0057003B"/>
    <w:rsid w:val="00570C5E"/>
    <w:rsid w:val="0057206C"/>
    <w:rsid w:val="005748BC"/>
    <w:rsid w:val="005759BF"/>
    <w:rsid w:val="00576DF5"/>
    <w:rsid w:val="0058174D"/>
    <w:rsid w:val="00581EF9"/>
    <w:rsid w:val="00584867"/>
    <w:rsid w:val="00585671"/>
    <w:rsid w:val="00585851"/>
    <w:rsid w:val="005875E6"/>
    <w:rsid w:val="005902D6"/>
    <w:rsid w:val="00592750"/>
    <w:rsid w:val="00592C59"/>
    <w:rsid w:val="005939F3"/>
    <w:rsid w:val="00594C2E"/>
    <w:rsid w:val="00597A38"/>
    <w:rsid w:val="00597F74"/>
    <w:rsid w:val="005A010C"/>
    <w:rsid w:val="005A1A12"/>
    <w:rsid w:val="005A1DF4"/>
    <w:rsid w:val="005A5470"/>
    <w:rsid w:val="005A679B"/>
    <w:rsid w:val="005A6DFA"/>
    <w:rsid w:val="005A71CC"/>
    <w:rsid w:val="005B1A8B"/>
    <w:rsid w:val="005B4C20"/>
    <w:rsid w:val="005B63B1"/>
    <w:rsid w:val="005B6509"/>
    <w:rsid w:val="005C169C"/>
    <w:rsid w:val="005C271F"/>
    <w:rsid w:val="005C687C"/>
    <w:rsid w:val="005C6BDA"/>
    <w:rsid w:val="005C7413"/>
    <w:rsid w:val="005C7D2F"/>
    <w:rsid w:val="005D0B72"/>
    <w:rsid w:val="005D1049"/>
    <w:rsid w:val="005D516E"/>
    <w:rsid w:val="005D57D6"/>
    <w:rsid w:val="005D76AA"/>
    <w:rsid w:val="005D7EFF"/>
    <w:rsid w:val="005E0255"/>
    <w:rsid w:val="005E1DCE"/>
    <w:rsid w:val="005E7F37"/>
    <w:rsid w:val="005F06BD"/>
    <w:rsid w:val="005F6690"/>
    <w:rsid w:val="005F7386"/>
    <w:rsid w:val="0060109D"/>
    <w:rsid w:val="00604173"/>
    <w:rsid w:val="00605C0A"/>
    <w:rsid w:val="006121AD"/>
    <w:rsid w:val="0061336C"/>
    <w:rsid w:val="0061491E"/>
    <w:rsid w:val="0061737D"/>
    <w:rsid w:val="00620E98"/>
    <w:rsid w:val="00622DBD"/>
    <w:rsid w:val="00623549"/>
    <w:rsid w:val="00623FB7"/>
    <w:rsid w:val="00624844"/>
    <w:rsid w:val="0062533D"/>
    <w:rsid w:val="006375EB"/>
    <w:rsid w:val="006405F7"/>
    <w:rsid w:val="00640D70"/>
    <w:rsid w:val="006417C2"/>
    <w:rsid w:val="00641901"/>
    <w:rsid w:val="00642CBE"/>
    <w:rsid w:val="006450ED"/>
    <w:rsid w:val="00646235"/>
    <w:rsid w:val="00651CA2"/>
    <w:rsid w:val="0065754B"/>
    <w:rsid w:val="006627BB"/>
    <w:rsid w:val="0066280C"/>
    <w:rsid w:val="0066714B"/>
    <w:rsid w:val="00671350"/>
    <w:rsid w:val="0067434F"/>
    <w:rsid w:val="006759C3"/>
    <w:rsid w:val="00675CF2"/>
    <w:rsid w:val="006764D9"/>
    <w:rsid w:val="00676DC3"/>
    <w:rsid w:val="006774F9"/>
    <w:rsid w:val="0068270D"/>
    <w:rsid w:val="0068462C"/>
    <w:rsid w:val="00684E60"/>
    <w:rsid w:val="006878F9"/>
    <w:rsid w:val="006904D0"/>
    <w:rsid w:val="006932FD"/>
    <w:rsid w:val="00693423"/>
    <w:rsid w:val="0069502E"/>
    <w:rsid w:val="00695CA8"/>
    <w:rsid w:val="006976DD"/>
    <w:rsid w:val="006A0192"/>
    <w:rsid w:val="006A1086"/>
    <w:rsid w:val="006A29AD"/>
    <w:rsid w:val="006B04AA"/>
    <w:rsid w:val="006B061F"/>
    <w:rsid w:val="006B0F73"/>
    <w:rsid w:val="006B6226"/>
    <w:rsid w:val="006C0EEB"/>
    <w:rsid w:val="006C1701"/>
    <w:rsid w:val="006C54E1"/>
    <w:rsid w:val="006C7749"/>
    <w:rsid w:val="006D0704"/>
    <w:rsid w:val="006D0FD0"/>
    <w:rsid w:val="006D1C44"/>
    <w:rsid w:val="006D26A7"/>
    <w:rsid w:val="006D741A"/>
    <w:rsid w:val="006E09D3"/>
    <w:rsid w:val="006E0A5E"/>
    <w:rsid w:val="006E2D89"/>
    <w:rsid w:val="006E4EE5"/>
    <w:rsid w:val="006E51DF"/>
    <w:rsid w:val="006E66E7"/>
    <w:rsid w:val="006F0D5D"/>
    <w:rsid w:val="006F5541"/>
    <w:rsid w:val="006F583B"/>
    <w:rsid w:val="006F7520"/>
    <w:rsid w:val="0070096B"/>
    <w:rsid w:val="00701D7A"/>
    <w:rsid w:val="00703D0C"/>
    <w:rsid w:val="00704168"/>
    <w:rsid w:val="0070589F"/>
    <w:rsid w:val="00706AE3"/>
    <w:rsid w:val="007175BE"/>
    <w:rsid w:val="007204FF"/>
    <w:rsid w:val="00723BE9"/>
    <w:rsid w:val="00725125"/>
    <w:rsid w:val="00725182"/>
    <w:rsid w:val="0072795B"/>
    <w:rsid w:val="007350B9"/>
    <w:rsid w:val="00735D57"/>
    <w:rsid w:val="00744C35"/>
    <w:rsid w:val="007459E1"/>
    <w:rsid w:val="00746767"/>
    <w:rsid w:val="00750839"/>
    <w:rsid w:val="00750BE3"/>
    <w:rsid w:val="00756665"/>
    <w:rsid w:val="00756694"/>
    <w:rsid w:val="00770204"/>
    <w:rsid w:val="007707E2"/>
    <w:rsid w:val="0077297D"/>
    <w:rsid w:val="0078037B"/>
    <w:rsid w:val="00781B29"/>
    <w:rsid w:val="007820CD"/>
    <w:rsid w:val="00786EEA"/>
    <w:rsid w:val="007914A3"/>
    <w:rsid w:val="0079380A"/>
    <w:rsid w:val="007A19B0"/>
    <w:rsid w:val="007A45D9"/>
    <w:rsid w:val="007B5A85"/>
    <w:rsid w:val="007B61F7"/>
    <w:rsid w:val="007B6839"/>
    <w:rsid w:val="007B7C0A"/>
    <w:rsid w:val="007B7F26"/>
    <w:rsid w:val="007C050C"/>
    <w:rsid w:val="007C0CE0"/>
    <w:rsid w:val="007C130F"/>
    <w:rsid w:val="007C1778"/>
    <w:rsid w:val="007C1832"/>
    <w:rsid w:val="007C25AC"/>
    <w:rsid w:val="007C4083"/>
    <w:rsid w:val="007C5CE0"/>
    <w:rsid w:val="007C7C15"/>
    <w:rsid w:val="007D1BD0"/>
    <w:rsid w:val="007D402D"/>
    <w:rsid w:val="007D578C"/>
    <w:rsid w:val="007D62D8"/>
    <w:rsid w:val="007E1D26"/>
    <w:rsid w:val="007F40A4"/>
    <w:rsid w:val="007F4E8C"/>
    <w:rsid w:val="007F55C2"/>
    <w:rsid w:val="008028E2"/>
    <w:rsid w:val="00804842"/>
    <w:rsid w:val="0080680F"/>
    <w:rsid w:val="00810E69"/>
    <w:rsid w:val="00815108"/>
    <w:rsid w:val="00816309"/>
    <w:rsid w:val="00816D59"/>
    <w:rsid w:val="008179C1"/>
    <w:rsid w:val="00821C06"/>
    <w:rsid w:val="00823BB9"/>
    <w:rsid w:val="008305CA"/>
    <w:rsid w:val="008325F9"/>
    <w:rsid w:val="00832945"/>
    <w:rsid w:val="00833A9A"/>
    <w:rsid w:val="00833A9F"/>
    <w:rsid w:val="00837834"/>
    <w:rsid w:val="0084126A"/>
    <w:rsid w:val="008415BB"/>
    <w:rsid w:val="00851140"/>
    <w:rsid w:val="00854E80"/>
    <w:rsid w:val="0085572F"/>
    <w:rsid w:val="00855A79"/>
    <w:rsid w:val="0086141A"/>
    <w:rsid w:val="00864A65"/>
    <w:rsid w:val="00867D5A"/>
    <w:rsid w:val="008706EB"/>
    <w:rsid w:val="0087182C"/>
    <w:rsid w:val="00876198"/>
    <w:rsid w:val="00876E36"/>
    <w:rsid w:val="008839BC"/>
    <w:rsid w:val="00884B1E"/>
    <w:rsid w:val="00886532"/>
    <w:rsid w:val="0088752C"/>
    <w:rsid w:val="00892CE6"/>
    <w:rsid w:val="008954AA"/>
    <w:rsid w:val="0089633F"/>
    <w:rsid w:val="00897690"/>
    <w:rsid w:val="00897A79"/>
    <w:rsid w:val="008A32BA"/>
    <w:rsid w:val="008A343A"/>
    <w:rsid w:val="008A6731"/>
    <w:rsid w:val="008C58E1"/>
    <w:rsid w:val="008C7C77"/>
    <w:rsid w:val="008D3C98"/>
    <w:rsid w:val="008D421C"/>
    <w:rsid w:val="008D7607"/>
    <w:rsid w:val="008E5D34"/>
    <w:rsid w:val="008E65E0"/>
    <w:rsid w:val="008F0516"/>
    <w:rsid w:val="008F2612"/>
    <w:rsid w:val="008F4784"/>
    <w:rsid w:val="00900884"/>
    <w:rsid w:val="00900F39"/>
    <w:rsid w:val="0090479C"/>
    <w:rsid w:val="009068FA"/>
    <w:rsid w:val="00910E9F"/>
    <w:rsid w:val="009111BC"/>
    <w:rsid w:val="00912A4C"/>
    <w:rsid w:val="009133B3"/>
    <w:rsid w:val="009145EC"/>
    <w:rsid w:val="00917EE6"/>
    <w:rsid w:val="00930F28"/>
    <w:rsid w:val="0093523E"/>
    <w:rsid w:val="009361EC"/>
    <w:rsid w:val="009362D2"/>
    <w:rsid w:val="00937157"/>
    <w:rsid w:val="00937BFA"/>
    <w:rsid w:val="00944034"/>
    <w:rsid w:val="00945F57"/>
    <w:rsid w:val="009466C6"/>
    <w:rsid w:val="00946CA4"/>
    <w:rsid w:val="00954CD5"/>
    <w:rsid w:val="009606EE"/>
    <w:rsid w:val="00963BD5"/>
    <w:rsid w:val="009671C2"/>
    <w:rsid w:val="00970399"/>
    <w:rsid w:val="009713C3"/>
    <w:rsid w:val="009721CE"/>
    <w:rsid w:val="00972F1C"/>
    <w:rsid w:val="00973A92"/>
    <w:rsid w:val="00975798"/>
    <w:rsid w:val="009803D6"/>
    <w:rsid w:val="00982A79"/>
    <w:rsid w:val="009837D6"/>
    <w:rsid w:val="00985290"/>
    <w:rsid w:val="009860F5"/>
    <w:rsid w:val="00991318"/>
    <w:rsid w:val="00994236"/>
    <w:rsid w:val="009965DF"/>
    <w:rsid w:val="00997484"/>
    <w:rsid w:val="009A0B20"/>
    <w:rsid w:val="009A17AB"/>
    <w:rsid w:val="009A5694"/>
    <w:rsid w:val="009A7C21"/>
    <w:rsid w:val="009B682A"/>
    <w:rsid w:val="009B7BB9"/>
    <w:rsid w:val="009C027B"/>
    <w:rsid w:val="009C042D"/>
    <w:rsid w:val="009C331A"/>
    <w:rsid w:val="009C3635"/>
    <w:rsid w:val="009D159C"/>
    <w:rsid w:val="009D2831"/>
    <w:rsid w:val="009D2FC2"/>
    <w:rsid w:val="009D3819"/>
    <w:rsid w:val="009D4965"/>
    <w:rsid w:val="009D5286"/>
    <w:rsid w:val="009D5633"/>
    <w:rsid w:val="009E0E4A"/>
    <w:rsid w:val="009E159D"/>
    <w:rsid w:val="009E27BC"/>
    <w:rsid w:val="009E3243"/>
    <w:rsid w:val="009E4CC4"/>
    <w:rsid w:val="009F11B4"/>
    <w:rsid w:val="009F2F5D"/>
    <w:rsid w:val="009F71DB"/>
    <w:rsid w:val="00A01132"/>
    <w:rsid w:val="00A05BC2"/>
    <w:rsid w:val="00A05CAE"/>
    <w:rsid w:val="00A06257"/>
    <w:rsid w:val="00A07EC2"/>
    <w:rsid w:val="00A07EC5"/>
    <w:rsid w:val="00A102D4"/>
    <w:rsid w:val="00A10AB7"/>
    <w:rsid w:val="00A12848"/>
    <w:rsid w:val="00A13164"/>
    <w:rsid w:val="00A146FB"/>
    <w:rsid w:val="00A1663B"/>
    <w:rsid w:val="00A1715B"/>
    <w:rsid w:val="00A2037F"/>
    <w:rsid w:val="00A20706"/>
    <w:rsid w:val="00A214FA"/>
    <w:rsid w:val="00A2356D"/>
    <w:rsid w:val="00A2796D"/>
    <w:rsid w:val="00A27FF0"/>
    <w:rsid w:val="00A30E75"/>
    <w:rsid w:val="00A34491"/>
    <w:rsid w:val="00A4054A"/>
    <w:rsid w:val="00A410FF"/>
    <w:rsid w:val="00A430B6"/>
    <w:rsid w:val="00A43192"/>
    <w:rsid w:val="00A44D95"/>
    <w:rsid w:val="00A453F1"/>
    <w:rsid w:val="00A45B3B"/>
    <w:rsid w:val="00A5137F"/>
    <w:rsid w:val="00A53E75"/>
    <w:rsid w:val="00A6162F"/>
    <w:rsid w:val="00A61AA6"/>
    <w:rsid w:val="00A624AA"/>
    <w:rsid w:val="00A640F4"/>
    <w:rsid w:val="00A64127"/>
    <w:rsid w:val="00A64D77"/>
    <w:rsid w:val="00A66038"/>
    <w:rsid w:val="00A7427A"/>
    <w:rsid w:val="00A75887"/>
    <w:rsid w:val="00A76ADC"/>
    <w:rsid w:val="00A86511"/>
    <w:rsid w:val="00A92ED7"/>
    <w:rsid w:val="00A947BB"/>
    <w:rsid w:val="00A94BF1"/>
    <w:rsid w:val="00A967F4"/>
    <w:rsid w:val="00AA0862"/>
    <w:rsid w:val="00AA3A7F"/>
    <w:rsid w:val="00AA46F9"/>
    <w:rsid w:val="00AA6B58"/>
    <w:rsid w:val="00AB0951"/>
    <w:rsid w:val="00AB09C0"/>
    <w:rsid w:val="00AB10F9"/>
    <w:rsid w:val="00AB1726"/>
    <w:rsid w:val="00AB23C8"/>
    <w:rsid w:val="00AB4D41"/>
    <w:rsid w:val="00AC0EFA"/>
    <w:rsid w:val="00AC15E1"/>
    <w:rsid w:val="00AC20EA"/>
    <w:rsid w:val="00AC5CCD"/>
    <w:rsid w:val="00AC75BB"/>
    <w:rsid w:val="00AD1D16"/>
    <w:rsid w:val="00AD4755"/>
    <w:rsid w:val="00AD47F4"/>
    <w:rsid w:val="00AD53FE"/>
    <w:rsid w:val="00AD64B6"/>
    <w:rsid w:val="00AD6E74"/>
    <w:rsid w:val="00AD7C8B"/>
    <w:rsid w:val="00AE2DFF"/>
    <w:rsid w:val="00AE39DF"/>
    <w:rsid w:val="00AE4E4E"/>
    <w:rsid w:val="00AE6799"/>
    <w:rsid w:val="00AE6BD0"/>
    <w:rsid w:val="00AF20DA"/>
    <w:rsid w:val="00AF3281"/>
    <w:rsid w:val="00AF689F"/>
    <w:rsid w:val="00B006FC"/>
    <w:rsid w:val="00B030AA"/>
    <w:rsid w:val="00B0479E"/>
    <w:rsid w:val="00B0774C"/>
    <w:rsid w:val="00B07D9B"/>
    <w:rsid w:val="00B13B7E"/>
    <w:rsid w:val="00B13D5B"/>
    <w:rsid w:val="00B163CD"/>
    <w:rsid w:val="00B16DB6"/>
    <w:rsid w:val="00B214A2"/>
    <w:rsid w:val="00B226EB"/>
    <w:rsid w:val="00B24AF9"/>
    <w:rsid w:val="00B27F7A"/>
    <w:rsid w:val="00B32695"/>
    <w:rsid w:val="00B33B6C"/>
    <w:rsid w:val="00B34A48"/>
    <w:rsid w:val="00B44EF1"/>
    <w:rsid w:val="00B4738E"/>
    <w:rsid w:val="00B47408"/>
    <w:rsid w:val="00B52B51"/>
    <w:rsid w:val="00B55C55"/>
    <w:rsid w:val="00B57584"/>
    <w:rsid w:val="00B70F0A"/>
    <w:rsid w:val="00B74E02"/>
    <w:rsid w:val="00B751B9"/>
    <w:rsid w:val="00B8029B"/>
    <w:rsid w:val="00B81921"/>
    <w:rsid w:val="00B946D4"/>
    <w:rsid w:val="00B97671"/>
    <w:rsid w:val="00BA05D1"/>
    <w:rsid w:val="00BA1DA5"/>
    <w:rsid w:val="00BA5EE8"/>
    <w:rsid w:val="00BB064B"/>
    <w:rsid w:val="00BB232E"/>
    <w:rsid w:val="00BB3798"/>
    <w:rsid w:val="00BC0155"/>
    <w:rsid w:val="00BC1366"/>
    <w:rsid w:val="00BC1CE8"/>
    <w:rsid w:val="00BC2B73"/>
    <w:rsid w:val="00BC2E22"/>
    <w:rsid w:val="00BC41B3"/>
    <w:rsid w:val="00BC4B5F"/>
    <w:rsid w:val="00BC4CDE"/>
    <w:rsid w:val="00BC57EE"/>
    <w:rsid w:val="00BC6EDC"/>
    <w:rsid w:val="00BC74E0"/>
    <w:rsid w:val="00BD2B69"/>
    <w:rsid w:val="00BD3DD1"/>
    <w:rsid w:val="00BD40A2"/>
    <w:rsid w:val="00BD544F"/>
    <w:rsid w:val="00BD5CCD"/>
    <w:rsid w:val="00BD68BA"/>
    <w:rsid w:val="00BD747A"/>
    <w:rsid w:val="00BE4F16"/>
    <w:rsid w:val="00BE547D"/>
    <w:rsid w:val="00BF1149"/>
    <w:rsid w:val="00BF3DB4"/>
    <w:rsid w:val="00BF6F7E"/>
    <w:rsid w:val="00C02D51"/>
    <w:rsid w:val="00C03740"/>
    <w:rsid w:val="00C04E76"/>
    <w:rsid w:val="00C07F02"/>
    <w:rsid w:val="00C20689"/>
    <w:rsid w:val="00C21E05"/>
    <w:rsid w:val="00C26DA8"/>
    <w:rsid w:val="00C304BF"/>
    <w:rsid w:val="00C30902"/>
    <w:rsid w:val="00C35540"/>
    <w:rsid w:val="00C37A7B"/>
    <w:rsid w:val="00C41A17"/>
    <w:rsid w:val="00C438F3"/>
    <w:rsid w:val="00C44A55"/>
    <w:rsid w:val="00C45C85"/>
    <w:rsid w:val="00C47EF6"/>
    <w:rsid w:val="00C52F96"/>
    <w:rsid w:val="00C54914"/>
    <w:rsid w:val="00C54A75"/>
    <w:rsid w:val="00C55F4F"/>
    <w:rsid w:val="00C55FE3"/>
    <w:rsid w:val="00C56758"/>
    <w:rsid w:val="00C57B2A"/>
    <w:rsid w:val="00C63109"/>
    <w:rsid w:val="00C65679"/>
    <w:rsid w:val="00C65B29"/>
    <w:rsid w:val="00C65DF7"/>
    <w:rsid w:val="00C67E17"/>
    <w:rsid w:val="00C73489"/>
    <w:rsid w:val="00C741E3"/>
    <w:rsid w:val="00C77951"/>
    <w:rsid w:val="00C80CE6"/>
    <w:rsid w:val="00C86289"/>
    <w:rsid w:val="00C87ECE"/>
    <w:rsid w:val="00C91B66"/>
    <w:rsid w:val="00C94073"/>
    <w:rsid w:val="00C94D98"/>
    <w:rsid w:val="00C975C7"/>
    <w:rsid w:val="00C97991"/>
    <w:rsid w:val="00CA1AB8"/>
    <w:rsid w:val="00CA4FCD"/>
    <w:rsid w:val="00CA52AD"/>
    <w:rsid w:val="00CB0A12"/>
    <w:rsid w:val="00CB39E0"/>
    <w:rsid w:val="00CC7AB1"/>
    <w:rsid w:val="00CD0218"/>
    <w:rsid w:val="00CD0DAB"/>
    <w:rsid w:val="00CD24CE"/>
    <w:rsid w:val="00CD495B"/>
    <w:rsid w:val="00CE365D"/>
    <w:rsid w:val="00CE4EFE"/>
    <w:rsid w:val="00CF3434"/>
    <w:rsid w:val="00CF4729"/>
    <w:rsid w:val="00D076B4"/>
    <w:rsid w:val="00D07D3A"/>
    <w:rsid w:val="00D1673A"/>
    <w:rsid w:val="00D23AA2"/>
    <w:rsid w:val="00D37CD7"/>
    <w:rsid w:val="00D406E3"/>
    <w:rsid w:val="00D40B30"/>
    <w:rsid w:val="00D41220"/>
    <w:rsid w:val="00D46CA7"/>
    <w:rsid w:val="00D46F1B"/>
    <w:rsid w:val="00D54E6C"/>
    <w:rsid w:val="00D5748A"/>
    <w:rsid w:val="00D5765E"/>
    <w:rsid w:val="00D6281F"/>
    <w:rsid w:val="00D635F9"/>
    <w:rsid w:val="00D64D40"/>
    <w:rsid w:val="00D73A9C"/>
    <w:rsid w:val="00D76EE6"/>
    <w:rsid w:val="00D77EA5"/>
    <w:rsid w:val="00D85A3C"/>
    <w:rsid w:val="00D87C4C"/>
    <w:rsid w:val="00D9007D"/>
    <w:rsid w:val="00D91FF0"/>
    <w:rsid w:val="00D94274"/>
    <w:rsid w:val="00D96F2A"/>
    <w:rsid w:val="00DA4C56"/>
    <w:rsid w:val="00DA5027"/>
    <w:rsid w:val="00DA570F"/>
    <w:rsid w:val="00DB196D"/>
    <w:rsid w:val="00DB1D66"/>
    <w:rsid w:val="00DB5992"/>
    <w:rsid w:val="00DB6352"/>
    <w:rsid w:val="00DC4B27"/>
    <w:rsid w:val="00DC792F"/>
    <w:rsid w:val="00DD143F"/>
    <w:rsid w:val="00DD5A14"/>
    <w:rsid w:val="00DD6C4C"/>
    <w:rsid w:val="00DD6CD4"/>
    <w:rsid w:val="00DE492C"/>
    <w:rsid w:val="00DE52D6"/>
    <w:rsid w:val="00DF327B"/>
    <w:rsid w:val="00DF430C"/>
    <w:rsid w:val="00DF5676"/>
    <w:rsid w:val="00DF741D"/>
    <w:rsid w:val="00E010AF"/>
    <w:rsid w:val="00E0112F"/>
    <w:rsid w:val="00E0658A"/>
    <w:rsid w:val="00E12139"/>
    <w:rsid w:val="00E165CB"/>
    <w:rsid w:val="00E17980"/>
    <w:rsid w:val="00E22980"/>
    <w:rsid w:val="00E271B6"/>
    <w:rsid w:val="00E277DC"/>
    <w:rsid w:val="00E27F0B"/>
    <w:rsid w:val="00E3007A"/>
    <w:rsid w:val="00E315C8"/>
    <w:rsid w:val="00E31CD1"/>
    <w:rsid w:val="00E32165"/>
    <w:rsid w:val="00E3515A"/>
    <w:rsid w:val="00E35868"/>
    <w:rsid w:val="00E36A7D"/>
    <w:rsid w:val="00E40739"/>
    <w:rsid w:val="00E408B1"/>
    <w:rsid w:val="00E46ADA"/>
    <w:rsid w:val="00E5041A"/>
    <w:rsid w:val="00E574B8"/>
    <w:rsid w:val="00E646B8"/>
    <w:rsid w:val="00E713BB"/>
    <w:rsid w:val="00E731A1"/>
    <w:rsid w:val="00E73931"/>
    <w:rsid w:val="00E7486B"/>
    <w:rsid w:val="00E750B0"/>
    <w:rsid w:val="00E750D9"/>
    <w:rsid w:val="00E755F3"/>
    <w:rsid w:val="00E76263"/>
    <w:rsid w:val="00E77DB8"/>
    <w:rsid w:val="00E77FA7"/>
    <w:rsid w:val="00E80482"/>
    <w:rsid w:val="00E808E4"/>
    <w:rsid w:val="00E81EB4"/>
    <w:rsid w:val="00E83071"/>
    <w:rsid w:val="00E83E2B"/>
    <w:rsid w:val="00E8642E"/>
    <w:rsid w:val="00E872BE"/>
    <w:rsid w:val="00E900A3"/>
    <w:rsid w:val="00E91BE1"/>
    <w:rsid w:val="00E97B10"/>
    <w:rsid w:val="00EA295C"/>
    <w:rsid w:val="00EA6B30"/>
    <w:rsid w:val="00EB24F6"/>
    <w:rsid w:val="00EB757F"/>
    <w:rsid w:val="00EC2412"/>
    <w:rsid w:val="00ED0017"/>
    <w:rsid w:val="00ED32D9"/>
    <w:rsid w:val="00ED7BEC"/>
    <w:rsid w:val="00EE00A4"/>
    <w:rsid w:val="00EE01E4"/>
    <w:rsid w:val="00EE39DA"/>
    <w:rsid w:val="00EF388C"/>
    <w:rsid w:val="00F02936"/>
    <w:rsid w:val="00F05362"/>
    <w:rsid w:val="00F058D4"/>
    <w:rsid w:val="00F05C12"/>
    <w:rsid w:val="00F12F3E"/>
    <w:rsid w:val="00F26DBB"/>
    <w:rsid w:val="00F35E8C"/>
    <w:rsid w:val="00F41233"/>
    <w:rsid w:val="00F41243"/>
    <w:rsid w:val="00F429DA"/>
    <w:rsid w:val="00F43EE9"/>
    <w:rsid w:val="00F44EBE"/>
    <w:rsid w:val="00F457B0"/>
    <w:rsid w:val="00F55877"/>
    <w:rsid w:val="00F635BF"/>
    <w:rsid w:val="00F70D11"/>
    <w:rsid w:val="00F742E7"/>
    <w:rsid w:val="00F7591D"/>
    <w:rsid w:val="00F77653"/>
    <w:rsid w:val="00F8066D"/>
    <w:rsid w:val="00F807E8"/>
    <w:rsid w:val="00F8157D"/>
    <w:rsid w:val="00F82A0F"/>
    <w:rsid w:val="00F831F1"/>
    <w:rsid w:val="00F840A5"/>
    <w:rsid w:val="00F85C76"/>
    <w:rsid w:val="00F86FCE"/>
    <w:rsid w:val="00F90715"/>
    <w:rsid w:val="00F92522"/>
    <w:rsid w:val="00F9307C"/>
    <w:rsid w:val="00F937E0"/>
    <w:rsid w:val="00F97520"/>
    <w:rsid w:val="00FA12DB"/>
    <w:rsid w:val="00FA3765"/>
    <w:rsid w:val="00FA3960"/>
    <w:rsid w:val="00FA4D70"/>
    <w:rsid w:val="00FA50D2"/>
    <w:rsid w:val="00FA6723"/>
    <w:rsid w:val="00FB177F"/>
    <w:rsid w:val="00FB4460"/>
    <w:rsid w:val="00FB5F6D"/>
    <w:rsid w:val="00FB729A"/>
    <w:rsid w:val="00FC1BB1"/>
    <w:rsid w:val="00FC2499"/>
    <w:rsid w:val="00FC4FDC"/>
    <w:rsid w:val="00FC60CB"/>
    <w:rsid w:val="00FD1C58"/>
    <w:rsid w:val="00FD1D9B"/>
    <w:rsid w:val="00FD4337"/>
    <w:rsid w:val="00FE08F5"/>
    <w:rsid w:val="00FE1877"/>
    <w:rsid w:val="00FE2775"/>
    <w:rsid w:val="00FE410C"/>
    <w:rsid w:val="00FE771E"/>
    <w:rsid w:val="00FE7EB7"/>
    <w:rsid w:val="00FF07D3"/>
    <w:rsid w:val="00FF0F06"/>
    <w:rsid w:val="00FF1CEA"/>
    <w:rsid w:val="00FF258C"/>
    <w:rsid w:val="00FF2BD5"/>
    <w:rsid w:val="00FF2D10"/>
    <w:rsid w:val="00FF49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7B7F26"/>
    <w:pPr>
      <w:keepNext/>
      <w:keepLines/>
      <w:pageBreakBefore/>
      <w:numPr>
        <w:numId w:val="25"/>
      </w:numPr>
      <w:spacing w:before="480" w:after="0"/>
      <w:outlineLvl w:val="0"/>
    </w:pPr>
    <w:rPr>
      <w:rFonts w:asciiTheme="majorHAnsi" w:eastAsiaTheme="majorEastAsia" w:hAnsiTheme="majorHAnsi" w:cstheme="majorBidi"/>
      <w:b/>
      <w:bCs/>
      <w:sz w:val="28"/>
      <w:szCs w:val="28"/>
    </w:rPr>
  </w:style>
  <w:style w:type="paragraph" w:styleId="Nadpis2">
    <w:name w:val="heading 2"/>
    <w:basedOn w:val="Normln"/>
    <w:next w:val="Normln"/>
    <w:link w:val="Nadpis2Char"/>
    <w:uiPriority w:val="9"/>
    <w:unhideWhenUsed/>
    <w:qFormat/>
    <w:rsid w:val="007B7F26"/>
    <w:pPr>
      <w:keepNext/>
      <w:keepLines/>
      <w:numPr>
        <w:ilvl w:val="1"/>
        <w:numId w:val="25"/>
      </w:numPr>
      <w:spacing w:before="200" w:after="0"/>
      <w:ind w:left="792"/>
      <w:outlineLvl w:val="1"/>
    </w:pPr>
    <w:rPr>
      <w:rFonts w:asciiTheme="majorHAnsi" w:eastAsiaTheme="majorEastAsia" w:hAnsiTheme="majorHAnsi" w:cstheme="majorBidi"/>
      <w:b/>
      <w:bCs/>
      <w:sz w:val="26"/>
      <w:szCs w:val="26"/>
    </w:rPr>
  </w:style>
  <w:style w:type="paragraph" w:styleId="Nadpis3">
    <w:name w:val="heading 3"/>
    <w:basedOn w:val="Normln"/>
    <w:next w:val="Normln"/>
    <w:link w:val="Nadpis3Char"/>
    <w:uiPriority w:val="9"/>
    <w:semiHidden/>
    <w:unhideWhenUsed/>
    <w:qFormat/>
    <w:rsid w:val="00283C01"/>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283C0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283C0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283C0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283C0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283C0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283C0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83C0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3C01"/>
    <w:rPr>
      <w:rFonts w:ascii="Tahoma" w:hAnsi="Tahoma" w:cs="Tahoma"/>
      <w:sz w:val="16"/>
      <w:szCs w:val="16"/>
    </w:rPr>
  </w:style>
  <w:style w:type="character" w:customStyle="1" w:styleId="Nadpis1Char">
    <w:name w:val="Nadpis 1 Char"/>
    <w:basedOn w:val="Standardnpsmoodstavce"/>
    <w:link w:val="Nadpis1"/>
    <w:uiPriority w:val="9"/>
    <w:rsid w:val="007B7F26"/>
    <w:rPr>
      <w:rFonts w:asciiTheme="majorHAnsi" w:eastAsiaTheme="majorEastAsia" w:hAnsiTheme="majorHAnsi" w:cstheme="majorBidi"/>
      <w:b/>
      <w:bCs/>
      <w:sz w:val="28"/>
      <w:szCs w:val="28"/>
    </w:rPr>
  </w:style>
  <w:style w:type="character" w:customStyle="1" w:styleId="Nadpis2Char">
    <w:name w:val="Nadpis 2 Char"/>
    <w:basedOn w:val="Standardnpsmoodstavce"/>
    <w:link w:val="Nadpis2"/>
    <w:uiPriority w:val="9"/>
    <w:rsid w:val="007B7F26"/>
    <w:rPr>
      <w:rFonts w:asciiTheme="majorHAnsi" w:eastAsiaTheme="majorEastAsia" w:hAnsiTheme="majorHAnsi" w:cstheme="majorBidi"/>
      <w:b/>
      <w:bCs/>
      <w:sz w:val="26"/>
      <w:szCs w:val="26"/>
    </w:rPr>
  </w:style>
  <w:style w:type="character" w:customStyle="1" w:styleId="Nadpis3Char">
    <w:name w:val="Nadpis 3 Char"/>
    <w:basedOn w:val="Standardnpsmoodstavce"/>
    <w:link w:val="Nadpis3"/>
    <w:uiPriority w:val="9"/>
    <w:semiHidden/>
    <w:rsid w:val="00283C01"/>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283C01"/>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283C01"/>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283C01"/>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283C01"/>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283C01"/>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283C01"/>
    <w:rPr>
      <w:rFonts w:asciiTheme="majorHAnsi" w:eastAsiaTheme="majorEastAsia" w:hAnsiTheme="majorHAnsi" w:cstheme="majorBidi"/>
      <w:i/>
      <w:iCs/>
      <w:color w:val="404040" w:themeColor="text1" w:themeTint="BF"/>
      <w:sz w:val="20"/>
      <w:szCs w:val="20"/>
    </w:rPr>
  </w:style>
  <w:style w:type="paragraph" w:styleId="Odstavecseseznamem">
    <w:name w:val="List Paragraph"/>
    <w:basedOn w:val="Normln"/>
    <w:uiPriority w:val="34"/>
    <w:qFormat/>
    <w:rsid w:val="001A29E0"/>
    <w:pPr>
      <w:ind w:left="720"/>
      <w:contextualSpacing/>
    </w:pPr>
  </w:style>
  <w:style w:type="paragraph" w:styleId="Nadpisobsahu">
    <w:name w:val="TOC Heading"/>
    <w:basedOn w:val="Nadpis1"/>
    <w:next w:val="Normln"/>
    <w:uiPriority w:val="39"/>
    <w:unhideWhenUsed/>
    <w:qFormat/>
    <w:rsid w:val="006E4EE5"/>
    <w:pPr>
      <w:numPr>
        <w:numId w:val="0"/>
      </w:numPr>
      <w:outlineLvl w:val="9"/>
    </w:pPr>
    <w:rPr>
      <w:lang w:val="en-US" w:eastAsia="ja-JP"/>
    </w:rPr>
  </w:style>
  <w:style w:type="paragraph" w:styleId="Obsah1">
    <w:name w:val="toc 1"/>
    <w:basedOn w:val="Normln"/>
    <w:next w:val="Normln"/>
    <w:autoRedefine/>
    <w:uiPriority w:val="39"/>
    <w:unhideWhenUsed/>
    <w:rsid w:val="006E4EE5"/>
    <w:pPr>
      <w:spacing w:after="100"/>
    </w:pPr>
  </w:style>
  <w:style w:type="paragraph" w:styleId="Obsah2">
    <w:name w:val="toc 2"/>
    <w:basedOn w:val="Normln"/>
    <w:next w:val="Normln"/>
    <w:autoRedefine/>
    <w:uiPriority w:val="39"/>
    <w:unhideWhenUsed/>
    <w:rsid w:val="006E4EE5"/>
    <w:pPr>
      <w:spacing w:after="100"/>
      <w:ind w:left="220"/>
    </w:pPr>
  </w:style>
  <w:style w:type="character" w:styleId="Hypertextovodkaz">
    <w:name w:val="Hyperlink"/>
    <w:basedOn w:val="Standardnpsmoodstavce"/>
    <w:uiPriority w:val="99"/>
    <w:unhideWhenUsed/>
    <w:rsid w:val="006E4EE5"/>
    <w:rPr>
      <w:color w:val="0000FF" w:themeColor="hyperlink"/>
      <w:u w:val="single"/>
    </w:rPr>
  </w:style>
  <w:style w:type="character" w:styleId="Odkaznakoment">
    <w:name w:val="annotation reference"/>
    <w:basedOn w:val="Standardnpsmoodstavce"/>
    <w:uiPriority w:val="99"/>
    <w:semiHidden/>
    <w:unhideWhenUsed/>
    <w:rsid w:val="002620C5"/>
    <w:rPr>
      <w:sz w:val="16"/>
      <w:szCs w:val="16"/>
    </w:rPr>
  </w:style>
  <w:style w:type="paragraph" w:styleId="Textkomente">
    <w:name w:val="annotation text"/>
    <w:basedOn w:val="Normln"/>
    <w:link w:val="TextkomenteChar"/>
    <w:uiPriority w:val="99"/>
    <w:semiHidden/>
    <w:unhideWhenUsed/>
    <w:rsid w:val="002620C5"/>
    <w:pPr>
      <w:spacing w:line="240" w:lineRule="auto"/>
    </w:pPr>
    <w:rPr>
      <w:sz w:val="20"/>
      <w:szCs w:val="20"/>
    </w:rPr>
  </w:style>
  <w:style w:type="character" w:customStyle="1" w:styleId="TextkomenteChar">
    <w:name w:val="Text komentáře Char"/>
    <w:basedOn w:val="Standardnpsmoodstavce"/>
    <w:link w:val="Textkomente"/>
    <w:uiPriority w:val="99"/>
    <w:semiHidden/>
    <w:rsid w:val="002620C5"/>
    <w:rPr>
      <w:sz w:val="20"/>
      <w:szCs w:val="20"/>
    </w:rPr>
  </w:style>
  <w:style w:type="paragraph" w:styleId="Pedmtkomente">
    <w:name w:val="annotation subject"/>
    <w:basedOn w:val="Textkomente"/>
    <w:next w:val="Textkomente"/>
    <w:link w:val="PedmtkomenteChar"/>
    <w:uiPriority w:val="99"/>
    <w:semiHidden/>
    <w:unhideWhenUsed/>
    <w:rsid w:val="002620C5"/>
    <w:rPr>
      <w:b/>
      <w:bCs/>
    </w:rPr>
  </w:style>
  <w:style w:type="character" w:customStyle="1" w:styleId="PedmtkomenteChar">
    <w:name w:val="Předmět komentáře Char"/>
    <w:basedOn w:val="TextkomenteChar"/>
    <w:link w:val="Pedmtkomente"/>
    <w:uiPriority w:val="99"/>
    <w:semiHidden/>
    <w:rsid w:val="002620C5"/>
    <w:rPr>
      <w:b/>
      <w:bCs/>
      <w:sz w:val="20"/>
      <w:szCs w:val="20"/>
    </w:rPr>
  </w:style>
  <w:style w:type="paragraph" w:customStyle="1" w:styleId="text">
    <w:name w:val="text"/>
    <w:basedOn w:val="Normln"/>
    <w:rsid w:val="00BE547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BE547D"/>
  </w:style>
  <w:style w:type="paragraph" w:styleId="Normlnweb">
    <w:name w:val="Normal (Web)"/>
    <w:basedOn w:val="Normln"/>
    <w:uiPriority w:val="99"/>
    <w:semiHidden/>
    <w:unhideWhenUsed/>
    <w:rsid w:val="00BE547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10pt">
    <w:name w:val="normal 10pt"/>
    <w:rsid w:val="00F85C76"/>
    <w:rPr>
      <w:rFonts w:ascii="Sommet" w:eastAsia="Arial" w:hAnsi="Sommet" w:cs="Arial" w:hint="default"/>
      <w:b w:val="0"/>
      <w:bCs w:val="0"/>
      <w:i w:val="0"/>
      <w:iCs w:val="0"/>
      <w:outline w:val="0"/>
      <w:shadow w:val="0"/>
      <w:emboss w:val="0"/>
      <w:imprint w:val="0"/>
      <w:color w:val="000000"/>
      <w:sz w:val="20"/>
      <w:szCs w:val="20"/>
    </w:rPr>
  </w:style>
  <w:style w:type="paragraph" w:styleId="Zhlav">
    <w:name w:val="header"/>
    <w:basedOn w:val="Normln"/>
    <w:link w:val="ZhlavChar"/>
    <w:unhideWhenUsed/>
    <w:rsid w:val="00F12F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12F3E"/>
  </w:style>
  <w:style w:type="paragraph" w:styleId="Zpat">
    <w:name w:val="footer"/>
    <w:basedOn w:val="Normln"/>
    <w:link w:val="ZpatChar"/>
    <w:uiPriority w:val="99"/>
    <w:unhideWhenUsed/>
    <w:rsid w:val="00F12F3E"/>
    <w:pPr>
      <w:tabs>
        <w:tab w:val="center" w:pos="4536"/>
        <w:tab w:val="right" w:pos="9072"/>
      </w:tabs>
      <w:spacing w:after="0" w:line="240" w:lineRule="auto"/>
    </w:pPr>
  </w:style>
  <w:style w:type="character" w:customStyle="1" w:styleId="ZpatChar">
    <w:name w:val="Zápatí Char"/>
    <w:basedOn w:val="Standardnpsmoodstavce"/>
    <w:link w:val="Zpat"/>
    <w:uiPriority w:val="99"/>
    <w:rsid w:val="00F12F3E"/>
  </w:style>
  <w:style w:type="paragraph" w:styleId="Textpoznpodarou">
    <w:name w:val="footnote text"/>
    <w:basedOn w:val="Normln"/>
    <w:link w:val="TextpoznpodarouChar"/>
    <w:uiPriority w:val="99"/>
    <w:unhideWhenUsed/>
    <w:rsid w:val="00C86289"/>
    <w:pPr>
      <w:spacing w:before="200" w:after="0" w:line="240" w:lineRule="auto"/>
    </w:pPr>
    <w:rPr>
      <w:rFonts w:eastAsiaTheme="minorEastAsia"/>
      <w:sz w:val="24"/>
      <w:szCs w:val="24"/>
      <w:lang w:val="en-US" w:bidi="en-US"/>
    </w:rPr>
  </w:style>
  <w:style w:type="character" w:customStyle="1" w:styleId="TextpoznpodarouChar">
    <w:name w:val="Text pozn. pod čarou Char"/>
    <w:basedOn w:val="Standardnpsmoodstavce"/>
    <w:link w:val="Textpoznpodarou"/>
    <w:uiPriority w:val="99"/>
    <w:rsid w:val="00C86289"/>
    <w:rPr>
      <w:rFonts w:eastAsiaTheme="minorEastAsia"/>
      <w:sz w:val="24"/>
      <w:szCs w:val="24"/>
      <w:lang w:val="en-US" w:bidi="en-US"/>
    </w:rPr>
  </w:style>
  <w:style w:type="character" w:styleId="Znakapoznpodarou">
    <w:name w:val="footnote reference"/>
    <w:basedOn w:val="Standardnpsmoodstavce"/>
    <w:uiPriority w:val="99"/>
    <w:unhideWhenUsed/>
    <w:rsid w:val="00C86289"/>
    <w:rPr>
      <w:vertAlign w:val="superscript"/>
    </w:rPr>
  </w:style>
  <w:style w:type="table" w:customStyle="1" w:styleId="GridTable1LightAccent5">
    <w:name w:val="Grid Table 1 Light Accent 5"/>
    <w:basedOn w:val="Normlntabulka"/>
    <w:uiPriority w:val="46"/>
    <w:rsid w:val="00C44A55"/>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7B7F26"/>
    <w:pPr>
      <w:keepNext/>
      <w:keepLines/>
      <w:pageBreakBefore/>
      <w:numPr>
        <w:numId w:val="25"/>
      </w:numPr>
      <w:spacing w:before="480" w:after="0"/>
      <w:outlineLvl w:val="0"/>
    </w:pPr>
    <w:rPr>
      <w:rFonts w:asciiTheme="majorHAnsi" w:eastAsiaTheme="majorEastAsia" w:hAnsiTheme="majorHAnsi" w:cstheme="majorBidi"/>
      <w:b/>
      <w:bCs/>
      <w:sz w:val="28"/>
      <w:szCs w:val="28"/>
    </w:rPr>
  </w:style>
  <w:style w:type="paragraph" w:styleId="Nadpis2">
    <w:name w:val="heading 2"/>
    <w:basedOn w:val="Normln"/>
    <w:next w:val="Normln"/>
    <w:link w:val="Nadpis2Char"/>
    <w:uiPriority w:val="9"/>
    <w:unhideWhenUsed/>
    <w:qFormat/>
    <w:rsid w:val="007B7F26"/>
    <w:pPr>
      <w:keepNext/>
      <w:keepLines/>
      <w:numPr>
        <w:ilvl w:val="1"/>
        <w:numId w:val="25"/>
      </w:numPr>
      <w:spacing w:before="200" w:after="0"/>
      <w:ind w:left="792"/>
      <w:outlineLvl w:val="1"/>
    </w:pPr>
    <w:rPr>
      <w:rFonts w:asciiTheme="majorHAnsi" w:eastAsiaTheme="majorEastAsia" w:hAnsiTheme="majorHAnsi" w:cstheme="majorBidi"/>
      <w:b/>
      <w:bCs/>
      <w:sz w:val="26"/>
      <w:szCs w:val="26"/>
    </w:rPr>
  </w:style>
  <w:style w:type="paragraph" w:styleId="Nadpis3">
    <w:name w:val="heading 3"/>
    <w:basedOn w:val="Normln"/>
    <w:next w:val="Normln"/>
    <w:link w:val="Nadpis3Char"/>
    <w:uiPriority w:val="9"/>
    <w:semiHidden/>
    <w:unhideWhenUsed/>
    <w:qFormat/>
    <w:rsid w:val="00283C01"/>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283C0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283C0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283C0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283C0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283C0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283C0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83C0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3C01"/>
    <w:rPr>
      <w:rFonts w:ascii="Tahoma" w:hAnsi="Tahoma" w:cs="Tahoma"/>
      <w:sz w:val="16"/>
      <w:szCs w:val="16"/>
    </w:rPr>
  </w:style>
  <w:style w:type="character" w:customStyle="1" w:styleId="Nadpis1Char">
    <w:name w:val="Nadpis 1 Char"/>
    <w:basedOn w:val="Standardnpsmoodstavce"/>
    <w:link w:val="Nadpis1"/>
    <w:uiPriority w:val="9"/>
    <w:rsid w:val="007B7F26"/>
    <w:rPr>
      <w:rFonts w:asciiTheme="majorHAnsi" w:eastAsiaTheme="majorEastAsia" w:hAnsiTheme="majorHAnsi" w:cstheme="majorBidi"/>
      <w:b/>
      <w:bCs/>
      <w:sz w:val="28"/>
      <w:szCs w:val="28"/>
    </w:rPr>
  </w:style>
  <w:style w:type="character" w:customStyle="1" w:styleId="Nadpis2Char">
    <w:name w:val="Nadpis 2 Char"/>
    <w:basedOn w:val="Standardnpsmoodstavce"/>
    <w:link w:val="Nadpis2"/>
    <w:uiPriority w:val="9"/>
    <w:rsid w:val="007B7F26"/>
    <w:rPr>
      <w:rFonts w:asciiTheme="majorHAnsi" w:eastAsiaTheme="majorEastAsia" w:hAnsiTheme="majorHAnsi" w:cstheme="majorBidi"/>
      <w:b/>
      <w:bCs/>
      <w:sz w:val="26"/>
      <w:szCs w:val="26"/>
    </w:rPr>
  </w:style>
  <w:style w:type="character" w:customStyle="1" w:styleId="Nadpis3Char">
    <w:name w:val="Nadpis 3 Char"/>
    <w:basedOn w:val="Standardnpsmoodstavce"/>
    <w:link w:val="Nadpis3"/>
    <w:uiPriority w:val="9"/>
    <w:semiHidden/>
    <w:rsid w:val="00283C01"/>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283C01"/>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283C01"/>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283C01"/>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283C01"/>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283C01"/>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283C01"/>
    <w:rPr>
      <w:rFonts w:asciiTheme="majorHAnsi" w:eastAsiaTheme="majorEastAsia" w:hAnsiTheme="majorHAnsi" w:cstheme="majorBidi"/>
      <w:i/>
      <w:iCs/>
      <w:color w:val="404040" w:themeColor="text1" w:themeTint="BF"/>
      <w:sz w:val="20"/>
      <w:szCs w:val="20"/>
    </w:rPr>
  </w:style>
  <w:style w:type="paragraph" w:styleId="Odstavecseseznamem">
    <w:name w:val="List Paragraph"/>
    <w:basedOn w:val="Normln"/>
    <w:uiPriority w:val="34"/>
    <w:qFormat/>
    <w:rsid w:val="001A29E0"/>
    <w:pPr>
      <w:ind w:left="720"/>
      <w:contextualSpacing/>
    </w:pPr>
  </w:style>
  <w:style w:type="paragraph" w:styleId="Nadpisobsahu">
    <w:name w:val="TOC Heading"/>
    <w:basedOn w:val="Nadpis1"/>
    <w:next w:val="Normln"/>
    <w:uiPriority w:val="39"/>
    <w:unhideWhenUsed/>
    <w:qFormat/>
    <w:rsid w:val="006E4EE5"/>
    <w:pPr>
      <w:numPr>
        <w:numId w:val="0"/>
      </w:numPr>
      <w:outlineLvl w:val="9"/>
    </w:pPr>
    <w:rPr>
      <w:lang w:val="en-US" w:eastAsia="ja-JP"/>
    </w:rPr>
  </w:style>
  <w:style w:type="paragraph" w:styleId="Obsah1">
    <w:name w:val="toc 1"/>
    <w:basedOn w:val="Normln"/>
    <w:next w:val="Normln"/>
    <w:autoRedefine/>
    <w:uiPriority w:val="39"/>
    <w:unhideWhenUsed/>
    <w:rsid w:val="006E4EE5"/>
    <w:pPr>
      <w:spacing w:after="100"/>
    </w:pPr>
  </w:style>
  <w:style w:type="paragraph" w:styleId="Obsah2">
    <w:name w:val="toc 2"/>
    <w:basedOn w:val="Normln"/>
    <w:next w:val="Normln"/>
    <w:autoRedefine/>
    <w:uiPriority w:val="39"/>
    <w:unhideWhenUsed/>
    <w:rsid w:val="006E4EE5"/>
    <w:pPr>
      <w:spacing w:after="100"/>
      <w:ind w:left="220"/>
    </w:pPr>
  </w:style>
  <w:style w:type="character" w:styleId="Hypertextovodkaz">
    <w:name w:val="Hyperlink"/>
    <w:basedOn w:val="Standardnpsmoodstavce"/>
    <w:uiPriority w:val="99"/>
    <w:unhideWhenUsed/>
    <w:rsid w:val="006E4EE5"/>
    <w:rPr>
      <w:color w:val="0000FF" w:themeColor="hyperlink"/>
      <w:u w:val="single"/>
    </w:rPr>
  </w:style>
  <w:style w:type="character" w:styleId="Odkaznakoment">
    <w:name w:val="annotation reference"/>
    <w:basedOn w:val="Standardnpsmoodstavce"/>
    <w:uiPriority w:val="99"/>
    <w:semiHidden/>
    <w:unhideWhenUsed/>
    <w:rsid w:val="002620C5"/>
    <w:rPr>
      <w:sz w:val="16"/>
      <w:szCs w:val="16"/>
    </w:rPr>
  </w:style>
  <w:style w:type="paragraph" w:styleId="Textkomente">
    <w:name w:val="annotation text"/>
    <w:basedOn w:val="Normln"/>
    <w:link w:val="TextkomenteChar"/>
    <w:uiPriority w:val="99"/>
    <w:semiHidden/>
    <w:unhideWhenUsed/>
    <w:rsid w:val="002620C5"/>
    <w:pPr>
      <w:spacing w:line="240" w:lineRule="auto"/>
    </w:pPr>
    <w:rPr>
      <w:sz w:val="20"/>
      <w:szCs w:val="20"/>
    </w:rPr>
  </w:style>
  <w:style w:type="character" w:customStyle="1" w:styleId="TextkomenteChar">
    <w:name w:val="Text komentáře Char"/>
    <w:basedOn w:val="Standardnpsmoodstavce"/>
    <w:link w:val="Textkomente"/>
    <w:uiPriority w:val="99"/>
    <w:semiHidden/>
    <w:rsid w:val="002620C5"/>
    <w:rPr>
      <w:sz w:val="20"/>
      <w:szCs w:val="20"/>
    </w:rPr>
  </w:style>
  <w:style w:type="paragraph" w:styleId="Pedmtkomente">
    <w:name w:val="annotation subject"/>
    <w:basedOn w:val="Textkomente"/>
    <w:next w:val="Textkomente"/>
    <w:link w:val="PedmtkomenteChar"/>
    <w:uiPriority w:val="99"/>
    <w:semiHidden/>
    <w:unhideWhenUsed/>
    <w:rsid w:val="002620C5"/>
    <w:rPr>
      <w:b/>
      <w:bCs/>
    </w:rPr>
  </w:style>
  <w:style w:type="character" w:customStyle="1" w:styleId="PedmtkomenteChar">
    <w:name w:val="Předmět komentáře Char"/>
    <w:basedOn w:val="TextkomenteChar"/>
    <w:link w:val="Pedmtkomente"/>
    <w:uiPriority w:val="99"/>
    <w:semiHidden/>
    <w:rsid w:val="002620C5"/>
    <w:rPr>
      <w:b/>
      <w:bCs/>
      <w:sz w:val="20"/>
      <w:szCs w:val="20"/>
    </w:rPr>
  </w:style>
  <w:style w:type="paragraph" w:customStyle="1" w:styleId="text">
    <w:name w:val="text"/>
    <w:basedOn w:val="Normln"/>
    <w:rsid w:val="00BE547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BE547D"/>
  </w:style>
  <w:style w:type="paragraph" w:styleId="Normlnweb">
    <w:name w:val="Normal (Web)"/>
    <w:basedOn w:val="Normln"/>
    <w:uiPriority w:val="99"/>
    <w:semiHidden/>
    <w:unhideWhenUsed/>
    <w:rsid w:val="00BE547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10pt">
    <w:name w:val="normal 10pt"/>
    <w:rsid w:val="00F85C76"/>
    <w:rPr>
      <w:rFonts w:ascii="Sommet" w:eastAsia="Arial" w:hAnsi="Sommet" w:cs="Arial" w:hint="default"/>
      <w:b w:val="0"/>
      <w:bCs w:val="0"/>
      <w:i w:val="0"/>
      <w:iCs w:val="0"/>
      <w:outline w:val="0"/>
      <w:shadow w:val="0"/>
      <w:emboss w:val="0"/>
      <w:imprint w:val="0"/>
      <w:color w:val="000000"/>
      <w:sz w:val="20"/>
      <w:szCs w:val="20"/>
    </w:rPr>
  </w:style>
  <w:style w:type="paragraph" w:styleId="Zhlav">
    <w:name w:val="header"/>
    <w:basedOn w:val="Normln"/>
    <w:link w:val="ZhlavChar"/>
    <w:unhideWhenUsed/>
    <w:rsid w:val="00F12F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12F3E"/>
  </w:style>
  <w:style w:type="paragraph" w:styleId="Zpat">
    <w:name w:val="footer"/>
    <w:basedOn w:val="Normln"/>
    <w:link w:val="ZpatChar"/>
    <w:uiPriority w:val="99"/>
    <w:unhideWhenUsed/>
    <w:rsid w:val="00F12F3E"/>
    <w:pPr>
      <w:tabs>
        <w:tab w:val="center" w:pos="4536"/>
        <w:tab w:val="right" w:pos="9072"/>
      </w:tabs>
      <w:spacing w:after="0" w:line="240" w:lineRule="auto"/>
    </w:pPr>
  </w:style>
  <w:style w:type="character" w:customStyle="1" w:styleId="ZpatChar">
    <w:name w:val="Zápatí Char"/>
    <w:basedOn w:val="Standardnpsmoodstavce"/>
    <w:link w:val="Zpat"/>
    <w:uiPriority w:val="99"/>
    <w:rsid w:val="00F12F3E"/>
  </w:style>
  <w:style w:type="paragraph" w:styleId="Textpoznpodarou">
    <w:name w:val="footnote text"/>
    <w:basedOn w:val="Normln"/>
    <w:link w:val="TextpoznpodarouChar"/>
    <w:uiPriority w:val="99"/>
    <w:unhideWhenUsed/>
    <w:rsid w:val="00C86289"/>
    <w:pPr>
      <w:spacing w:before="200" w:after="0" w:line="240" w:lineRule="auto"/>
    </w:pPr>
    <w:rPr>
      <w:rFonts w:eastAsiaTheme="minorEastAsia"/>
      <w:sz w:val="24"/>
      <w:szCs w:val="24"/>
      <w:lang w:val="en-US" w:bidi="en-US"/>
    </w:rPr>
  </w:style>
  <w:style w:type="character" w:customStyle="1" w:styleId="TextpoznpodarouChar">
    <w:name w:val="Text pozn. pod čarou Char"/>
    <w:basedOn w:val="Standardnpsmoodstavce"/>
    <w:link w:val="Textpoznpodarou"/>
    <w:uiPriority w:val="99"/>
    <w:rsid w:val="00C86289"/>
    <w:rPr>
      <w:rFonts w:eastAsiaTheme="minorEastAsia"/>
      <w:sz w:val="24"/>
      <w:szCs w:val="24"/>
      <w:lang w:val="en-US" w:bidi="en-US"/>
    </w:rPr>
  </w:style>
  <w:style w:type="character" w:styleId="Znakapoznpodarou">
    <w:name w:val="footnote reference"/>
    <w:basedOn w:val="Standardnpsmoodstavce"/>
    <w:uiPriority w:val="99"/>
    <w:unhideWhenUsed/>
    <w:rsid w:val="00C86289"/>
    <w:rPr>
      <w:vertAlign w:val="superscript"/>
    </w:rPr>
  </w:style>
  <w:style w:type="table" w:customStyle="1" w:styleId="GridTable1LightAccent5">
    <w:name w:val="Grid Table 1 Light Accent 5"/>
    <w:basedOn w:val="Normlntabulka"/>
    <w:uiPriority w:val="46"/>
    <w:rsid w:val="00C44A55"/>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1815">
      <w:bodyDiv w:val="1"/>
      <w:marLeft w:val="0"/>
      <w:marRight w:val="0"/>
      <w:marTop w:val="0"/>
      <w:marBottom w:val="0"/>
      <w:divBdr>
        <w:top w:val="none" w:sz="0" w:space="0" w:color="auto"/>
        <w:left w:val="none" w:sz="0" w:space="0" w:color="auto"/>
        <w:bottom w:val="none" w:sz="0" w:space="0" w:color="auto"/>
        <w:right w:val="none" w:sz="0" w:space="0" w:color="auto"/>
      </w:divBdr>
    </w:div>
    <w:div w:id="182280964">
      <w:bodyDiv w:val="1"/>
      <w:marLeft w:val="0"/>
      <w:marRight w:val="0"/>
      <w:marTop w:val="0"/>
      <w:marBottom w:val="0"/>
      <w:divBdr>
        <w:top w:val="none" w:sz="0" w:space="0" w:color="auto"/>
        <w:left w:val="none" w:sz="0" w:space="0" w:color="auto"/>
        <w:bottom w:val="none" w:sz="0" w:space="0" w:color="auto"/>
        <w:right w:val="none" w:sz="0" w:space="0" w:color="auto"/>
      </w:divBdr>
    </w:div>
    <w:div w:id="356733634">
      <w:bodyDiv w:val="1"/>
      <w:marLeft w:val="0"/>
      <w:marRight w:val="0"/>
      <w:marTop w:val="0"/>
      <w:marBottom w:val="0"/>
      <w:divBdr>
        <w:top w:val="none" w:sz="0" w:space="0" w:color="auto"/>
        <w:left w:val="none" w:sz="0" w:space="0" w:color="auto"/>
        <w:bottom w:val="none" w:sz="0" w:space="0" w:color="auto"/>
        <w:right w:val="none" w:sz="0" w:space="0" w:color="auto"/>
      </w:divBdr>
    </w:div>
    <w:div w:id="692338759">
      <w:bodyDiv w:val="1"/>
      <w:marLeft w:val="0"/>
      <w:marRight w:val="0"/>
      <w:marTop w:val="0"/>
      <w:marBottom w:val="0"/>
      <w:divBdr>
        <w:top w:val="none" w:sz="0" w:space="0" w:color="auto"/>
        <w:left w:val="none" w:sz="0" w:space="0" w:color="auto"/>
        <w:bottom w:val="none" w:sz="0" w:space="0" w:color="auto"/>
        <w:right w:val="none" w:sz="0" w:space="0" w:color="auto"/>
      </w:divBdr>
    </w:div>
    <w:div w:id="1323001492">
      <w:bodyDiv w:val="1"/>
      <w:marLeft w:val="0"/>
      <w:marRight w:val="0"/>
      <w:marTop w:val="0"/>
      <w:marBottom w:val="0"/>
      <w:divBdr>
        <w:top w:val="none" w:sz="0" w:space="0" w:color="auto"/>
        <w:left w:val="none" w:sz="0" w:space="0" w:color="auto"/>
        <w:bottom w:val="none" w:sz="0" w:space="0" w:color="auto"/>
        <w:right w:val="none" w:sz="0" w:space="0" w:color="auto"/>
      </w:divBdr>
    </w:div>
    <w:div w:id="133583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fcr.cz/cps/rde/xbcr/mfcr/410-uplne_zneni_s_vyznacenim_zmen.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fcr.cz/cps/rde/xbcr/mfcr/Legislativa_UZ_vyhlaska_449-2009_verze__vyhlaska10-2013.pdf"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19BB3-3F75-4294-B606-ECD5D9C6C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2565</Words>
  <Characters>15138</Characters>
  <Application>Microsoft Office Word</Application>
  <DocSecurity>0</DocSecurity>
  <Lines>126</Lines>
  <Paragraphs>35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Ministerstvo financí</Company>
  <LinksUpToDate>false</LinksUpToDate>
  <CharactersWithSpaces>17668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Jindřich</dc:creator>
  <cp:lastModifiedBy>Dušánková Jana Ing.</cp:lastModifiedBy>
  <cp:revision>2</cp:revision>
  <dcterms:created xsi:type="dcterms:W3CDTF">2015-12-03T06:33:00Z</dcterms:created>
  <dcterms:modified xsi:type="dcterms:W3CDTF">2015-12-03T06:33:00Z</dcterms:modified>
</cp:coreProperties>
</file>