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37" w:rsidRPr="004629F2" w:rsidRDefault="00961A37">
      <w:pPr>
        <w:pStyle w:val="Nzev"/>
        <w:jc w:val="left"/>
        <w:rPr>
          <w:b w:val="0"/>
          <w:bCs/>
          <w:sz w:val="24"/>
          <w:szCs w:val="24"/>
        </w:rPr>
      </w:pPr>
    </w:p>
    <w:p w:rsidR="00961A37" w:rsidRDefault="00961A37">
      <w:pPr>
        <w:pStyle w:val="Nzev"/>
        <w:rPr>
          <w:sz w:val="40"/>
        </w:rPr>
      </w:pPr>
      <w:r w:rsidRPr="00413C5A">
        <w:rPr>
          <w:sz w:val="40"/>
        </w:rPr>
        <w:t>ZADÁVACÍ DOKUMENTACE</w:t>
      </w:r>
    </w:p>
    <w:p w:rsidR="008940A9" w:rsidRPr="008940A9" w:rsidRDefault="008940A9">
      <w:pPr>
        <w:pStyle w:val="Nzev"/>
        <w:rPr>
          <w:sz w:val="20"/>
        </w:rPr>
      </w:pPr>
      <w:r w:rsidRPr="00A7708B">
        <w:rPr>
          <w:sz w:val="20"/>
        </w:rPr>
        <w:t xml:space="preserve">upravená na základě dodatečných informací č. </w:t>
      </w:r>
      <w:r w:rsidR="00BF6F58" w:rsidRPr="00A7708B">
        <w:rPr>
          <w:sz w:val="20"/>
        </w:rPr>
        <w:t>4</w:t>
      </w:r>
    </w:p>
    <w:p w:rsidR="00961A37" w:rsidRPr="00413C5A" w:rsidRDefault="00961A37">
      <w:pPr>
        <w:jc w:val="center"/>
        <w:rPr>
          <w:b/>
          <w:bCs/>
          <w:sz w:val="28"/>
        </w:rPr>
      </w:pPr>
    </w:p>
    <w:p w:rsidR="00961A37" w:rsidRDefault="00961A37" w:rsidP="00A673FA">
      <w:pPr>
        <w:pStyle w:val="Nadpis2"/>
      </w:pPr>
      <w:r w:rsidRPr="00413C5A">
        <w:t xml:space="preserve">Veřejná zakázka na </w:t>
      </w:r>
      <w:r w:rsidRPr="00A673FA">
        <w:t>dodávky</w:t>
      </w:r>
      <w:r w:rsidRPr="00413C5A">
        <w:t xml:space="preserve"> </w:t>
      </w:r>
    </w:p>
    <w:p w:rsidR="00961A37" w:rsidRDefault="00961A37" w:rsidP="00A673FA">
      <w:pPr>
        <w:pStyle w:val="Nadpis2"/>
      </w:pPr>
      <w:r w:rsidRPr="00413C5A">
        <w:t xml:space="preserve">zadávaná v otevřeném řízení </w:t>
      </w:r>
    </w:p>
    <w:p w:rsidR="00961A37" w:rsidRPr="00EF02C2" w:rsidRDefault="00961A37" w:rsidP="00C91B61">
      <w:pPr>
        <w:pStyle w:val="Nadpis2"/>
      </w:pPr>
      <w:r>
        <w:t>s názvem</w:t>
      </w:r>
    </w:p>
    <w:p w:rsidR="00961A37" w:rsidRPr="00EF02C2" w:rsidRDefault="00961A37">
      <w:pPr>
        <w:jc w:val="center"/>
        <w:rPr>
          <w:b/>
          <w:bCs/>
          <w:sz w:val="28"/>
        </w:rPr>
      </w:pPr>
    </w:p>
    <w:p w:rsidR="00961A37" w:rsidRPr="00413C5A" w:rsidRDefault="00961A37" w:rsidP="00EF02C2">
      <w:pPr>
        <w:pStyle w:val="Nadpis3"/>
        <w:jc w:val="center"/>
      </w:pPr>
      <w:r w:rsidRPr="00EF02C2">
        <w:t>„Dodávky kancelářského papíru pro 6 resortů</w:t>
      </w:r>
      <w:r w:rsidRPr="005F48C6">
        <w:rPr>
          <w:b w:val="0"/>
        </w:rPr>
        <w:t>“</w:t>
      </w:r>
    </w:p>
    <w:p w:rsidR="00961A37" w:rsidRPr="00413C5A" w:rsidRDefault="00961A3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2"/>
      </w:tblGrid>
      <w:tr w:rsidR="00961A37" w:rsidRPr="00413C5A">
        <w:tc>
          <w:tcPr>
            <w:tcW w:w="2950" w:type="dxa"/>
          </w:tcPr>
          <w:p w:rsidR="00961A37" w:rsidRPr="00413C5A" w:rsidRDefault="00961A37" w:rsidP="00EF02C2">
            <w:pPr>
              <w:jc w:val="left"/>
            </w:pPr>
            <w:r>
              <w:t>Údaje o centrálním zadavateli</w:t>
            </w:r>
            <w:r w:rsidRPr="00413C5A">
              <w:t>:</w:t>
            </w:r>
          </w:p>
        </w:tc>
        <w:tc>
          <w:tcPr>
            <w:tcW w:w="6262" w:type="dxa"/>
          </w:tcPr>
          <w:p w:rsidR="00961A37" w:rsidRPr="00413C5A" w:rsidRDefault="00961A37">
            <w:r w:rsidRPr="00413C5A">
              <w:t>Česká republika – Ministerstvo financí</w:t>
            </w:r>
          </w:p>
          <w:p w:rsidR="00961A37" w:rsidRPr="00413C5A" w:rsidRDefault="00961A37">
            <w:r w:rsidRPr="00413C5A">
              <w:t>Letenská 15</w:t>
            </w:r>
          </w:p>
          <w:p w:rsidR="00961A37" w:rsidRPr="00413C5A" w:rsidRDefault="00961A37">
            <w:r w:rsidRPr="00413C5A">
              <w:t>118 10 Praha 1</w:t>
            </w:r>
          </w:p>
          <w:p w:rsidR="00961A37" w:rsidRPr="00413C5A" w:rsidRDefault="00961A37">
            <w:r w:rsidRPr="00413C5A">
              <w:t>IČO: 00006947</w:t>
            </w:r>
          </w:p>
          <w:p w:rsidR="00961A37" w:rsidRDefault="00961A37" w:rsidP="00EF6C9B">
            <w:r w:rsidRPr="00413C5A">
              <w:t>Osoba jednající jménem Ministerstva financí ČR</w:t>
            </w:r>
          </w:p>
          <w:p w:rsidR="00961A37" w:rsidRPr="00413C5A" w:rsidRDefault="00961A37" w:rsidP="00EF6C9B">
            <w:r>
              <w:t>Ing. Andrej Babiš, ministr</w:t>
            </w:r>
          </w:p>
          <w:p w:rsidR="00961A37" w:rsidRPr="00413C5A" w:rsidRDefault="00961A37">
            <w:r w:rsidRPr="00413C5A">
              <w:t>Podpis:</w:t>
            </w:r>
          </w:p>
          <w:p w:rsidR="00961A37" w:rsidRPr="00413C5A" w:rsidRDefault="00961A37"/>
          <w:p w:rsidR="00961A37" w:rsidRPr="00413C5A" w:rsidRDefault="00961A37">
            <w:r>
              <w:t>………………………………..</w:t>
            </w:r>
          </w:p>
          <w:p w:rsidR="00961A37" w:rsidRPr="00413C5A" w:rsidRDefault="00961A37">
            <w:r w:rsidRPr="00413C5A">
              <w:t>Bankovní spojení: ČNB, Praha 1, č. ú. 3328-001/0710</w:t>
            </w:r>
          </w:p>
        </w:tc>
      </w:tr>
    </w:tbl>
    <w:p w:rsidR="00961A37" w:rsidRPr="00413C5A" w:rsidRDefault="00961A37"/>
    <w:p w:rsidR="00961A37" w:rsidRDefault="00961A37">
      <w:pPr>
        <w:pStyle w:val="Zkladntext"/>
      </w:pPr>
      <w:r w:rsidRPr="00413C5A">
        <w:t>Tato nadlimitní</w:t>
      </w:r>
      <w:r w:rsidRPr="00413C5A">
        <w:rPr>
          <w:i/>
        </w:rPr>
        <w:t xml:space="preserve"> </w:t>
      </w:r>
      <w:r w:rsidRPr="00413C5A">
        <w:t xml:space="preserve">veřejná zakázka na </w:t>
      </w:r>
      <w:r>
        <w:t>dodávky</w:t>
      </w:r>
      <w:r w:rsidRPr="00413C5A">
        <w:t xml:space="preserve"> je zadávána v otevřeném řízení podle zákona č. 137/2006 Sb., o veřejných zakázkách (dále jen „</w:t>
      </w:r>
      <w:r>
        <w:t>Z</w:t>
      </w:r>
      <w:r w:rsidRPr="00413C5A">
        <w:t>ákon</w:t>
      </w:r>
      <w:r>
        <w:t xml:space="preserve"> o veřejných zakázkách</w:t>
      </w:r>
      <w:r w:rsidRPr="00413C5A">
        <w:t>“)</w:t>
      </w:r>
      <w:r>
        <w:t xml:space="preserve"> prostřednictvím centralizovaného zadavatele pro resorty </w:t>
      </w:r>
      <w:r w:rsidRPr="00C91B61">
        <w:rPr>
          <w:szCs w:val="24"/>
        </w:rPr>
        <w:t>Ministerstv</w:t>
      </w:r>
      <w:r>
        <w:rPr>
          <w:szCs w:val="24"/>
        </w:rPr>
        <w:t>a</w:t>
      </w:r>
      <w:r w:rsidRPr="00C91B61">
        <w:rPr>
          <w:szCs w:val="24"/>
        </w:rPr>
        <w:t xml:space="preserve"> financí, Ministerstv</w:t>
      </w:r>
      <w:r>
        <w:rPr>
          <w:szCs w:val="24"/>
        </w:rPr>
        <w:t>a</w:t>
      </w:r>
      <w:r w:rsidRPr="00C91B61">
        <w:rPr>
          <w:szCs w:val="24"/>
        </w:rPr>
        <w:t xml:space="preserve"> pro místní rozvoj, Ministerstv</w:t>
      </w:r>
      <w:r>
        <w:rPr>
          <w:szCs w:val="24"/>
        </w:rPr>
        <w:t>a</w:t>
      </w:r>
      <w:r w:rsidRPr="00C91B61">
        <w:rPr>
          <w:szCs w:val="24"/>
        </w:rPr>
        <w:t xml:space="preserve"> dopravy, Ministerstv</w:t>
      </w:r>
      <w:r>
        <w:rPr>
          <w:szCs w:val="24"/>
        </w:rPr>
        <w:t>a</w:t>
      </w:r>
      <w:r w:rsidRPr="00C91B61">
        <w:rPr>
          <w:szCs w:val="24"/>
        </w:rPr>
        <w:t xml:space="preserve"> obrany, Ministerstv</w:t>
      </w:r>
      <w:r>
        <w:rPr>
          <w:szCs w:val="24"/>
        </w:rPr>
        <w:t xml:space="preserve">a spravedlnosti </w:t>
      </w:r>
      <w:r w:rsidRPr="00C91B61">
        <w:rPr>
          <w:szCs w:val="24"/>
        </w:rPr>
        <w:t>a Ministerstv</w:t>
      </w:r>
      <w:r>
        <w:rPr>
          <w:szCs w:val="24"/>
        </w:rPr>
        <w:t>a</w:t>
      </w:r>
      <w:r w:rsidRPr="00C91B61">
        <w:rPr>
          <w:szCs w:val="24"/>
        </w:rPr>
        <w:t xml:space="preserve"> životního prostředí</w:t>
      </w:r>
      <w:r>
        <w:t xml:space="preserve">, které před zahájením zadávacího řízení uzavřely Smlouvu o centralizovaném </w:t>
      </w:r>
      <w:r w:rsidRPr="009D5D11">
        <w:t>zadávání č.j. MF-17152/2015/9001 v souladu s § 3 odst. 1 písm. b) Zákona o veřejných zakázkách. Seznam zadavatelů, pro které je veřejná zakázka</w:t>
      </w:r>
      <w:r>
        <w:t xml:space="preserve"> zadávána (dále jen „Zadavatelé“), tvoří </w:t>
      </w:r>
      <w:r w:rsidRPr="00C91B61">
        <w:rPr>
          <w:szCs w:val="24"/>
          <w:u w:val="single"/>
        </w:rPr>
        <w:t>přílo</w:t>
      </w:r>
      <w:r>
        <w:rPr>
          <w:szCs w:val="24"/>
          <w:u w:val="single"/>
        </w:rPr>
        <w:t>hu</w:t>
      </w:r>
      <w:r w:rsidRPr="00C91B61">
        <w:rPr>
          <w:szCs w:val="24"/>
          <w:u w:val="single"/>
        </w:rPr>
        <w:t xml:space="preserve"> č. </w:t>
      </w:r>
      <w:r>
        <w:rPr>
          <w:szCs w:val="24"/>
          <w:u w:val="single"/>
        </w:rPr>
        <w:t>1.</w:t>
      </w:r>
      <w:r>
        <w:t xml:space="preserve"> Jako centrální zadavatel vystupuje Ministerstvo financí, které v rámci centralizovaného zadávání pořizuje dodávky i pro sebe. Jedná se o veřejnou zakázku rozdělenou na části ve smyslu § 98 Zákona o veřejných zakázkách.</w:t>
      </w:r>
    </w:p>
    <w:p w:rsidR="00961A37" w:rsidRDefault="00961A37">
      <w:pPr>
        <w:pStyle w:val="Zkladntextodsazen"/>
        <w:spacing w:before="120" w:after="12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 základě realizace zadávacího řízení bude uzavřena rámcová smlouva (dále též „Rámcová smlouva“) </w:t>
      </w:r>
      <w:r w:rsidRPr="008F6446">
        <w:rPr>
          <w:sz w:val="24"/>
          <w:szCs w:val="24"/>
        </w:rPr>
        <w:t>pro každou část veřejné zakázky</w:t>
      </w:r>
      <w:r>
        <w:rPr>
          <w:sz w:val="24"/>
          <w:szCs w:val="24"/>
        </w:rPr>
        <w:t xml:space="preserve"> mezi centrálním zadavatelem a maximálně 5 vybranými uchazeči. Na základě Rámcové smlouvy budou následně Zadavatelé uzavírat kupní smlouvy na dodávky předmětu plnění veřejné zakázky. </w:t>
      </w:r>
    </w:p>
    <w:p w:rsidR="00961A37" w:rsidRPr="00EF02C2" w:rsidRDefault="00961A37">
      <w:pPr>
        <w:pStyle w:val="Zkladntextodsazen"/>
        <w:spacing w:before="120" w:after="12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Centrální zadavatel vybere formou </w:t>
      </w:r>
      <w:r w:rsidRPr="00A77B7D">
        <w:rPr>
          <w:sz w:val="24"/>
          <w:szCs w:val="24"/>
        </w:rPr>
        <w:t>otevřené</w:t>
      </w:r>
      <w:r>
        <w:rPr>
          <w:sz w:val="24"/>
          <w:szCs w:val="24"/>
        </w:rPr>
        <w:t>ho</w:t>
      </w:r>
      <w:r w:rsidRPr="00A77B7D">
        <w:rPr>
          <w:sz w:val="24"/>
          <w:szCs w:val="24"/>
        </w:rPr>
        <w:t xml:space="preserve"> řízení</w:t>
      </w:r>
      <w:r>
        <w:rPr>
          <w:sz w:val="24"/>
          <w:szCs w:val="24"/>
        </w:rPr>
        <w:t xml:space="preserve"> </w:t>
      </w:r>
      <w:r w:rsidRPr="008F6446">
        <w:rPr>
          <w:sz w:val="24"/>
          <w:szCs w:val="24"/>
        </w:rPr>
        <w:t>pro každou část veřejné zakázky</w:t>
      </w:r>
      <w:r>
        <w:rPr>
          <w:sz w:val="24"/>
          <w:szCs w:val="24"/>
        </w:rPr>
        <w:t xml:space="preserve"> v souladu s </w:t>
      </w:r>
      <w:r w:rsidRPr="00C91B61">
        <w:rPr>
          <w:sz w:val="24"/>
          <w:szCs w:val="24"/>
        </w:rPr>
        <w:t xml:space="preserve">§ 90 </w:t>
      </w:r>
      <w:r>
        <w:rPr>
          <w:sz w:val="24"/>
          <w:szCs w:val="24"/>
        </w:rPr>
        <w:t>Z</w:t>
      </w:r>
      <w:r w:rsidRPr="00C91B61">
        <w:rPr>
          <w:sz w:val="24"/>
          <w:szCs w:val="24"/>
        </w:rPr>
        <w:t>ákona</w:t>
      </w:r>
      <w:r>
        <w:rPr>
          <w:sz w:val="24"/>
          <w:szCs w:val="24"/>
        </w:rPr>
        <w:t xml:space="preserve"> o veřejných zakázkách </w:t>
      </w:r>
      <w:r w:rsidRPr="00034CC0">
        <w:rPr>
          <w:sz w:val="24"/>
          <w:szCs w:val="24"/>
        </w:rPr>
        <w:t>5 uchazečů</w:t>
      </w:r>
      <w:r>
        <w:rPr>
          <w:sz w:val="24"/>
          <w:szCs w:val="24"/>
        </w:rPr>
        <w:t xml:space="preserve"> a uzavře s nimi v souladu s ustanovením § </w:t>
      </w:r>
      <w:smartTag w:uri="urn:schemas-microsoft-com:office:smarttags" w:element="metricconverter">
        <w:smartTagPr>
          <w:attr w:name="ProductID" w:val="82 a"/>
        </w:smartTagPr>
        <w:r>
          <w:rPr>
            <w:sz w:val="24"/>
            <w:szCs w:val="24"/>
          </w:rPr>
          <w:t>82 a</w:t>
        </w:r>
      </w:smartTag>
      <w:r>
        <w:rPr>
          <w:sz w:val="24"/>
          <w:szCs w:val="24"/>
        </w:rPr>
        <w:t xml:space="preserve"> §</w:t>
      </w:r>
      <w:r w:rsidR="00C26A03">
        <w:rPr>
          <w:sz w:val="24"/>
          <w:szCs w:val="24"/>
        </w:rPr>
        <w:t> </w:t>
      </w:r>
      <w:r>
        <w:rPr>
          <w:sz w:val="24"/>
          <w:szCs w:val="24"/>
        </w:rPr>
        <w:t>89 Zákona o veřejných zakázkách Rámcovou smlouvu.</w:t>
      </w:r>
      <w:r w:rsidRPr="00B1339B">
        <w:rPr>
          <w:sz w:val="24"/>
          <w:szCs w:val="24"/>
        </w:rPr>
        <w:t xml:space="preserve"> </w:t>
      </w:r>
      <w:r>
        <w:rPr>
          <w:sz w:val="24"/>
          <w:szCs w:val="24"/>
        </w:rPr>
        <w:t>V případě, že centrální zadavatel nebude moci uzavřít smlouvu s 5 uchazeči, může rámcovou smlouvu dle § 90 odst. 2 Zákona o veřejných zakázkách uzavřít i s nižším počtem uchazečů.</w:t>
      </w:r>
    </w:p>
    <w:p w:rsidR="00961A37" w:rsidRDefault="00961A37" w:rsidP="00EF02C2">
      <w:pPr>
        <w:pStyle w:val="Zkladntextodsazen"/>
        <w:spacing w:before="120" w:after="12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Zadavatelé, se kterými má centrální zadavatel uzavřenou písemnou smlouvu ve smyslu </w:t>
      </w:r>
      <w:r w:rsidRPr="004368A7">
        <w:rPr>
          <w:sz w:val="24"/>
          <w:szCs w:val="24"/>
        </w:rPr>
        <w:t>§ 3 odst. 1 písm. b)</w:t>
      </w:r>
      <w:r>
        <w:rPr>
          <w:sz w:val="24"/>
          <w:szCs w:val="24"/>
        </w:rPr>
        <w:t xml:space="preserve"> Zákona o veřejných zakázkách, budou při zadávání veřejných zakázek na základě Rámcové smlouvy písemně vyzývat k předložení návrhu na uzavření kupní smlouvy vždy toho uchazeče a účastníka Rámcové smlouvy, který se v zadávacím řízení na danou část veřejné zakázky umístil jako první v pořadí. Odmítne-li tento uchazeč návrh smlouvy předložit, vyzve Zadavatel uchazeče, který se v zadávacím řízení na danou část veřejné zakázky umístil jako další v pořadí. Obdobným způsobem postupuje Zadavatel až do doby, než bude uzavřena kupní smlouva nebo kdy návrh odmítne předložit uchazeč, který se v zadávacím řízení na danou část veřejné </w:t>
      </w:r>
      <w:r>
        <w:rPr>
          <w:sz w:val="24"/>
          <w:szCs w:val="24"/>
        </w:rPr>
        <w:lastRenderedPageBreak/>
        <w:t xml:space="preserve">zakázky umístil jako pátý v pořadí, resp. jako poslední, se kterým byla uzavřena Rámcová smlouva. </w:t>
      </w:r>
    </w:p>
    <w:p w:rsidR="00961A37" w:rsidRDefault="00961A37" w:rsidP="00EF02C2">
      <w:pPr>
        <w:pStyle w:val="Zkladntextodsazen"/>
        <w:spacing w:before="120" w:after="120"/>
        <w:ind w:left="0"/>
        <w:rPr>
          <w:sz w:val="24"/>
          <w:szCs w:val="24"/>
        </w:rPr>
      </w:pPr>
      <w:r>
        <w:rPr>
          <w:sz w:val="24"/>
          <w:szCs w:val="24"/>
        </w:rPr>
        <w:t>Zadavatelé budou uvedeným způsobem vyzývat uchazeče, s nimiž byla uzavřena Rámcová smlouva k předložení návrhu na uzavření kupní smlouvy průběžně dle své potřeby, a to po dobu 24</w:t>
      </w:r>
      <w:r w:rsidR="00C26A03">
        <w:rPr>
          <w:sz w:val="24"/>
          <w:szCs w:val="24"/>
        </w:rPr>
        <w:t> </w:t>
      </w:r>
      <w:r>
        <w:rPr>
          <w:sz w:val="24"/>
          <w:szCs w:val="24"/>
        </w:rPr>
        <w:t xml:space="preserve">měsíců ode </w:t>
      </w:r>
      <w:r w:rsidRPr="00427A65">
        <w:rPr>
          <w:sz w:val="24"/>
          <w:szCs w:val="24"/>
        </w:rPr>
        <w:t xml:space="preserve">dne podpisu </w:t>
      </w:r>
      <w:r>
        <w:rPr>
          <w:sz w:val="24"/>
          <w:szCs w:val="24"/>
        </w:rPr>
        <w:t>Rámcové smlouvy</w:t>
      </w:r>
      <w:r w:rsidRPr="00BC1680">
        <w:rPr>
          <w:sz w:val="24"/>
          <w:szCs w:val="24"/>
        </w:rPr>
        <w:t xml:space="preserve"> </w:t>
      </w:r>
      <w:r>
        <w:rPr>
          <w:sz w:val="24"/>
          <w:szCs w:val="24"/>
        </w:rPr>
        <w:t>všemi smluvními stranami, nebo do vyčerpání předpokládaného finančního objemu podle toho, která ze skutečností nastane dříve.</w:t>
      </w:r>
    </w:p>
    <w:p w:rsidR="00961A37" w:rsidRPr="0067229E" w:rsidRDefault="00961A37" w:rsidP="00EF02C2">
      <w:pPr>
        <w:pStyle w:val="Zkladntextodsazen"/>
        <w:spacing w:before="120" w:after="120"/>
        <w:ind w:left="0"/>
        <w:rPr>
          <w:szCs w:val="24"/>
        </w:rPr>
      </w:pPr>
    </w:p>
    <w:p w:rsidR="00961A37" w:rsidRPr="0047572E" w:rsidRDefault="00961A37" w:rsidP="0047572E">
      <w:pPr>
        <w:pStyle w:val="Nadpis2"/>
        <w:jc w:val="both"/>
      </w:pPr>
      <w:r w:rsidRPr="0047572E">
        <w:t>Struktura zadávací dokumentace</w:t>
      </w:r>
    </w:p>
    <w:p w:rsidR="00961A37" w:rsidRPr="0047572E" w:rsidRDefault="00961A37" w:rsidP="0047572E">
      <w:pPr>
        <w:jc w:val="left"/>
        <w:rPr>
          <w:b/>
        </w:rPr>
      </w:pPr>
    </w:p>
    <w:p w:rsidR="00961A37" w:rsidRPr="0047572E" w:rsidRDefault="00961A37">
      <w:pPr>
        <w:rPr>
          <w:b/>
          <w:sz w:val="24"/>
        </w:rPr>
      </w:pPr>
      <w:r w:rsidRPr="0047572E">
        <w:rPr>
          <w:b/>
          <w:sz w:val="24"/>
        </w:rPr>
        <w:t>1. Pokyny pro dodavatele</w:t>
      </w:r>
    </w:p>
    <w:p w:rsidR="00961A37" w:rsidRDefault="00961A37">
      <w:pPr>
        <w:rPr>
          <w:b/>
          <w:sz w:val="24"/>
        </w:rPr>
      </w:pPr>
    </w:p>
    <w:p w:rsidR="00961A37" w:rsidRPr="0047572E" w:rsidRDefault="00961A37">
      <w:pPr>
        <w:rPr>
          <w:b/>
          <w:sz w:val="24"/>
        </w:rPr>
      </w:pPr>
      <w:r w:rsidRPr="0047572E">
        <w:rPr>
          <w:b/>
          <w:sz w:val="24"/>
        </w:rPr>
        <w:t>2. Osnova pro zpracování nabídky</w:t>
      </w:r>
    </w:p>
    <w:p w:rsidR="00961A37" w:rsidRDefault="00961A37" w:rsidP="003A1C6C">
      <w:pPr>
        <w:rPr>
          <w:sz w:val="24"/>
        </w:rPr>
      </w:pPr>
    </w:p>
    <w:p w:rsidR="00961A37" w:rsidRDefault="00961A37" w:rsidP="00CA7D63">
      <w:pPr>
        <w:rPr>
          <w:b/>
          <w:sz w:val="24"/>
        </w:rPr>
      </w:pPr>
      <w:r w:rsidRPr="00810CDC">
        <w:rPr>
          <w:b/>
          <w:sz w:val="24"/>
        </w:rPr>
        <w:t>Přílohy k zadávací dokumentaci:</w:t>
      </w:r>
    </w:p>
    <w:p w:rsidR="00961A37" w:rsidRPr="0047572E" w:rsidRDefault="00961A37" w:rsidP="00CA7D63">
      <w:pPr>
        <w:rPr>
          <w:b/>
          <w:sz w:val="24"/>
        </w:rPr>
      </w:pPr>
    </w:p>
    <w:p w:rsidR="00961A37" w:rsidRDefault="00961A37" w:rsidP="00CA7D63">
      <w:pPr>
        <w:rPr>
          <w:sz w:val="24"/>
        </w:rPr>
      </w:pPr>
      <w:r w:rsidRPr="0047572E">
        <w:rPr>
          <w:sz w:val="24"/>
          <w:u w:val="single"/>
        </w:rPr>
        <w:t>I. Společné přílohy k zadávací dokumentaci</w:t>
      </w:r>
      <w:r>
        <w:rPr>
          <w:sz w:val="24"/>
        </w:rPr>
        <w:t xml:space="preserve"> (tj. přílohy bez ohledu na to, na jaké části veřejné zakázky uchazeč podává nabídku)</w:t>
      </w:r>
    </w:p>
    <w:p w:rsidR="00961A37" w:rsidRPr="00527882" w:rsidRDefault="00961A37" w:rsidP="00527882">
      <w:pPr>
        <w:pStyle w:val="Odstavecseseznamem"/>
        <w:numPr>
          <w:ilvl w:val="0"/>
          <w:numId w:val="23"/>
          <w:numberingChange w:id="0" w:author="Unknown" w:date="2015-09-13T13:36:00Z" w:original=""/>
        </w:numPr>
        <w:rPr>
          <w:sz w:val="24"/>
        </w:rPr>
      </w:pPr>
      <w:r w:rsidRPr="00527882">
        <w:rPr>
          <w:sz w:val="24"/>
        </w:rPr>
        <w:t>Příloha č. 3 – Technická specifikace</w:t>
      </w:r>
    </w:p>
    <w:p w:rsidR="00961A37" w:rsidRDefault="00961A37" w:rsidP="0047572E">
      <w:pPr>
        <w:pStyle w:val="Odstavecseseznamem"/>
        <w:numPr>
          <w:ilvl w:val="0"/>
          <w:numId w:val="23"/>
          <w:numberingChange w:id="1" w:author="Unknown" w:date="2015-09-13T13:36:00Z" w:original=""/>
        </w:numPr>
        <w:rPr>
          <w:sz w:val="24"/>
        </w:rPr>
      </w:pPr>
      <w:r>
        <w:rPr>
          <w:sz w:val="24"/>
        </w:rPr>
        <w:t>Příloha č. 4 – Předpokládaný objem plnění</w:t>
      </w:r>
    </w:p>
    <w:p w:rsidR="00961A37" w:rsidRPr="00D804C5" w:rsidRDefault="00961A37" w:rsidP="0047572E">
      <w:pPr>
        <w:pStyle w:val="Odstavecseseznamem"/>
        <w:numPr>
          <w:ilvl w:val="0"/>
          <w:numId w:val="23"/>
          <w:numberingChange w:id="2" w:author="Unknown" w:date="2015-09-13T13:36:00Z" w:original=""/>
        </w:numPr>
        <w:rPr>
          <w:sz w:val="24"/>
        </w:rPr>
      </w:pPr>
      <w:r w:rsidRPr="00D804C5">
        <w:rPr>
          <w:sz w:val="24"/>
        </w:rPr>
        <w:t>Příloha č. 7 – Podmínky a požadavky na elektronické zpracování a podání nabídky</w:t>
      </w:r>
    </w:p>
    <w:p w:rsidR="00961A37" w:rsidRDefault="00961A37" w:rsidP="0047572E">
      <w:pPr>
        <w:pStyle w:val="Odstavecseseznamem"/>
        <w:numPr>
          <w:ilvl w:val="0"/>
          <w:numId w:val="23"/>
          <w:numberingChange w:id="3" w:author="Unknown" w:date="2015-09-13T13:36:00Z" w:original=""/>
        </w:numPr>
        <w:rPr>
          <w:sz w:val="24"/>
        </w:rPr>
      </w:pPr>
      <w:r w:rsidRPr="00D804C5">
        <w:rPr>
          <w:sz w:val="24"/>
        </w:rPr>
        <w:t>Příloha č. 8 – Podmínky a postup při elektronické aukci</w:t>
      </w:r>
      <w:r w:rsidRPr="00D25CAF">
        <w:rPr>
          <w:sz w:val="24"/>
        </w:rPr>
        <w:t xml:space="preserve"> </w:t>
      </w:r>
    </w:p>
    <w:p w:rsidR="00961A37" w:rsidRPr="00527882" w:rsidRDefault="00961A37" w:rsidP="00527882">
      <w:pPr>
        <w:pStyle w:val="Odstavecseseznamem"/>
        <w:numPr>
          <w:ilvl w:val="0"/>
          <w:numId w:val="23"/>
          <w:numberingChange w:id="4" w:author="Unknown" w:date="2015-09-13T13:36:00Z" w:original=""/>
        </w:numPr>
        <w:jc w:val="left"/>
        <w:rPr>
          <w:sz w:val="24"/>
        </w:rPr>
      </w:pPr>
      <w:r w:rsidRPr="00527882">
        <w:rPr>
          <w:sz w:val="24"/>
        </w:rPr>
        <w:t>Příloha č. 10 – Vzor Čestného prohlášení o splnění základních kvalifikačních předpokladů</w:t>
      </w:r>
    </w:p>
    <w:p w:rsidR="00961A37" w:rsidRPr="00527882" w:rsidRDefault="00961A37" w:rsidP="00527882">
      <w:pPr>
        <w:pStyle w:val="Odstavecseseznamem"/>
        <w:numPr>
          <w:ilvl w:val="0"/>
          <w:numId w:val="23"/>
          <w:numberingChange w:id="5" w:author="Unknown" w:date="2015-09-13T13:36:00Z" w:original=""/>
        </w:numPr>
        <w:jc w:val="left"/>
        <w:rPr>
          <w:sz w:val="24"/>
          <w:szCs w:val="24"/>
        </w:rPr>
      </w:pPr>
      <w:r w:rsidRPr="00527882">
        <w:rPr>
          <w:sz w:val="24"/>
          <w:szCs w:val="24"/>
        </w:rPr>
        <w:t>Příloha č. 11 – Vzor Čestného prohlášení o ekonomické a finanční způsobilosti splnit veřejnou zakázku</w:t>
      </w:r>
    </w:p>
    <w:p w:rsidR="00961A37" w:rsidRPr="00527882" w:rsidRDefault="00961A37" w:rsidP="00527882">
      <w:pPr>
        <w:pStyle w:val="Odstavecseseznamem"/>
        <w:numPr>
          <w:ilvl w:val="0"/>
          <w:numId w:val="23"/>
          <w:numberingChange w:id="6" w:author="Unknown" w:date="2015-09-13T13:36:00Z" w:original=""/>
        </w:numPr>
        <w:jc w:val="left"/>
        <w:rPr>
          <w:sz w:val="24"/>
        </w:rPr>
      </w:pPr>
      <w:r w:rsidRPr="00527882">
        <w:rPr>
          <w:sz w:val="24"/>
          <w:szCs w:val="24"/>
        </w:rPr>
        <w:t>Příloha č. 12 – Vzor Čestného prohlášení ke splnění požadavků dle § 68 odst. 3 Zákona o</w:t>
      </w:r>
      <w:r w:rsidR="00C26A03">
        <w:rPr>
          <w:sz w:val="24"/>
          <w:szCs w:val="24"/>
        </w:rPr>
        <w:t> </w:t>
      </w:r>
      <w:r w:rsidRPr="00527882">
        <w:rPr>
          <w:sz w:val="24"/>
          <w:szCs w:val="24"/>
        </w:rPr>
        <w:t>veřejných zakázkách</w:t>
      </w:r>
    </w:p>
    <w:p w:rsidR="00961A37" w:rsidRDefault="00961A37">
      <w:pPr>
        <w:rPr>
          <w:sz w:val="24"/>
        </w:rPr>
      </w:pPr>
    </w:p>
    <w:p w:rsidR="00961A37" w:rsidRDefault="00961A37">
      <w:pPr>
        <w:rPr>
          <w:sz w:val="24"/>
        </w:rPr>
      </w:pPr>
      <w:r w:rsidRPr="0047572E">
        <w:rPr>
          <w:sz w:val="24"/>
          <w:u w:val="single"/>
        </w:rPr>
        <w:t>II. Specifické přílohy k zadávací dokumentace pro jednotlivé části veřejné zakázky</w:t>
      </w:r>
    </w:p>
    <w:p w:rsidR="00961A37" w:rsidRPr="00EE6CAE" w:rsidRDefault="00961A37" w:rsidP="00EE6CAE">
      <w:pPr>
        <w:pStyle w:val="Odstavecseseznamem"/>
        <w:numPr>
          <w:ilvl w:val="0"/>
          <w:numId w:val="23"/>
          <w:numberingChange w:id="7" w:author="Unknown" w:date="2015-09-13T13:36:00Z" w:original=""/>
        </w:numPr>
        <w:rPr>
          <w:sz w:val="24"/>
        </w:rPr>
      </w:pPr>
      <w:r w:rsidRPr="00EE6CAE">
        <w:rPr>
          <w:sz w:val="24"/>
        </w:rPr>
        <w:t>Příloha č. 1 – Seznam Zadavatelů</w:t>
      </w:r>
    </w:p>
    <w:p w:rsidR="00961A37" w:rsidRDefault="00961A37" w:rsidP="0047572E">
      <w:pPr>
        <w:pStyle w:val="Odstavecseseznamem"/>
        <w:numPr>
          <w:ilvl w:val="0"/>
          <w:numId w:val="23"/>
          <w:numberingChange w:id="8" w:author="Unknown" w:date="2015-09-13T13:36:00Z" w:original=""/>
        </w:numPr>
        <w:rPr>
          <w:sz w:val="24"/>
        </w:rPr>
      </w:pPr>
      <w:r w:rsidRPr="00EE6CAE">
        <w:rPr>
          <w:sz w:val="24"/>
        </w:rPr>
        <w:t>Příloha č. 2 – Seznam míst plnění</w:t>
      </w:r>
    </w:p>
    <w:p w:rsidR="00961A37" w:rsidRPr="00EE6CAE" w:rsidRDefault="00961A37" w:rsidP="00EE6CAE">
      <w:pPr>
        <w:pStyle w:val="Odstavecseseznamem"/>
        <w:numPr>
          <w:ilvl w:val="0"/>
          <w:numId w:val="23"/>
          <w:numberingChange w:id="9" w:author="Unknown" w:date="2015-09-13T13:36:00Z" w:original=""/>
        </w:numPr>
        <w:rPr>
          <w:sz w:val="24"/>
        </w:rPr>
      </w:pPr>
      <w:r w:rsidRPr="00EE6CAE">
        <w:rPr>
          <w:sz w:val="24"/>
        </w:rPr>
        <w:t>Příloha č. 5 – Hodnotící model</w:t>
      </w:r>
    </w:p>
    <w:p w:rsidR="00961A37" w:rsidRPr="00EE6CAE" w:rsidRDefault="00961A37" w:rsidP="00EE6CAE">
      <w:pPr>
        <w:pStyle w:val="Odstavecseseznamem"/>
        <w:numPr>
          <w:ilvl w:val="0"/>
          <w:numId w:val="23"/>
          <w:numberingChange w:id="10" w:author="Unknown" w:date="2015-09-13T13:36:00Z" w:original=""/>
        </w:numPr>
        <w:rPr>
          <w:sz w:val="24"/>
        </w:rPr>
      </w:pPr>
      <w:r w:rsidRPr="00EE6CAE">
        <w:rPr>
          <w:sz w:val="24"/>
        </w:rPr>
        <w:t>Příloha č. 6 – Rámcová smlouva</w:t>
      </w:r>
      <w:r>
        <w:rPr>
          <w:sz w:val="24"/>
        </w:rPr>
        <w:t xml:space="preserve"> včetně příloh</w:t>
      </w:r>
    </w:p>
    <w:p w:rsidR="00961A37" w:rsidRPr="00EE6CAE" w:rsidRDefault="00961A37" w:rsidP="00EE6CAE">
      <w:pPr>
        <w:pStyle w:val="Odstavecseseznamem"/>
        <w:numPr>
          <w:ilvl w:val="0"/>
          <w:numId w:val="23"/>
          <w:numberingChange w:id="11" w:author="Unknown" w:date="2015-09-13T13:36:00Z" w:original=""/>
        </w:numPr>
        <w:rPr>
          <w:sz w:val="24"/>
        </w:rPr>
      </w:pPr>
      <w:r w:rsidRPr="00EE6CAE">
        <w:rPr>
          <w:sz w:val="24"/>
        </w:rPr>
        <w:t>Příloha č. 9 – Vzor Krycího listu nabídky</w:t>
      </w:r>
    </w:p>
    <w:p w:rsidR="00961A37" w:rsidRDefault="00961A37" w:rsidP="00CA7D63">
      <w:pPr>
        <w:rPr>
          <w:sz w:val="24"/>
        </w:rPr>
      </w:pPr>
    </w:p>
    <w:p w:rsidR="00961A37" w:rsidRDefault="00961A37" w:rsidP="0047572E">
      <w:pPr>
        <w:tabs>
          <w:tab w:val="center" w:pos="4770"/>
        </w:tabs>
        <w:rPr>
          <w:sz w:val="24"/>
        </w:rPr>
      </w:pPr>
    </w:p>
    <w:p w:rsidR="00961A37" w:rsidRDefault="00961A37" w:rsidP="00D25CAF">
      <w:pPr>
        <w:rPr>
          <w:sz w:val="24"/>
        </w:rPr>
      </w:pPr>
    </w:p>
    <w:p w:rsidR="00961A37" w:rsidRDefault="00961A37" w:rsidP="00D25CAF">
      <w:pPr>
        <w:rPr>
          <w:sz w:val="24"/>
        </w:rPr>
      </w:pPr>
    </w:p>
    <w:p w:rsidR="00961A37" w:rsidRPr="00413C5A" w:rsidRDefault="00961A37">
      <w:pPr>
        <w:rPr>
          <w:sz w:val="24"/>
        </w:rPr>
      </w:pPr>
    </w:p>
    <w:p w:rsidR="00961A37" w:rsidRPr="00413C5A" w:rsidRDefault="00961A37">
      <w:pPr>
        <w:rPr>
          <w:sz w:val="24"/>
        </w:rPr>
      </w:pPr>
    </w:p>
    <w:p w:rsidR="00961A37" w:rsidRDefault="00961A37" w:rsidP="00EF02C2">
      <w:pPr>
        <w:pStyle w:val="Nadpis2"/>
      </w:pPr>
    </w:p>
    <w:p w:rsidR="00961A37" w:rsidRDefault="00961A37" w:rsidP="00A710A0">
      <w:pPr>
        <w:pStyle w:val="Nadpis2"/>
        <w:rPr>
          <w:i w:val="0"/>
        </w:rPr>
        <w:sectPr w:rsidR="00961A37" w:rsidSect="005477E3">
          <w:footerReference w:type="even" r:id="rId9"/>
          <w:footerReference w:type="default" r:id="rId10"/>
          <w:pgSz w:w="11906" w:h="16838"/>
          <w:pgMar w:top="719" w:right="1106" w:bottom="1417" w:left="1260" w:header="708" w:footer="708" w:gutter="0"/>
          <w:cols w:space="708"/>
          <w:docGrid w:linePitch="360"/>
        </w:sectPr>
      </w:pPr>
    </w:p>
    <w:p w:rsidR="00961A37" w:rsidRPr="00EF02C2" w:rsidRDefault="00961A37" w:rsidP="00EF02C2">
      <w:pPr>
        <w:pStyle w:val="Nadpis2"/>
        <w:rPr>
          <w:b w:val="0"/>
        </w:rPr>
      </w:pPr>
      <w:r w:rsidRPr="00EF02C2">
        <w:rPr>
          <w:i w:val="0"/>
        </w:rPr>
        <w:lastRenderedPageBreak/>
        <w:t>1. Pokyny pro dodavatele</w:t>
      </w:r>
    </w:p>
    <w:p w:rsidR="00961A37" w:rsidRPr="00413C5A" w:rsidRDefault="00961A37">
      <w:pPr>
        <w:rPr>
          <w:sz w:val="24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4"/>
        <w:gridCol w:w="6215"/>
      </w:tblGrid>
      <w:tr w:rsidR="00961A37" w:rsidRPr="00413C5A" w:rsidTr="00EF02C2">
        <w:tc>
          <w:tcPr>
            <w:tcW w:w="3494" w:type="dxa"/>
            <w:shd w:val="clear" w:color="auto" w:fill="FFFFFF"/>
          </w:tcPr>
          <w:p w:rsidR="00961A37" w:rsidRPr="00413C5A" w:rsidRDefault="00961A37" w:rsidP="00EF02C2">
            <w:pPr>
              <w:spacing w:before="120" w:after="120"/>
              <w:ind w:left="180" w:hanging="180"/>
              <w:rPr>
                <w:b/>
                <w:bCs/>
                <w:sz w:val="24"/>
              </w:rPr>
            </w:pPr>
            <w:r w:rsidRPr="00413C5A">
              <w:rPr>
                <w:b/>
                <w:bCs/>
                <w:sz w:val="24"/>
              </w:rPr>
              <w:t>1. Předmět veřejné zakázky:</w:t>
            </w:r>
          </w:p>
          <w:p w:rsidR="00961A37" w:rsidRPr="00413C5A" w:rsidRDefault="00961A37" w:rsidP="00EF02C2">
            <w:pPr>
              <w:spacing w:before="120" w:after="120"/>
              <w:ind w:left="180" w:hanging="180"/>
              <w:rPr>
                <w:sz w:val="24"/>
              </w:rPr>
            </w:pPr>
          </w:p>
          <w:p w:rsidR="00961A37" w:rsidRPr="00413C5A" w:rsidRDefault="00961A37" w:rsidP="00EF02C2">
            <w:pPr>
              <w:spacing w:before="120" w:after="120"/>
              <w:rPr>
                <w:sz w:val="24"/>
              </w:rPr>
            </w:pPr>
          </w:p>
          <w:p w:rsidR="00961A37" w:rsidRPr="00413C5A" w:rsidRDefault="00961A37" w:rsidP="00EF02C2">
            <w:pPr>
              <w:spacing w:before="120" w:after="120"/>
              <w:rPr>
                <w:b/>
                <w:bCs/>
                <w:sz w:val="22"/>
              </w:rPr>
            </w:pPr>
          </w:p>
        </w:tc>
        <w:tc>
          <w:tcPr>
            <w:tcW w:w="6215" w:type="dxa"/>
            <w:shd w:val="clear" w:color="auto" w:fill="FFFFFF"/>
          </w:tcPr>
          <w:p w:rsidR="00961A37" w:rsidRPr="005F48C6" w:rsidRDefault="00961A37" w:rsidP="00EF02C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Postupné d</w:t>
            </w:r>
            <w:r w:rsidRPr="00C91B61">
              <w:rPr>
                <w:sz w:val="24"/>
                <w:szCs w:val="24"/>
              </w:rPr>
              <w:t xml:space="preserve">odávky kancelářského papíru </w:t>
            </w:r>
            <w:r>
              <w:rPr>
                <w:sz w:val="24"/>
                <w:szCs w:val="24"/>
              </w:rPr>
              <w:t xml:space="preserve">formátu A4 a A3 (dále také „zboží“) do kopírovacích strojů, laserových a inkoustových tiskáren pro oboustranný černobílý a plnobarevný tisk v kvalitě A, B a C </w:t>
            </w:r>
            <w:r w:rsidRPr="00C91B61">
              <w:rPr>
                <w:sz w:val="24"/>
                <w:szCs w:val="24"/>
              </w:rPr>
              <w:t xml:space="preserve">pro </w:t>
            </w:r>
            <w:r>
              <w:rPr>
                <w:sz w:val="24"/>
                <w:szCs w:val="24"/>
              </w:rPr>
              <w:t>Zadavatele</w:t>
            </w:r>
            <w:r w:rsidRPr="00C91B61">
              <w:rPr>
                <w:sz w:val="24"/>
                <w:szCs w:val="24"/>
              </w:rPr>
              <w:t xml:space="preserve"> sdružené </w:t>
            </w:r>
            <w:r>
              <w:rPr>
                <w:sz w:val="24"/>
                <w:szCs w:val="24"/>
              </w:rPr>
              <w:t xml:space="preserve">na základě </w:t>
            </w:r>
            <w:r w:rsidRPr="00C91B61">
              <w:rPr>
                <w:sz w:val="24"/>
                <w:szCs w:val="24"/>
              </w:rPr>
              <w:t>Smlouv</w:t>
            </w:r>
            <w:r>
              <w:rPr>
                <w:sz w:val="24"/>
                <w:szCs w:val="24"/>
              </w:rPr>
              <w:t>y</w:t>
            </w:r>
            <w:r w:rsidRPr="00C91B61">
              <w:rPr>
                <w:sz w:val="24"/>
                <w:szCs w:val="24"/>
              </w:rPr>
              <w:t xml:space="preserve"> o </w:t>
            </w:r>
            <w:r w:rsidRPr="005F48C6">
              <w:rPr>
                <w:sz w:val="24"/>
                <w:szCs w:val="24"/>
              </w:rPr>
              <w:t xml:space="preserve">centralizovaném zadávání, v rozdělení na 8 částí podle </w:t>
            </w:r>
            <w:r w:rsidRPr="00EF02C2">
              <w:rPr>
                <w:sz w:val="24"/>
                <w:szCs w:val="24"/>
              </w:rPr>
              <w:t>územního členění NUTS2</w:t>
            </w:r>
            <w:r w:rsidRPr="005F48C6">
              <w:rPr>
                <w:sz w:val="24"/>
                <w:szCs w:val="24"/>
              </w:rPr>
              <w:t>:</w:t>
            </w:r>
          </w:p>
          <w:p w:rsidR="00961A37" w:rsidRPr="00EF02C2" w:rsidRDefault="00961A37" w:rsidP="00EF02C2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EF02C2">
              <w:rPr>
                <w:sz w:val="24"/>
                <w:szCs w:val="24"/>
              </w:rPr>
              <w:t>Část 1  CZ01   Praha</w:t>
            </w:r>
          </w:p>
          <w:p w:rsidR="00961A37" w:rsidRPr="00EF02C2" w:rsidRDefault="00961A37" w:rsidP="00EF02C2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EF02C2">
              <w:rPr>
                <w:sz w:val="24"/>
                <w:szCs w:val="24"/>
              </w:rPr>
              <w:t>Část 2  CZ02   Střední Čechy</w:t>
            </w:r>
          </w:p>
          <w:p w:rsidR="00961A37" w:rsidRPr="00EF02C2" w:rsidRDefault="00961A37" w:rsidP="00EF02C2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EF02C2">
              <w:rPr>
                <w:sz w:val="24"/>
                <w:szCs w:val="24"/>
              </w:rPr>
              <w:t>Část 3  CZ03   Jihozápad</w:t>
            </w:r>
          </w:p>
          <w:p w:rsidR="00961A37" w:rsidRPr="00EF02C2" w:rsidRDefault="00961A37" w:rsidP="00EF02C2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EF02C2">
              <w:rPr>
                <w:sz w:val="24"/>
                <w:szCs w:val="24"/>
              </w:rPr>
              <w:t>Část 4  CZ04   Severozápad</w:t>
            </w:r>
          </w:p>
          <w:p w:rsidR="00961A37" w:rsidRPr="00EF02C2" w:rsidRDefault="00961A37" w:rsidP="00EF02C2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EF02C2">
              <w:rPr>
                <w:sz w:val="24"/>
                <w:szCs w:val="24"/>
              </w:rPr>
              <w:t>Část 5  CZ05   Severovýchod</w:t>
            </w:r>
          </w:p>
          <w:p w:rsidR="00961A37" w:rsidRPr="00EF02C2" w:rsidRDefault="00961A37" w:rsidP="00EF02C2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EF02C2">
              <w:rPr>
                <w:sz w:val="24"/>
                <w:szCs w:val="24"/>
              </w:rPr>
              <w:t>Část 6  CZ06   Jihovýchod</w:t>
            </w:r>
          </w:p>
          <w:p w:rsidR="00961A37" w:rsidRPr="00EF02C2" w:rsidRDefault="00961A37" w:rsidP="00EF02C2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EF02C2">
              <w:rPr>
                <w:sz w:val="24"/>
                <w:szCs w:val="24"/>
              </w:rPr>
              <w:t>Část 7  CZ07   Střední Morava</w:t>
            </w:r>
          </w:p>
          <w:p w:rsidR="00961A37" w:rsidRPr="00C91B61" w:rsidRDefault="00961A37" w:rsidP="00EF02C2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EF02C2">
              <w:rPr>
                <w:sz w:val="24"/>
                <w:szCs w:val="24"/>
              </w:rPr>
              <w:t>Část 8  CZ08   Moravskoslezsko</w:t>
            </w:r>
          </w:p>
          <w:p w:rsidR="00961A37" w:rsidRPr="00C91B61" w:rsidRDefault="00961A37" w:rsidP="00EF02C2">
            <w:pPr>
              <w:pStyle w:val="Bezmezer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Klasifikace</w:t>
            </w:r>
            <w:r w:rsidRPr="00C91B61">
              <w:rPr>
                <w:rFonts w:ascii="Times New Roman" w:hAnsi="Times New Roman"/>
                <w:sz w:val="24"/>
                <w:szCs w:val="24"/>
              </w:rPr>
              <w:t xml:space="preserve"> dle </w:t>
            </w:r>
            <w:r>
              <w:rPr>
                <w:rFonts w:ascii="Times New Roman" w:hAnsi="Times New Roman"/>
                <w:sz w:val="24"/>
                <w:szCs w:val="24"/>
              </w:rPr>
              <w:t>CPV</w:t>
            </w:r>
            <w:r w:rsidRPr="00C91B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91B61">
              <w:rPr>
                <w:rFonts w:ascii="Times New Roman" w:hAnsi="Times New Roman"/>
                <w:b/>
                <w:sz w:val="24"/>
                <w:szCs w:val="24"/>
              </w:rPr>
              <w:t xml:space="preserve">30197644-2 </w:t>
            </w:r>
            <w:r w:rsidRPr="00C91B61">
              <w:rPr>
                <w:rFonts w:ascii="Times New Roman" w:hAnsi="Times New Roman"/>
                <w:b/>
                <w:sz w:val="24"/>
                <w:szCs w:val="24"/>
              </w:rPr>
              <w:tab/>
              <w:t>Xerografický papír</w:t>
            </w:r>
          </w:p>
          <w:p w:rsidR="00961A37" w:rsidRDefault="00961A37" w:rsidP="00EF02C2">
            <w:pPr>
              <w:spacing w:before="120" w:after="120"/>
              <w:rPr>
                <w:sz w:val="24"/>
                <w:szCs w:val="24"/>
                <w:u w:val="single"/>
              </w:rPr>
            </w:pPr>
            <w:r w:rsidRPr="00C91B61">
              <w:rPr>
                <w:sz w:val="24"/>
                <w:szCs w:val="24"/>
              </w:rPr>
              <w:t xml:space="preserve">Podrobná </w:t>
            </w:r>
            <w:r>
              <w:rPr>
                <w:sz w:val="24"/>
                <w:szCs w:val="24"/>
              </w:rPr>
              <w:t xml:space="preserve">technická </w:t>
            </w:r>
            <w:r w:rsidRPr="00C91B61">
              <w:rPr>
                <w:sz w:val="24"/>
                <w:szCs w:val="24"/>
              </w:rPr>
              <w:t>specifikace</w:t>
            </w:r>
            <w:r>
              <w:rPr>
                <w:sz w:val="24"/>
                <w:szCs w:val="24"/>
              </w:rPr>
              <w:t xml:space="preserve"> </w:t>
            </w:r>
            <w:r w:rsidRPr="00C91B61">
              <w:rPr>
                <w:sz w:val="24"/>
                <w:szCs w:val="24"/>
              </w:rPr>
              <w:t>je uvedena v </w:t>
            </w:r>
            <w:r w:rsidRPr="00C91B61">
              <w:rPr>
                <w:sz w:val="24"/>
                <w:szCs w:val="24"/>
                <w:u w:val="single"/>
              </w:rPr>
              <w:t xml:space="preserve">příloze č. </w:t>
            </w:r>
            <w:r>
              <w:rPr>
                <w:sz w:val="24"/>
                <w:szCs w:val="24"/>
                <w:u w:val="single"/>
              </w:rPr>
              <w:t>3</w:t>
            </w:r>
            <w:r w:rsidRPr="00EF02C2">
              <w:rPr>
                <w:sz w:val="24"/>
                <w:szCs w:val="24"/>
              </w:rPr>
              <w:t>, p</w:t>
            </w:r>
            <w:r>
              <w:rPr>
                <w:sz w:val="24"/>
                <w:szCs w:val="24"/>
              </w:rPr>
              <w:t>ředpokládaný objem plnění podle jednotlivých částí veřejné zakázky a Zadavatelů je</w:t>
            </w:r>
            <w:r w:rsidRPr="00C91B61">
              <w:rPr>
                <w:sz w:val="24"/>
                <w:szCs w:val="24"/>
              </w:rPr>
              <w:t xml:space="preserve"> uveden v </w:t>
            </w:r>
            <w:r w:rsidRPr="00C91B61">
              <w:rPr>
                <w:sz w:val="24"/>
                <w:szCs w:val="24"/>
                <w:u w:val="single"/>
              </w:rPr>
              <w:t xml:space="preserve">příloze č. </w:t>
            </w:r>
            <w:r>
              <w:rPr>
                <w:sz w:val="24"/>
                <w:szCs w:val="24"/>
                <w:u w:val="single"/>
              </w:rPr>
              <w:t>4</w:t>
            </w:r>
            <w:r w:rsidRPr="00EF02C2">
              <w:rPr>
                <w:sz w:val="24"/>
                <w:szCs w:val="24"/>
              </w:rPr>
              <w:t>.</w:t>
            </w:r>
          </w:p>
          <w:p w:rsidR="00961A37" w:rsidRDefault="00961A37" w:rsidP="00EF02C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Dodavatel je oprávněn podat nabídku na jednu, několik nebo všechny části veřejné zakázky.</w:t>
            </w:r>
          </w:p>
          <w:p w:rsidR="00961A37" w:rsidRPr="00C91B61" w:rsidRDefault="00961A37" w:rsidP="00BD262F">
            <w:pPr>
              <w:spacing w:before="120" w:after="120"/>
              <w:rPr>
                <w:sz w:val="24"/>
                <w:szCs w:val="24"/>
              </w:rPr>
            </w:pPr>
            <w:r w:rsidRPr="00CA7ACC">
              <w:rPr>
                <w:sz w:val="24"/>
                <w:szCs w:val="24"/>
              </w:rPr>
              <w:t xml:space="preserve">Část zakázky může být spolufinancována z prostředků fondů EU. V takovém případě je dodavatel povinen poskytnout odběrateli součinnost při plnění požadavků stanovených v řídicí dokumentaci příslušného operačního programu. Konkrétní </w:t>
            </w:r>
            <w:r>
              <w:rPr>
                <w:sz w:val="24"/>
                <w:szCs w:val="24"/>
              </w:rPr>
              <w:t>administrativní požadavky</w:t>
            </w:r>
            <w:r w:rsidRPr="00CA7ACC">
              <w:rPr>
                <w:sz w:val="24"/>
                <w:szCs w:val="24"/>
              </w:rPr>
              <w:t xml:space="preserve"> Zadavatele v případě spolufinancování z prostředků fondů EU budou upraveny v příslušné Kupní smlouvě.</w:t>
            </w:r>
          </w:p>
        </w:tc>
      </w:tr>
      <w:tr w:rsidR="00961A37" w:rsidRPr="00413C5A" w:rsidTr="00EF02C2">
        <w:tc>
          <w:tcPr>
            <w:tcW w:w="3494" w:type="dxa"/>
            <w:shd w:val="clear" w:color="auto" w:fill="FFFFFF"/>
          </w:tcPr>
          <w:p w:rsidR="00961A37" w:rsidRPr="006A4F26" w:rsidRDefault="00961A37" w:rsidP="00EF02C2">
            <w:pPr>
              <w:pStyle w:val="Zkladntextodsazen3"/>
              <w:spacing w:before="120" w:after="120"/>
            </w:pPr>
            <w:r w:rsidRPr="006A4F26">
              <w:rPr>
                <w:b/>
                <w:bCs/>
                <w:sz w:val="24"/>
                <w:szCs w:val="24"/>
              </w:rPr>
              <w:t>2. Místo plnění veřejné zakázky:</w:t>
            </w:r>
          </w:p>
        </w:tc>
        <w:tc>
          <w:tcPr>
            <w:tcW w:w="6215" w:type="dxa"/>
            <w:shd w:val="clear" w:color="auto" w:fill="FFFFFF"/>
          </w:tcPr>
          <w:p w:rsidR="00961A37" w:rsidRDefault="00961A37" w:rsidP="00EC037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republika</w:t>
            </w:r>
          </w:p>
          <w:p w:rsidR="00961A37" w:rsidRPr="00C91B61" w:rsidRDefault="00961A37" w:rsidP="00EC037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Místa plnění v členění podle jednotlivých částí veřejné zakázky a Zadavatelů jsou</w:t>
            </w:r>
            <w:r w:rsidRPr="00C91B61">
              <w:rPr>
                <w:sz w:val="24"/>
                <w:szCs w:val="24"/>
              </w:rPr>
              <w:t xml:space="preserve"> uvedená v </w:t>
            </w:r>
            <w:r w:rsidRPr="00C91B61">
              <w:rPr>
                <w:sz w:val="24"/>
                <w:szCs w:val="24"/>
                <w:u w:val="single"/>
              </w:rPr>
              <w:t xml:space="preserve">příloze č. </w:t>
            </w:r>
            <w:r>
              <w:rPr>
                <w:sz w:val="24"/>
                <w:szCs w:val="24"/>
                <w:u w:val="single"/>
              </w:rPr>
              <w:t>2</w:t>
            </w:r>
            <w:r w:rsidRPr="00EF02C2">
              <w:rPr>
                <w:sz w:val="24"/>
                <w:szCs w:val="24"/>
              </w:rPr>
              <w:t xml:space="preserve">. </w:t>
            </w:r>
          </w:p>
        </w:tc>
      </w:tr>
      <w:tr w:rsidR="00961A37" w:rsidRPr="00413C5A" w:rsidTr="00EF02C2">
        <w:tc>
          <w:tcPr>
            <w:tcW w:w="3494" w:type="dxa"/>
            <w:shd w:val="clear" w:color="auto" w:fill="FFFFFF"/>
          </w:tcPr>
          <w:p w:rsidR="00961A37" w:rsidRPr="006A4F26" w:rsidRDefault="00961A37" w:rsidP="00EF02C2">
            <w:pPr>
              <w:pStyle w:val="Zkladntext3"/>
              <w:spacing w:before="120" w:after="120"/>
              <w:ind w:left="180" w:hanging="180"/>
            </w:pPr>
            <w:r w:rsidRPr="006A4F26">
              <w:rPr>
                <w:bCs/>
                <w:szCs w:val="24"/>
                <w:u w:val="none"/>
              </w:rPr>
              <w:t>3. Doba plnění veřejné zakázky:</w:t>
            </w:r>
          </w:p>
        </w:tc>
        <w:tc>
          <w:tcPr>
            <w:tcW w:w="6215" w:type="dxa"/>
            <w:shd w:val="clear" w:color="auto" w:fill="FFFFFF"/>
          </w:tcPr>
          <w:p w:rsidR="00961A37" w:rsidRPr="006A4F26" w:rsidRDefault="00961A37" w:rsidP="00B75126">
            <w:pPr>
              <w:pStyle w:val="Zkladntextodsazen"/>
              <w:spacing w:before="120" w:after="120"/>
              <w:ind w:left="0"/>
              <w:rPr>
                <w:sz w:val="24"/>
                <w:szCs w:val="24"/>
              </w:rPr>
            </w:pPr>
            <w:r w:rsidRPr="006A4F26">
              <w:rPr>
                <w:sz w:val="24"/>
                <w:szCs w:val="24"/>
              </w:rPr>
              <w:t xml:space="preserve">24 měsíců ode dne podpisu Rámcové smlouvy všemi smluvními stranami nebo do vyčerpání předpokládaného finančního objemu </w:t>
            </w:r>
            <w:r w:rsidRPr="006A4F26">
              <w:rPr>
                <w:sz w:val="24"/>
              </w:rPr>
              <w:t xml:space="preserve">dle </w:t>
            </w:r>
            <w:r w:rsidRPr="006A4F26">
              <w:rPr>
                <w:sz w:val="24"/>
                <w:u w:val="single"/>
              </w:rPr>
              <w:t>přílohy č. 4</w:t>
            </w:r>
            <w:r w:rsidRPr="006A4F26">
              <w:rPr>
                <w:sz w:val="24"/>
              </w:rPr>
              <w:t xml:space="preserve"> </w:t>
            </w:r>
            <w:r w:rsidRPr="006A4F26">
              <w:rPr>
                <w:sz w:val="24"/>
                <w:szCs w:val="24"/>
              </w:rPr>
              <w:t>podle toho, která skutečnost nastane dříve.</w:t>
            </w:r>
          </w:p>
        </w:tc>
      </w:tr>
      <w:tr w:rsidR="00961A37" w:rsidRPr="00047F1A" w:rsidTr="00EF02C2">
        <w:tc>
          <w:tcPr>
            <w:tcW w:w="3494" w:type="dxa"/>
            <w:shd w:val="clear" w:color="auto" w:fill="FFFFFF"/>
          </w:tcPr>
          <w:p w:rsidR="00961A37" w:rsidRPr="00047F1A" w:rsidRDefault="00961A37" w:rsidP="00EF02C2">
            <w:pPr>
              <w:spacing w:before="120" w:after="120"/>
              <w:ind w:left="180" w:hanging="180"/>
              <w:rPr>
                <w:b/>
                <w:bCs/>
                <w:sz w:val="24"/>
              </w:rPr>
            </w:pPr>
            <w:r w:rsidRPr="00047F1A">
              <w:rPr>
                <w:b/>
                <w:bCs/>
                <w:sz w:val="24"/>
              </w:rPr>
              <w:t>4. Předložení nabídky:</w:t>
            </w:r>
          </w:p>
        </w:tc>
        <w:tc>
          <w:tcPr>
            <w:tcW w:w="6215" w:type="dxa"/>
            <w:shd w:val="clear" w:color="auto" w:fill="FFFFFF"/>
          </w:tcPr>
          <w:p w:rsidR="00961A37" w:rsidRPr="006A4F26" w:rsidRDefault="00961A37" w:rsidP="009E2630">
            <w:pPr>
              <w:pStyle w:val="Nadpis1"/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6A4F26">
              <w:rPr>
                <w:rFonts w:ascii="Times New Roman" w:hAnsi="Times New Roman"/>
                <w:sz w:val="24"/>
                <w:szCs w:val="24"/>
              </w:rPr>
              <w:t>Nabídk</w:t>
            </w:r>
            <w:r w:rsidRPr="006A4F26">
              <w:rPr>
                <w:rFonts w:ascii="Times New Roman" w:hAnsi="Times New Roman"/>
                <w:kern w:val="0"/>
                <w:sz w:val="24"/>
                <w:szCs w:val="24"/>
              </w:rPr>
              <w:t>u</w:t>
            </w:r>
            <w:r w:rsidRPr="006A4F2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je možné podat pouze elektronicky </w:t>
            </w:r>
            <w:r w:rsidRPr="006A4F26">
              <w:rPr>
                <w:rFonts w:ascii="Times New Roman" w:hAnsi="Times New Roman"/>
                <w:sz w:val="24"/>
                <w:szCs w:val="24"/>
              </w:rPr>
              <w:t xml:space="preserve">prostřednictvím elektronického nástroje E-ZAK. </w:t>
            </w:r>
            <w:r w:rsidRPr="006A4F26">
              <w:rPr>
                <w:rFonts w:ascii="Times New Roman" w:hAnsi="Times New Roman"/>
                <w:b w:val="0"/>
                <w:sz w:val="24"/>
                <w:szCs w:val="24"/>
              </w:rPr>
              <w:t>Bližší podmínky a požadavky na elektronické zpracování a podání nabídky jsou uvedeny v </w:t>
            </w:r>
            <w:r w:rsidRPr="006A4F26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příloze č. 7.</w:t>
            </w:r>
          </w:p>
          <w:p w:rsidR="00961A37" w:rsidRPr="00047F1A" w:rsidRDefault="00961A37" w:rsidP="00A357EE">
            <w:r w:rsidRPr="00047F1A">
              <w:rPr>
                <w:sz w:val="24"/>
                <w:szCs w:val="24"/>
              </w:rPr>
              <w:t>Veškeré doklady prokazující splnění požadavků centrálního zadavatele mohou být k nabídce přiloženy v prosté kopii.</w:t>
            </w:r>
          </w:p>
          <w:p w:rsidR="00961A37" w:rsidRPr="006A4F26" w:rsidRDefault="00961A37" w:rsidP="004D7BF6">
            <w:pPr>
              <w:pStyle w:val="Nadpis1"/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4F26">
              <w:rPr>
                <w:rFonts w:ascii="Times New Roman" w:hAnsi="Times New Roman"/>
                <w:b w:val="0"/>
                <w:sz w:val="24"/>
                <w:szCs w:val="24"/>
              </w:rPr>
              <w:t xml:space="preserve">Pouze v případě dokladů prokazujících poskytnutí jistoty dle </w:t>
            </w:r>
            <w:r w:rsidRPr="006A4F2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bodu 13 této Zadávací dokumentace požaduje centrální zadavatel kromě přiložení kopie příslušného dokladu k elektronické verzi nabídky také jeho předložení v originálu. Originály dokladů prokazujících poskytnutí jistoty musí být centrálnímu zadavateli doručeny ve lhůtě pro podání nabídek poštou nebo osobně do podatelny centrálního zadavatele na adresu:</w:t>
            </w:r>
          </w:p>
          <w:p w:rsidR="00961A37" w:rsidRPr="006A4F26" w:rsidRDefault="00961A37" w:rsidP="003F3EC0">
            <w:pPr>
              <w:pStyle w:val="Nadpis1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4F26">
              <w:rPr>
                <w:rFonts w:ascii="Times New Roman" w:hAnsi="Times New Roman"/>
                <w:b w:val="0"/>
                <w:sz w:val="24"/>
                <w:szCs w:val="24"/>
              </w:rPr>
              <w:t>Ministerstvo financí ČR, Letenská 15, 118 10 Praha</w:t>
            </w:r>
          </w:p>
          <w:p w:rsidR="00961A37" w:rsidRPr="006A4F26" w:rsidRDefault="00961A37" w:rsidP="00047F1A">
            <w:pPr>
              <w:pStyle w:val="Nadpis1"/>
              <w:spacing w:before="120" w:after="120"/>
              <w:jc w:val="both"/>
              <w:rPr>
                <w:sz w:val="24"/>
                <w:szCs w:val="24"/>
              </w:rPr>
            </w:pPr>
            <w:r w:rsidRPr="006A4F26">
              <w:rPr>
                <w:rFonts w:ascii="Times New Roman" w:hAnsi="Times New Roman"/>
                <w:b w:val="0"/>
                <w:sz w:val="24"/>
                <w:szCs w:val="24"/>
              </w:rPr>
              <w:t xml:space="preserve">Originály dokladů prokazujících poskytnutí jistoty budou doručeny v zalepené obálce, zabezpečené proti předčasnému otevření, označené názvem veřejné zakázky „Dodávky kancelářského papíru pro 6 resortů“, identifikačními údaji uchazeče a nápisem „NEOTEVÍRAT“. </w:t>
            </w:r>
          </w:p>
        </w:tc>
      </w:tr>
      <w:tr w:rsidR="00961A37" w:rsidRPr="00413C5A" w:rsidTr="00EF02C2">
        <w:tc>
          <w:tcPr>
            <w:tcW w:w="3494" w:type="dxa"/>
            <w:shd w:val="clear" w:color="auto" w:fill="FFFFFF"/>
          </w:tcPr>
          <w:p w:rsidR="00961A37" w:rsidRPr="00413C5A" w:rsidRDefault="00961A37" w:rsidP="00EF02C2">
            <w:pPr>
              <w:spacing w:before="120" w:after="120"/>
              <w:rPr>
                <w:b/>
                <w:bCs/>
                <w:sz w:val="24"/>
              </w:rPr>
            </w:pPr>
            <w:r w:rsidRPr="00413C5A">
              <w:rPr>
                <w:b/>
                <w:bCs/>
                <w:sz w:val="24"/>
              </w:rPr>
              <w:lastRenderedPageBreak/>
              <w:t>5. Obsah nabídky:</w:t>
            </w:r>
          </w:p>
        </w:tc>
        <w:tc>
          <w:tcPr>
            <w:tcW w:w="6215" w:type="dxa"/>
            <w:shd w:val="clear" w:color="auto" w:fill="FFFFFF"/>
          </w:tcPr>
          <w:p w:rsidR="00961A37" w:rsidRPr="00C91B61" w:rsidRDefault="00961A37" w:rsidP="00EF02C2">
            <w:pPr>
              <w:spacing w:before="120" w:after="120"/>
              <w:rPr>
                <w:sz w:val="24"/>
                <w:szCs w:val="24"/>
              </w:rPr>
            </w:pPr>
            <w:r w:rsidRPr="00C91B61">
              <w:rPr>
                <w:sz w:val="24"/>
                <w:szCs w:val="24"/>
              </w:rPr>
              <w:t xml:space="preserve">V nabídce musí být uvedeny identifikační údaje dodavatele: obchodní firma nebo název, sídlo, právní forma, identifikační číslo, bylo-li přiděleno, pokud jde o právnickou osobu, a obchodní firma, nebo jméno a příjmení, místo podnikání, popřípadě místo trvalého pobytu, identifikační číslo, bylo-li přiděleno, pokud jde o fyzickou osobu. </w:t>
            </w:r>
          </w:p>
          <w:p w:rsidR="00961A37" w:rsidRPr="00C91B61" w:rsidRDefault="00961A37" w:rsidP="00EF02C2">
            <w:pPr>
              <w:spacing w:before="120" w:after="120"/>
              <w:rPr>
                <w:b/>
                <w:sz w:val="24"/>
                <w:szCs w:val="24"/>
              </w:rPr>
            </w:pPr>
            <w:r w:rsidRPr="00C91B61">
              <w:rPr>
                <w:b/>
                <w:sz w:val="24"/>
                <w:szCs w:val="24"/>
              </w:rPr>
              <w:t>Součástí nabídky musí být:</w:t>
            </w:r>
          </w:p>
          <w:p w:rsidR="00961A37" w:rsidRPr="00C91B61" w:rsidRDefault="00961A37" w:rsidP="00EF02C2">
            <w:pPr>
              <w:numPr>
                <w:ilvl w:val="0"/>
                <w:numId w:val="1"/>
                <w:numberingChange w:id="12" w:author="Unknown" w:date="2015-09-13T13:36:00Z" w:original="%1:1:4:)"/>
              </w:numPr>
              <w:spacing w:before="120" w:after="120"/>
              <w:rPr>
                <w:sz w:val="24"/>
                <w:szCs w:val="24"/>
              </w:rPr>
            </w:pPr>
            <w:r w:rsidRPr="00C91B61">
              <w:rPr>
                <w:sz w:val="24"/>
                <w:szCs w:val="24"/>
              </w:rPr>
              <w:t>seznam statutárních orgánů nebo členů statutárních orgánů, kteří v posledních 3 letech od konce lhůty pro podání nabídek byli v pracovněprávním, funkčním či obdobném poměru u </w:t>
            </w:r>
            <w:r>
              <w:rPr>
                <w:sz w:val="24"/>
                <w:szCs w:val="24"/>
              </w:rPr>
              <w:t xml:space="preserve">centrálního </w:t>
            </w:r>
            <w:r w:rsidRPr="00C91B61">
              <w:rPr>
                <w:sz w:val="24"/>
                <w:szCs w:val="24"/>
              </w:rPr>
              <w:t>zadavatele,</w:t>
            </w:r>
          </w:p>
          <w:p w:rsidR="00961A37" w:rsidRPr="00C91B61" w:rsidRDefault="00961A37" w:rsidP="00EF02C2">
            <w:pPr>
              <w:numPr>
                <w:ilvl w:val="0"/>
                <w:numId w:val="1"/>
                <w:numberingChange w:id="13" w:author="Unknown" w:date="2015-09-13T13:36:00Z" w:original="%1:2:4:)"/>
              </w:numPr>
              <w:spacing w:before="120" w:after="120"/>
              <w:rPr>
                <w:sz w:val="24"/>
                <w:szCs w:val="24"/>
              </w:rPr>
            </w:pPr>
            <w:r w:rsidRPr="00C91B61">
              <w:rPr>
                <w:sz w:val="24"/>
                <w:szCs w:val="24"/>
              </w:rPr>
              <w:t>má-li dodavatel formu akciové společnosti, seznam vlastníků akcií, jejichž souhrnná jmenovitá hodnota přesahuje 10 % základního kapitálu, vyhotovený ve lhůtě pro podání nabídek,</w:t>
            </w:r>
          </w:p>
          <w:p w:rsidR="00961A37" w:rsidRPr="00C91B61" w:rsidRDefault="00961A37" w:rsidP="00EF02C2">
            <w:pPr>
              <w:numPr>
                <w:ilvl w:val="0"/>
                <w:numId w:val="1"/>
                <w:numberingChange w:id="14" w:author="Unknown" w:date="2015-09-13T13:36:00Z" w:original="%1:3:4:)"/>
              </w:numPr>
              <w:spacing w:before="120" w:after="120"/>
              <w:rPr>
                <w:sz w:val="24"/>
                <w:szCs w:val="24"/>
              </w:rPr>
            </w:pPr>
            <w:r w:rsidRPr="00C91B61">
              <w:rPr>
                <w:sz w:val="24"/>
                <w:szCs w:val="24"/>
              </w:rPr>
              <w:t>prohlášení uchazeče o tom, že neuzavřel a neuzavře zakázanou dohodu podle zvláštního právního předpisu</w:t>
            </w:r>
            <w:r w:rsidRPr="0008580C">
              <w:rPr>
                <w:szCs w:val="22"/>
              </w:rPr>
              <w:t xml:space="preserve"> </w:t>
            </w:r>
            <w:r w:rsidRPr="00C30AE5">
              <w:rPr>
                <w:sz w:val="24"/>
                <w:szCs w:val="24"/>
              </w:rPr>
              <w:t>(zák</w:t>
            </w:r>
            <w:r>
              <w:rPr>
                <w:sz w:val="24"/>
                <w:szCs w:val="24"/>
              </w:rPr>
              <w:t>ona</w:t>
            </w:r>
            <w:r w:rsidRPr="00C30AE5">
              <w:rPr>
                <w:sz w:val="24"/>
                <w:szCs w:val="24"/>
              </w:rPr>
              <w:t xml:space="preserve"> č. 143/2001</w:t>
            </w:r>
            <w:r>
              <w:rPr>
                <w:sz w:val="24"/>
                <w:szCs w:val="24"/>
              </w:rPr>
              <w:t xml:space="preserve"> </w:t>
            </w:r>
            <w:r w:rsidRPr="00C30AE5">
              <w:rPr>
                <w:sz w:val="24"/>
                <w:szCs w:val="24"/>
              </w:rPr>
              <w:t>Sb., o ochraně hospodářské soutěže a o změně některých zákonů, ve znění pozdějších předpisů.)</w:t>
            </w:r>
            <w:r w:rsidRPr="0008580C">
              <w:rPr>
                <w:szCs w:val="22"/>
              </w:rPr>
              <w:t xml:space="preserve"> </w:t>
            </w:r>
            <w:r w:rsidRPr="00C91B61">
              <w:rPr>
                <w:sz w:val="24"/>
                <w:szCs w:val="24"/>
              </w:rPr>
              <w:t>v souvislosti se zadávanou veřejnou zakázkou</w:t>
            </w:r>
            <w:r>
              <w:rPr>
                <w:sz w:val="24"/>
                <w:szCs w:val="24"/>
              </w:rPr>
              <w:t>.</w:t>
            </w:r>
          </w:p>
          <w:p w:rsidR="00961A37" w:rsidRPr="00C91B61" w:rsidRDefault="00961A37" w:rsidP="00EF02C2">
            <w:pPr>
              <w:pBdr>
                <w:bottom w:val="single" w:sz="6" w:space="1" w:color="auto"/>
              </w:pBdr>
              <w:spacing w:before="120" w:after="120"/>
              <w:rPr>
                <w:sz w:val="24"/>
                <w:szCs w:val="24"/>
              </w:rPr>
            </w:pPr>
            <w:r w:rsidRPr="00C91B61">
              <w:rPr>
                <w:sz w:val="24"/>
                <w:szCs w:val="24"/>
              </w:rPr>
              <w:t xml:space="preserve">Tyto údaje (dle § 68 odst. 3 </w:t>
            </w:r>
            <w:r>
              <w:rPr>
                <w:sz w:val="24"/>
                <w:szCs w:val="24"/>
              </w:rPr>
              <w:t>Z</w:t>
            </w:r>
            <w:r w:rsidRPr="00C91B61">
              <w:rPr>
                <w:sz w:val="24"/>
                <w:szCs w:val="24"/>
              </w:rPr>
              <w:t>ákona</w:t>
            </w:r>
            <w:r>
              <w:rPr>
                <w:sz w:val="24"/>
                <w:szCs w:val="24"/>
              </w:rPr>
              <w:t xml:space="preserve"> o veřejných zakázkách</w:t>
            </w:r>
            <w:r w:rsidRPr="00C91B6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doplní uchazeč do</w:t>
            </w:r>
            <w:r w:rsidRPr="00C91B61">
              <w:rPr>
                <w:sz w:val="24"/>
                <w:szCs w:val="24"/>
              </w:rPr>
              <w:t xml:space="preserve"> čestného prohlášení dodavatele podle </w:t>
            </w:r>
            <w:r w:rsidRPr="00EF02C2">
              <w:rPr>
                <w:sz w:val="24"/>
                <w:szCs w:val="24"/>
                <w:u w:val="single"/>
              </w:rPr>
              <w:t xml:space="preserve">přílohy č. </w:t>
            </w:r>
            <w:r>
              <w:rPr>
                <w:sz w:val="24"/>
                <w:szCs w:val="24"/>
                <w:u w:val="single"/>
              </w:rPr>
              <w:t>12</w:t>
            </w:r>
            <w:r w:rsidRPr="00C91B61">
              <w:rPr>
                <w:sz w:val="24"/>
                <w:szCs w:val="24"/>
              </w:rPr>
              <w:t>.</w:t>
            </w:r>
          </w:p>
          <w:p w:rsidR="00961A37" w:rsidRDefault="00961A37" w:rsidP="00EF02C2">
            <w:pPr>
              <w:spacing w:before="120" w:after="120"/>
              <w:rPr>
                <w:sz w:val="24"/>
                <w:szCs w:val="24"/>
              </w:rPr>
            </w:pPr>
            <w:r w:rsidRPr="00C91B61">
              <w:rPr>
                <w:sz w:val="24"/>
                <w:szCs w:val="24"/>
              </w:rPr>
              <w:t xml:space="preserve">Dále dodavatel uvede: jméno/a a příjmení člena/ů statutárního orgánu, IČO, bankovní spojení, kontaktní osobu, telefonní číslo, číslo faxu, e-mailovou adresu. Tyto údaje a údaje o nabídkové ceně budou uvedeny na </w:t>
            </w:r>
            <w:r w:rsidRPr="00EF02C2">
              <w:rPr>
                <w:sz w:val="24"/>
                <w:szCs w:val="24"/>
              </w:rPr>
              <w:t>krycím listě nabídky</w:t>
            </w:r>
            <w:r w:rsidRPr="00C91B6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vzor je uveden </w:t>
            </w:r>
            <w:r w:rsidRPr="00C91B61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 </w:t>
            </w:r>
            <w:r w:rsidRPr="00EF02C2">
              <w:rPr>
                <w:sz w:val="24"/>
                <w:szCs w:val="24"/>
                <w:u w:val="single"/>
              </w:rPr>
              <w:t xml:space="preserve">příloze č. </w:t>
            </w:r>
            <w:r w:rsidRPr="00C652E1">
              <w:rPr>
                <w:sz w:val="24"/>
                <w:szCs w:val="24"/>
                <w:u w:val="single"/>
              </w:rPr>
              <w:t>9</w:t>
            </w:r>
            <w:r w:rsidRPr="00C652E1">
              <w:rPr>
                <w:sz w:val="24"/>
                <w:szCs w:val="24"/>
              </w:rPr>
              <w:t>), který bude podepsán osobou oprávněnou jednat jménem či za dodavatele.</w:t>
            </w:r>
            <w:r w:rsidRPr="00C91B61">
              <w:rPr>
                <w:sz w:val="24"/>
                <w:szCs w:val="24"/>
              </w:rPr>
              <w:t xml:space="preserve"> </w:t>
            </w:r>
          </w:p>
          <w:p w:rsidR="00961A37" w:rsidRPr="00C91B61" w:rsidRDefault="00961A37" w:rsidP="00182417">
            <w:pPr>
              <w:spacing w:before="120" w:after="120"/>
            </w:pPr>
            <w:r w:rsidRPr="00C91B61">
              <w:rPr>
                <w:sz w:val="24"/>
                <w:szCs w:val="24"/>
              </w:rPr>
              <w:t>Nabídka bude podána v</w:t>
            </w:r>
            <w:r>
              <w:rPr>
                <w:sz w:val="24"/>
                <w:szCs w:val="24"/>
              </w:rPr>
              <w:t> </w:t>
            </w:r>
            <w:r w:rsidRPr="00C91B61">
              <w:rPr>
                <w:sz w:val="24"/>
                <w:szCs w:val="24"/>
              </w:rPr>
              <w:t>českém jazyce. Jako rovnocenný se připouští jazyk slovenský</w:t>
            </w:r>
            <w:r>
              <w:rPr>
                <w:sz w:val="24"/>
                <w:szCs w:val="24"/>
              </w:rPr>
              <w:t xml:space="preserve"> (s výjimkou závazného vzoru rámcové smlouvy)</w:t>
            </w:r>
            <w:r w:rsidRPr="00C91B61">
              <w:rPr>
                <w:sz w:val="24"/>
                <w:szCs w:val="24"/>
              </w:rPr>
              <w:t>.</w:t>
            </w:r>
          </w:p>
          <w:p w:rsidR="00961A37" w:rsidRPr="00C91B61" w:rsidRDefault="00961A37" w:rsidP="00EF02C2">
            <w:pPr>
              <w:spacing w:before="120" w:after="120"/>
              <w:rPr>
                <w:sz w:val="24"/>
                <w:szCs w:val="24"/>
              </w:rPr>
            </w:pPr>
            <w:r w:rsidRPr="00C91B61">
              <w:rPr>
                <w:sz w:val="24"/>
                <w:szCs w:val="24"/>
              </w:rPr>
              <w:t xml:space="preserve">Dodavateli nenáleží žádná úhrada nákladů, které vynaložil na </w:t>
            </w:r>
            <w:r w:rsidRPr="00C91B61">
              <w:rPr>
                <w:sz w:val="24"/>
                <w:szCs w:val="24"/>
              </w:rPr>
              <w:lastRenderedPageBreak/>
              <w:t>účast v</w:t>
            </w:r>
            <w:r>
              <w:rPr>
                <w:sz w:val="24"/>
                <w:szCs w:val="24"/>
              </w:rPr>
              <w:t> tomto zadávacím řízení</w:t>
            </w:r>
            <w:r w:rsidRPr="00C91B61">
              <w:rPr>
                <w:sz w:val="24"/>
                <w:szCs w:val="24"/>
              </w:rPr>
              <w:t>.</w:t>
            </w:r>
          </w:p>
          <w:p w:rsidR="00961A37" w:rsidRPr="00C91B61" w:rsidRDefault="00961A37" w:rsidP="00EF02C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nabídce bude uvedena</w:t>
            </w:r>
            <w:r w:rsidRPr="00C91B61">
              <w:rPr>
                <w:sz w:val="24"/>
                <w:szCs w:val="24"/>
              </w:rPr>
              <w:t xml:space="preserve"> nabídková cena zpracovaná dle </w:t>
            </w:r>
            <w:r>
              <w:rPr>
                <w:sz w:val="24"/>
                <w:szCs w:val="24"/>
              </w:rPr>
              <w:t>vzoru uvedeného v </w:t>
            </w:r>
            <w:r w:rsidRPr="00EF02C2">
              <w:rPr>
                <w:sz w:val="24"/>
                <w:szCs w:val="24"/>
                <w:u w:val="single"/>
              </w:rPr>
              <w:t xml:space="preserve">příloze č. </w:t>
            </w:r>
            <w:r>
              <w:rPr>
                <w:sz w:val="24"/>
                <w:szCs w:val="24"/>
                <w:u w:val="single"/>
              </w:rPr>
              <w:t>6</w:t>
            </w:r>
            <w:r w:rsidRPr="006F75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Rámcové smlouvy.</w:t>
            </w:r>
          </w:p>
          <w:p w:rsidR="00961A37" w:rsidRPr="00C91B61" w:rsidRDefault="00961A37" w:rsidP="00EF02C2">
            <w:pPr>
              <w:spacing w:before="120" w:after="120"/>
            </w:pPr>
            <w:r w:rsidRPr="00C91B61">
              <w:rPr>
                <w:sz w:val="24"/>
                <w:szCs w:val="24"/>
              </w:rPr>
              <w:t xml:space="preserve">Finanční zálohu na plnění předmětu veřejné zakázky </w:t>
            </w:r>
            <w:r>
              <w:rPr>
                <w:sz w:val="24"/>
                <w:szCs w:val="24"/>
              </w:rPr>
              <w:t xml:space="preserve">centrální </w:t>
            </w:r>
            <w:r w:rsidRPr="00C91B61">
              <w:rPr>
                <w:sz w:val="24"/>
                <w:szCs w:val="24"/>
              </w:rPr>
              <w:t>zadavatel neposkytuje.</w:t>
            </w:r>
          </w:p>
        </w:tc>
      </w:tr>
      <w:tr w:rsidR="00961A37" w:rsidRPr="00413C5A" w:rsidTr="00EF02C2">
        <w:tc>
          <w:tcPr>
            <w:tcW w:w="3494" w:type="dxa"/>
            <w:shd w:val="clear" w:color="auto" w:fill="FFFFFF"/>
          </w:tcPr>
          <w:p w:rsidR="00961A37" w:rsidRPr="00413C5A" w:rsidRDefault="00961A37" w:rsidP="00EF02C2">
            <w:pPr>
              <w:spacing w:before="120" w:after="120"/>
              <w:ind w:left="180" w:right="110" w:hanging="180"/>
              <w:rPr>
                <w:b/>
                <w:bCs/>
                <w:sz w:val="24"/>
                <w:u w:val="single"/>
              </w:rPr>
            </w:pPr>
            <w:r w:rsidRPr="00413C5A">
              <w:rPr>
                <w:b/>
                <w:bCs/>
                <w:sz w:val="24"/>
              </w:rPr>
              <w:lastRenderedPageBreak/>
              <w:t>6. Dodatečné informace:</w:t>
            </w:r>
          </w:p>
        </w:tc>
        <w:tc>
          <w:tcPr>
            <w:tcW w:w="6215" w:type="dxa"/>
            <w:shd w:val="clear" w:color="auto" w:fill="FFFFFF"/>
          </w:tcPr>
          <w:p w:rsidR="00961A37" w:rsidRPr="00C91B61" w:rsidRDefault="00961A37" w:rsidP="00EF02C2">
            <w:pPr>
              <w:spacing w:before="120" w:after="120"/>
            </w:pPr>
            <w:r>
              <w:rPr>
                <w:sz w:val="24"/>
                <w:szCs w:val="24"/>
              </w:rPr>
              <w:t>Uchazeč je oprávněn požadovat dodatečné informace dle § 49 Zákona o veřejných zakázkách.</w:t>
            </w:r>
          </w:p>
        </w:tc>
      </w:tr>
      <w:tr w:rsidR="00961A37" w:rsidRPr="00413C5A" w:rsidTr="00EF02C2">
        <w:tc>
          <w:tcPr>
            <w:tcW w:w="3494" w:type="dxa"/>
            <w:shd w:val="clear" w:color="auto" w:fill="FFFFFF"/>
          </w:tcPr>
          <w:p w:rsidR="00961A37" w:rsidRPr="006A4F26" w:rsidRDefault="00961A37" w:rsidP="00EF02C2">
            <w:pPr>
              <w:pStyle w:val="Zkladntext2"/>
              <w:spacing w:before="120" w:after="120"/>
              <w:rPr>
                <w:b/>
                <w:bCs/>
                <w:sz w:val="24"/>
                <w:szCs w:val="24"/>
              </w:rPr>
            </w:pPr>
            <w:r w:rsidRPr="006A4F26">
              <w:rPr>
                <w:b/>
                <w:bCs/>
                <w:sz w:val="24"/>
                <w:szCs w:val="24"/>
              </w:rPr>
              <w:t>7. Nabídková cena:</w:t>
            </w:r>
          </w:p>
          <w:p w:rsidR="00961A37" w:rsidRPr="00413C5A" w:rsidRDefault="00961A37" w:rsidP="00EF02C2">
            <w:pPr>
              <w:spacing w:before="120" w:after="120"/>
              <w:rPr>
                <w:sz w:val="22"/>
              </w:rPr>
            </w:pPr>
          </w:p>
          <w:p w:rsidR="00961A37" w:rsidRPr="00413C5A" w:rsidRDefault="00961A37" w:rsidP="00EF02C2">
            <w:pPr>
              <w:spacing w:before="120" w:after="120"/>
              <w:rPr>
                <w:sz w:val="22"/>
              </w:rPr>
            </w:pPr>
          </w:p>
          <w:p w:rsidR="00961A37" w:rsidRPr="00413C5A" w:rsidRDefault="00961A37" w:rsidP="00EF02C2">
            <w:pPr>
              <w:spacing w:before="120" w:after="120"/>
              <w:rPr>
                <w:sz w:val="22"/>
                <w:u w:val="single"/>
              </w:rPr>
            </w:pPr>
          </w:p>
        </w:tc>
        <w:tc>
          <w:tcPr>
            <w:tcW w:w="6215" w:type="dxa"/>
            <w:shd w:val="clear" w:color="auto" w:fill="FFFFFF"/>
          </w:tcPr>
          <w:p w:rsidR="00961A37" w:rsidRPr="006A4F26" w:rsidRDefault="00961A37" w:rsidP="00EF02C2">
            <w:pPr>
              <w:pStyle w:val="Zkladntextodsazen"/>
              <w:spacing w:before="120" w:after="120"/>
              <w:ind w:left="0"/>
              <w:rPr>
                <w:sz w:val="24"/>
                <w:szCs w:val="24"/>
              </w:rPr>
            </w:pPr>
            <w:r w:rsidRPr="006A4F26">
              <w:rPr>
                <w:sz w:val="24"/>
                <w:szCs w:val="24"/>
              </w:rPr>
              <w:t>Centrální zadavatel požaduje jednotný způsob zpracování nabídkové ceny v souladu s </w:t>
            </w:r>
            <w:r w:rsidRPr="006A4F26">
              <w:rPr>
                <w:sz w:val="24"/>
                <w:szCs w:val="24"/>
                <w:u w:val="single"/>
              </w:rPr>
              <w:t>přílohou č. 6</w:t>
            </w:r>
            <w:r w:rsidRPr="006A4F26">
              <w:rPr>
                <w:sz w:val="24"/>
                <w:szCs w:val="24"/>
              </w:rPr>
              <w:t xml:space="preserve"> Rámcové smlouvy.</w:t>
            </w:r>
          </w:p>
          <w:p w:rsidR="00961A37" w:rsidRPr="00EF02C2" w:rsidRDefault="00961A37" w:rsidP="00EF02C2">
            <w:pPr>
              <w:spacing w:before="120" w:after="120"/>
              <w:rPr>
                <w:sz w:val="24"/>
                <w:szCs w:val="24"/>
              </w:rPr>
            </w:pPr>
            <w:r w:rsidRPr="00EF02C2">
              <w:rPr>
                <w:sz w:val="24"/>
                <w:szCs w:val="24"/>
              </w:rPr>
              <w:t>Výsledné ceny</w:t>
            </w:r>
            <w:r>
              <w:rPr>
                <w:sz w:val="24"/>
                <w:szCs w:val="24"/>
              </w:rPr>
              <w:t xml:space="preserve">, tj. ceny dosažené v rámci elektronické aukce, </w:t>
            </w:r>
            <w:r w:rsidRPr="00EF02C2">
              <w:rPr>
                <w:sz w:val="24"/>
                <w:szCs w:val="24"/>
              </w:rPr>
              <w:t>se stanou nedílnou přílohou Rámcové smlouvy uzavřené s</w:t>
            </w:r>
            <w:r>
              <w:rPr>
                <w:sz w:val="24"/>
                <w:szCs w:val="24"/>
              </w:rPr>
              <w:t> </w:t>
            </w:r>
            <w:r w:rsidRPr="00EF02C2">
              <w:rPr>
                <w:sz w:val="24"/>
                <w:szCs w:val="24"/>
              </w:rPr>
              <w:t>vybranými uchazeči.</w:t>
            </w:r>
          </w:p>
          <w:p w:rsidR="00961A37" w:rsidRDefault="00961A37" w:rsidP="00EF02C2">
            <w:pPr>
              <w:spacing w:before="120" w:after="120"/>
              <w:rPr>
                <w:sz w:val="24"/>
                <w:szCs w:val="24"/>
              </w:rPr>
            </w:pPr>
            <w:r w:rsidRPr="00EF02C2">
              <w:rPr>
                <w:sz w:val="24"/>
                <w:szCs w:val="24"/>
              </w:rPr>
              <w:t xml:space="preserve">Nabídková cena bude stanovena vždy jako nejvýše přípustná a nepřekročitelná a musí zahrnovat veškeré celní poplatky, cenu za dopravu do </w:t>
            </w:r>
            <w:r>
              <w:rPr>
                <w:sz w:val="24"/>
                <w:szCs w:val="24"/>
              </w:rPr>
              <w:t xml:space="preserve">kteréhokoli z </w:t>
            </w:r>
            <w:r w:rsidRPr="00EF02C2">
              <w:rPr>
                <w:sz w:val="24"/>
                <w:szCs w:val="24"/>
              </w:rPr>
              <w:t xml:space="preserve">míst plnění </w:t>
            </w:r>
            <w:r w:rsidRPr="00572AB9">
              <w:rPr>
                <w:sz w:val="24"/>
                <w:szCs w:val="24"/>
              </w:rPr>
              <w:t>uvedených pro</w:t>
            </w:r>
            <w:r>
              <w:rPr>
                <w:sz w:val="24"/>
                <w:szCs w:val="24"/>
              </w:rPr>
              <w:t xml:space="preserve"> jednotlivé části VZ v </w:t>
            </w:r>
            <w:r w:rsidRPr="009E7535">
              <w:rPr>
                <w:sz w:val="24"/>
                <w:szCs w:val="24"/>
                <w:u w:val="single"/>
              </w:rPr>
              <w:t>příloze č. 2</w:t>
            </w:r>
            <w:r>
              <w:rPr>
                <w:sz w:val="24"/>
                <w:szCs w:val="24"/>
              </w:rPr>
              <w:t xml:space="preserve"> </w:t>
            </w:r>
            <w:r w:rsidRPr="00EF02C2">
              <w:rPr>
                <w:sz w:val="24"/>
                <w:szCs w:val="24"/>
              </w:rPr>
              <w:t xml:space="preserve">včetně dalších </w:t>
            </w:r>
            <w:r>
              <w:rPr>
                <w:sz w:val="24"/>
                <w:szCs w:val="24"/>
              </w:rPr>
              <w:t xml:space="preserve">zde </w:t>
            </w:r>
            <w:r w:rsidRPr="00EF02C2">
              <w:rPr>
                <w:sz w:val="24"/>
                <w:szCs w:val="24"/>
              </w:rPr>
              <w:t>výslovně neuvedených nákladů souvisejících s</w:t>
            </w:r>
            <w:r>
              <w:rPr>
                <w:sz w:val="24"/>
                <w:szCs w:val="24"/>
              </w:rPr>
              <w:t> </w:t>
            </w:r>
            <w:r w:rsidRPr="00EF02C2">
              <w:rPr>
                <w:sz w:val="24"/>
                <w:szCs w:val="24"/>
              </w:rPr>
              <w:t>dodávkou předmětu plnění.</w:t>
            </w:r>
          </w:p>
          <w:p w:rsidR="00961A37" w:rsidRPr="008D1D11" w:rsidRDefault="00961A37" w:rsidP="00EF02C2">
            <w:pPr>
              <w:spacing w:before="120" w:after="120"/>
              <w:rPr>
                <w:sz w:val="24"/>
                <w:szCs w:val="24"/>
              </w:rPr>
            </w:pPr>
            <w:r w:rsidRPr="008D1D11">
              <w:rPr>
                <w:sz w:val="24"/>
                <w:szCs w:val="24"/>
              </w:rPr>
              <w:t>Centrální zadavatel zároveň stanovuje pro všechny části veřejné zakázky maximální přípustnou nabídkovou cenu</w:t>
            </w:r>
            <w:r>
              <w:rPr>
                <w:sz w:val="24"/>
                <w:szCs w:val="24"/>
              </w:rPr>
              <w:t xml:space="preserve"> za balík po 500 listech bez DPH</w:t>
            </w:r>
            <w:r w:rsidRPr="008D1D11">
              <w:rPr>
                <w:sz w:val="24"/>
                <w:szCs w:val="24"/>
              </w:rPr>
              <w:t>, a to následovně:</w:t>
            </w:r>
          </w:p>
          <w:tbl>
            <w:tblPr>
              <w:tblW w:w="5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55"/>
              <w:gridCol w:w="1693"/>
              <w:gridCol w:w="1772"/>
            </w:tblGrid>
            <w:tr w:rsidR="00961A37" w:rsidRPr="008D1D11" w:rsidTr="008D0468">
              <w:trPr>
                <w:trHeight w:val="20"/>
                <w:tblHeader/>
              </w:trPr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61A37" w:rsidRPr="008D1D11" w:rsidRDefault="00961A37" w:rsidP="00990D56">
                  <w:pPr>
                    <w:spacing w:before="40" w:after="40"/>
                    <w:jc w:val="left"/>
                    <w:rPr>
                      <w:sz w:val="24"/>
                      <w:szCs w:val="24"/>
                    </w:rPr>
                  </w:pPr>
                  <w:r w:rsidRPr="008D1D11">
                    <w:rPr>
                      <w:sz w:val="24"/>
                      <w:szCs w:val="24"/>
                    </w:rPr>
                    <w:t xml:space="preserve">Maximálně přípustná nabídková cena </w:t>
                  </w:r>
                  <w:r>
                    <w:rPr>
                      <w:sz w:val="24"/>
                      <w:szCs w:val="24"/>
                    </w:rPr>
                    <w:t>za balík po 500 listech (</w:t>
                  </w:r>
                  <w:r w:rsidRPr="008D1D11">
                    <w:rPr>
                      <w:sz w:val="24"/>
                      <w:szCs w:val="24"/>
                    </w:rPr>
                    <w:t>bez DPH)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61A37" w:rsidRPr="008D1D11" w:rsidRDefault="00961A37" w:rsidP="003F4E86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8D1D11">
                    <w:rPr>
                      <w:sz w:val="24"/>
                      <w:szCs w:val="24"/>
                    </w:rPr>
                    <w:t>A4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61A37" w:rsidRPr="008D1D11" w:rsidRDefault="00961A37" w:rsidP="003F4E86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8D1D11">
                    <w:rPr>
                      <w:sz w:val="24"/>
                      <w:szCs w:val="24"/>
                    </w:rPr>
                    <w:t>A3</w:t>
                  </w:r>
                </w:p>
              </w:tc>
            </w:tr>
            <w:tr w:rsidR="00961A37" w:rsidRPr="008D1D11" w:rsidTr="008D0468">
              <w:trPr>
                <w:trHeight w:val="20"/>
              </w:trPr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37" w:rsidRPr="003F4E86" w:rsidRDefault="00961A37" w:rsidP="003F4E86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3F4E86">
                    <w:rPr>
                      <w:sz w:val="24"/>
                      <w:szCs w:val="24"/>
                    </w:rPr>
                    <w:t>Typ A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37" w:rsidRPr="00B31818" w:rsidRDefault="00961A37" w:rsidP="003F4E86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B31818">
                    <w:rPr>
                      <w:sz w:val="24"/>
                      <w:szCs w:val="24"/>
                    </w:rPr>
                    <w:t>65 Kč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37" w:rsidRPr="00B31818" w:rsidRDefault="00961A37" w:rsidP="003F4E86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B31818">
                    <w:rPr>
                      <w:sz w:val="24"/>
                      <w:szCs w:val="24"/>
                    </w:rPr>
                    <w:t>130 Kč</w:t>
                  </w:r>
                </w:p>
              </w:tc>
            </w:tr>
            <w:tr w:rsidR="00961A37" w:rsidRPr="008D1D11" w:rsidTr="008D0468">
              <w:trPr>
                <w:trHeight w:val="20"/>
              </w:trPr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37" w:rsidRPr="003F4E86" w:rsidRDefault="00961A37" w:rsidP="003F4E86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3F4E86">
                    <w:rPr>
                      <w:sz w:val="24"/>
                      <w:szCs w:val="24"/>
                    </w:rPr>
                    <w:t>Typ B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37" w:rsidRPr="00B31818" w:rsidRDefault="00961A37" w:rsidP="00B31818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B31818">
                    <w:rPr>
                      <w:sz w:val="24"/>
                      <w:szCs w:val="24"/>
                    </w:rPr>
                    <w:t>60 Kč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37" w:rsidRPr="00B31818" w:rsidRDefault="00961A37" w:rsidP="003F4E86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B31818">
                    <w:rPr>
                      <w:sz w:val="24"/>
                      <w:szCs w:val="24"/>
                    </w:rPr>
                    <w:t>120 Kč</w:t>
                  </w:r>
                </w:p>
              </w:tc>
            </w:tr>
            <w:tr w:rsidR="00961A37" w:rsidRPr="00CD4025" w:rsidTr="008D0468">
              <w:trPr>
                <w:trHeight w:val="20"/>
              </w:trPr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37" w:rsidRPr="003F4E86" w:rsidRDefault="00961A37" w:rsidP="003F4E86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3F4E86">
                    <w:rPr>
                      <w:sz w:val="24"/>
                      <w:szCs w:val="24"/>
                    </w:rPr>
                    <w:t>Typ C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37" w:rsidRPr="00B31818" w:rsidRDefault="00961A37" w:rsidP="00B31818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B31818">
                    <w:rPr>
                      <w:sz w:val="24"/>
                      <w:szCs w:val="24"/>
                    </w:rPr>
                    <w:t>58 Kč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37" w:rsidRPr="00B31818" w:rsidRDefault="00961A37" w:rsidP="003F4E86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B31818">
                    <w:rPr>
                      <w:sz w:val="24"/>
                      <w:szCs w:val="24"/>
                    </w:rPr>
                    <w:t>120 Kč</w:t>
                  </w:r>
                </w:p>
              </w:tc>
            </w:tr>
          </w:tbl>
          <w:p w:rsidR="00961A37" w:rsidRPr="00C91B61" w:rsidRDefault="00961A37" w:rsidP="004629F2">
            <w:pPr>
              <w:spacing w:before="120" w:after="120"/>
            </w:pPr>
            <w:r>
              <w:rPr>
                <w:sz w:val="24"/>
                <w:szCs w:val="24"/>
              </w:rPr>
              <w:t xml:space="preserve">Výše uvedené maximální přípustné nabídkové </w:t>
            </w:r>
            <w:r w:rsidRPr="00016A8C">
              <w:rPr>
                <w:sz w:val="24"/>
                <w:szCs w:val="24"/>
              </w:rPr>
              <w:t>ceny</w:t>
            </w:r>
            <w:r>
              <w:rPr>
                <w:sz w:val="24"/>
                <w:szCs w:val="24"/>
              </w:rPr>
              <w:t xml:space="preserve"> jsou uvedeny včetně veškerých </w:t>
            </w:r>
            <w:r w:rsidRPr="00EF02C2">
              <w:rPr>
                <w:sz w:val="24"/>
                <w:szCs w:val="24"/>
              </w:rPr>
              <w:t>celní</w:t>
            </w:r>
            <w:r>
              <w:rPr>
                <w:sz w:val="24"/>
                <w:szCs w:val="24"/>
              </w:rPr>
              <w:t>ch</w:t>
            </w:r>
            <w:r w:rsidRPr="00EF02C2">
              <w:rPr>
                <w:sz w:val="24"/>
                <w:szCs w:val="24"/>
              </w:rPr>
              <w:t xml:space="preserve"> poplatk</w:t>
            </w:r>
            <w:r>
              <w:rPr>
                <w:sz w:val="24"/>
                <w:szCs w:val="24"/>
              </w:rPr>
              <w:t>ů</w:t>
            </w:r>
            <w:r w:rsidRPr="00EF02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nákladů </w:t>
            </w:r>
            <w:r w:rsidRPr="00EF02C2">
              <w:rPr>
                <w:sz w:val="24"/>
                <w:szCs w:val="24"/>
              </w:rPr>
              <w:t xml:space="preserve">za dopravu do </w:t>
            </w:r>
            <w:r>
              <w:rPr>
                <w:sz w:val="24"/>
                <w:szCs w:val="24"/>
              </w:rPr>
              <w:t xml:space="preserve">kteréhokoli z </w:t>
            </w:r>
            <w:r w:rsidRPr="00EF02C2">
              <w:rPr>
                <w:sz w:val="24"/>
                <w:szCs w:val="24"/>
              </w:rPr>
              <w:t xml:space="preserve">míst plnění </w:t>
            </w:r>
            <w:r>
              <w:rPr>
                <w:sz w:val="24"/>
                <w:szCs w:val="24"/>
              </w:rPr>
              <w:t>uvedených pro jednotlivé části VZ v </w:t>
            </w:r>
            <w:r w:rsidRPr="009E7535">
              <w:rPr>
                <w:sz w:val="24"/>
                <w:szCs w:val="24"/>
                <w:u w:val="single"/>
              </w:rPr>
              <w:t>příloze č. 2</w:t>
            </w:r>
            <w:r>
              <w:rPr>
                <w:sz w:val="24"/>
                <w:szCs w:val="24"/>
              </w:rPr>
              <w:t xml:space="preserve"> a</w:t>
            </w:r>
            <w:r w:rsidRPr="00EF02C2">
              <w:rPr>
                <w:sz w:val="24"/>
                <w:szCs w:val="24"/>
              </w:rPr>
              <w:t xml:space="preserve"> dalších </w:t>
            </w:r>
            <w:r>
              <w:rPr>
                <w:sz w:val="24"/>
                <w:szCs w:val="24"/>
              </w:rPr>
              <w:t xml:space="preserve">zde </w:t>
            </w:r>
            <w:r w:rsidRPr="00EF02C2">
              <w:rPr>
                <w:sz w:val="24"/>
                <w:szCs w:val="24"/>
              </w:rPr>
              <w:t>výslovně neuvedených nákladů souvisejících s</w:t>
            </w:r>
            <w:r>
              <w:rPr>
                <w:sz w:val="24"/>
                <w:szCs w:val="24"/>
              </w:rPr>
              <w:t> </w:t>
            </w:r>
            <w:r w:rsidRPr="00EF02C2">
              <w:rPr>
                <w:sz w:val="24"/>
                <w:szCs w:val="24"/>
              </w:rPr>
              <w:t>dodávkou předmětu plnění.</w:t>
            </w:r>
          </w:p>
        </w:tc>
      </w:tr>
      <w:tr w:rsidR="00961A37" w:rsidRPr="00413C5A" w:rsidTr="00C30AE5">
        <w:tc>
          <w:tcPr>
            <w:tcW w:w="3494" w:type="dxa"/>
            <w:shd w:val="clear" w:color="auto" w:fill="FFFFFF"/>
          </w:tcPr>
          <w:p w:rsidR="00961A37" w:rsidRPr="00413C5A" w:rsidRDefault="00961A37" w:rsidP="00F160ED">
            <w:pPr>
              <w:spacing w:before="120" w:after="120"/>
              <w:ind w:left="180" w:hanging="180"/>
              <w:rPr>
                <w:b/>
                <w:bCs/>
                <w:sz w:val="24"/>
              </w:rPr>
            </w:pPr>
            <w:r w:rsidRPr="00413C5A">
              <w:rPr>
                <w:b/>
                <w:bCs/>
                <w:sz w:val="24"/>
              </w:rPr>
              <w:t>8. </w:t>
            </w:r>
            <w:r>
              <w:rPr>
                <w:b/>
                <w:bCs/>
                <w:sz w:val="24"/>
              </w:rPr>
              <w:t>Obchodní</w:t>
            </w:r>
            <w:r w:rsidRPr="00413C5A">
              <w:rPr>
                <w:b/>
                <w:bCs/>
                <w:sz w:val="24"/>
              </w:rPr>
              <w:t xml:space="preserve"> podmínky:</w:t>
            </w:r>
          </w:p>
        </w:tc>
        <w:tc>
          <w:tcPr>
            <w:tcW w:w="6215" w:type="dxa"/>
            <w:shd w:val="clear" w:color="auto" w:fill="FFFFFF"/>
          </w:tcPr>
          <w:p w:rsidR="00961A37" w:rsidRPr="006A4F26" w:rsidRDefault="00961A37" w:rsidP="004629F2">
            <w:pPr>
              <w:pStyle w:val="Zkladntext3"/>
              <w:spacing w:before="120" w:after="120"/>
              <w:jc w:val="both"/>
              <w:rPr>
                <w:b w:val="0"/>
                <w:bCs/>
                <w:szCs w:val="24"/>
                <w:u w:val="none"/>
              </w:rPr>
            </w:pPr>
            <w:r w:rsidRPr="006A4F26">
              <w:rPr>
                <w:b w:val="0"/>
                <w:bCs/>
                <w:szCs w:val="24"/>
                <w:u w:val="none"/>
              </w:rPr>
              <w:t xml:space="preserve">Platební a obchodní podmínky včetně sankcí jsou uvedeny v závazném návrhu Rámcové smlouvy, která je </w:t>
            </w:r>
            <w:r w:rsidRPr="006A4F26">
              <w:rPr>
                <w:b w:val="0"/>
                <w:bCs/>
                <w:szCs w:val="24"/>
              </w:rPr>
              <w:t>přílohou č. 6 Zadávací dokumentace</w:t>
            </w:r>
            <w:r w:rsidRPr="006A4F26">
              <w:rPr>
                <w:b w:val="0"/>
                <w:bCs/>
                <w:szCs w:val="24"/>
                <w:u w:val="none"/>
              </w:rPr>
              <w:t xml:space="preserve">. </w:t>
            </w:r>
          </w:p>
          <w:p w:rsidR="00961A37" w:rsidRPr="006A4F26" w:rsidRDefault="00961A37" w:rsidP="004629F2">
            <w:pPr>
              <w:pStyle w:val="Zkladntext3"/>
              <w:spacing w:before="120" w:after="120"/>
              <w:jc w:val="both"/>
              <w:rPr>
                <w:b w:val="0"/>
                <w:bCs/>
                <w:szCs w:val="24"/>
                <w:u w:val="none"/>
              </w:rPr>
            </w:pPr>
            <w:r w:rsidRPr="006A4F26">
              <w:rPr>
                <w:b w:val="0"/>
                <w:bCs/>
                <w:szCs w:val="24"/>
                <w:u w:val="none"/>
              </w:rPr>
              <w:t>Rámcovou smlouvou jsou upraveny veškeré podstatné náležitosti, v kupní smlouvě (vzor je přílohou Rámcové smlouvy) bude možné upravit pouze bližší informace vázané na konkrétní místo dodání a povinné náležitosti publicity v případě spolufinancování z prostředků fondů EU.</w:t>
            </w:r>
          </w:p>
          <w:p w:rsidR="00961A37" w:rsidRPr="006A4F26" w:rsidRDefault="00961A37" w:rsidP="004629F2">
            <w:pPr>
              <w:pStyle w:val="Zkladntext3"/>
              <w:spacing w:before="120" w:after="120"/>
              <w:jc w:val="both"/>
              <w:rPr>
                <w:b w:val="0"/>
                <w:bCs/>
                <w:szCs w:val="24"/>
                <w:u w:val="none"/>
              </w:rPr>
            </w:pPr>
            <w:r w:rsidRPr="006A4F26">
              <w:rPr>
                <w:b w:val="0"/>
                <w:bCs/>
                <w:szCs w:val="24"/>
                <w:u w:val="none"/>
              </w:rPr>
              <w:t xml:space="preserve">Pro jednotlivé části Veřejné zakázky je připraven samostatný vzor rámcové smlouvy. Uchazeč ve své nabídce předloží doplněný závazný text Rámcové smlouvy dle </w:t>
            </w:r>
            <w:r w:rsidRPr="006A4F26">
              <w:rPr>
                <w:b w:val="0"/>
                <w:bCs/>
                <w:szCs w:val="24"/>
              </w:rPr>
              <w:t>přílohy č. 6</w:t>
            </w:r>
            <w:r w:rsidRPr="006A4F26">
              <w:rPr>
                <w:b w:val="0"/>
                <w:bCs/>
                <w:szCs w:val="24"/>
                <w:u w:val="none"/>
              </w:rPr>
              <w:t xml:space="preserve"> pro tolik částí, do kolika podává nabídku. Návrh Rámcové </w:t>
            </w:r>
            <w:r w:rsidRPr="006A4F26">
              <w:rPr>
                <w:b w:val="0"/>
                <w:bCs/>
                <w:szCs w:val="24"/>
                <w:u w:val="none"/>
              </w:rPr>
              <w:lastRenderedPageBreak/>
              <w:t>smlouvy bude podepsán osobou oprávněnou jednat jménem či za uchazeče.</w:t>
            </w:r>
          </w:p>
          <w:p w:rsidR="00961A37" w:rsidRPr="006A4F26" w:rsidRDefault="00961A37" w:rsidP="00636055">
            <w:pPr>
              <w:pStyle w:val="Zkladntext3"/>
              <w:spacing w:before="120" w:after="120"/>
              <w:jc w:val="both"/>
              <w:rPr>
                <w:b w:val="0"/>
                <w:bCs/>
                <w:szCs w:val="24"/>
                <w:u w:val="none"/>
              </w:rPr>
            </w:pPr>
            <w:r w:rsidRPr="006A4F26">
              <w:rPr>
                <w:b w:val="0"/>
                <w:bCs/>
                <w:szCs w:val="24"/>
                <w:u w:val="none"/>
              </w:rPr>
              <w:t>Závazný text Rámcové smlouvy uchazeč doplní pouze o údaje vyznačené v návrhu Rámcové smlouvy či požadované zadávací dokumentací. Případné jiné úpravy částí Rámcové smlouvy bude Centrální zadavatel považovat za nedodržení zadávacích podmínek.</w:t>
            </w:r>
          </w:p>
        </w:tc>
      </w:tr>
      <w:tr w:rsidR="00961A37" w:rsidRPr="00413C5A" w:rsidTr="00C30AE5">
        <w:tc>
          <w:tcPr>
            <w:tcW w:w="3494" w:type="dxa"/>
            <w:shd w:val="clear" w:color="auto" w:fill="FFFFFF"/>
          </w:tcPr>
          <w:p w:rsidR="00961A37" w:rsidRPr="00413C5A" w:rsidRDefault="00961A37" w:rsidP="00EF02C2">
            <w:pPr>
              <w:spacing w:before="120" w:after="120"/>
              <w:ind w:left="180" w:hanging="18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9. Další obchodní podmínky:</w:t>
            </w:r>
          </w:p>
        </w:tc>
        <w:tc>
          <w:tcPr>
            <w:tcW w:w="6215" w:type="dxa"/>
            <w:shd w:val="clear" w:color="auto" w:fill="FFFFFF"/>
          </w:tcPr>
          <w:p w:rsidR="00961A37" w:rsidRPr="009077D6" w:rsidRDefault="00961A37" w:rsidP="008D1D11">
            <w:pPr>
              <w:pStyle w:val="Odstavecseseznamem"/>
              <w:numPr>
                <w:ilvl w:val="0"/>
                <w:numId w:val="22"/>
                <w:numberingChange w:id="15" w:author="Unknown" w:date="2015-09-13T13:36:00Z" w:original="%1:1:0:."/>
              </w:numPr>
              <w:spacing w:before="120" w:after="120"/>
              <w:ind w:left="334" w:hanging="284"/>
              <w:rPr>
                <w:sz w:val="24"/>
                <w:szCs w:val="24"/>
              </w:rPr>
            </w:pPr>
            <w:r w:rsidRPr="009077D6">
              <w:rPr>
                <w:sz w:val="24"/>
                <w:szCs w:val="24"/>
              </w:rPr>
              <w:t xml:space="preserve">Požadavek centrálního zadavatele na </w:t>
            </w:r>
            <w:r w:rsidRPr="009077D6">
              <w:rPr>
                <w:b/>
                <w:sz w:val="24"/>
                <w:szCs w:val="24"/>
              </w:rPr>
              <w:t xml:space="preserve">pojištění odpovědnosti za škodu způsobenou dodavatelem </w:t>
            </w:r>
          </w:p>
          <w:p w:rsidR="00961A37" w:rsidRPr="009D5D91" w:rsidRDefault="00961A37" w:rsidP="009077D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Centrální z</w:t>
            </w:r>
            <w:r w:rsidRPr="009D5D91">
              <w:rPr>
                <w:sz w:val="24"/>
                <w:szCs w:val="24"/>
              </w:rPr>
              <w:t>adavatel požaduje při plnění veřejné zakázky těmi uchazeči</w:t>
            </w:r>
            <w:r>
              <w:rPr>
                <w:sz w:val="24"/>
                <w:szCs w:val="24"/>
              </w:rPr>
              <w:t xml:space="preserve">, </w:t>
            </w:r>
            <w:r w:rsidRPr="007525F6">
              <w:rPr>
                <w:sz w:val="24"/>
                <w:szCs w:val="24"/>
              </w:rPr>
              <w:t>s nimiž bude uzavírána Rámcová smlouva,</w:t>
            </w:r>
            <w:r w:rsidRPr="009D5D91">
              <w:rPr>
                <w:sz w:val="24"/>
                <w:szCs w:val="24"/>
              </w:rPr>
              <w:t xml:space="preserve"> pojištění odpovědnosti za škodu způsobenou dodavatelem třetí osobě </w:t>
            </w:r>
            <w:r>
              <w:rPr>
                <w:sz w:val="24"/>
                <w:szCs w:val="24"/>
              </w:rPr>
              <w:t>s minimálním limitem pojistného plnění</w:t>
            </w:r>
            <w:r w:rsidRPr="009D5D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kryjícím jednu pojistnou událost ve výši </w:t>
            </w:r>
            <w:r w:rsidRPr="008068CB">
              <w:rPr>
                <w:sz w:val="24"/>
                <w:szCs w:val="24"/>
              </w:rPr>
              <w:t>nejméně 1 000 000 Kč</w:t>
            </w:r>
            <w:r>
              <w:rPr>
                <w:sz w:val="24"/>
                <w:szCs w:val="24"/>
              </w:rPr>
              <w:t xml:space="preserve">, přičemž tento limit bude platný </w:t>
            </w:r>
            <w:r w:rsidRPr="00284DE0">
              <w:rPr>
                <w:sz w:val="24"/>
                <w:szCs w:val="24"/>
              </w:rPr>
              <w:t>po celou dobu pl</w:t>
            </w:r>
            <w:r>
              <w:rPr>
                <w:sz w:val="24"/>
                <w:szCs w:val="24"/>
              </w:rPr>
              <w:t>atnosti předložené pojistné smlouvy</w:t>
            </w:r>
            <w:r w:rsidRPr="008068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61A37" w:rsidRDefault="00961A37" w:rsidP="00E05D8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Centrální z</w:t>
            </w:r>
            <w:r w:rsidRPr="00C91B61">
              <w:rPr>
                <w:sz w:val="24"/>
                <w:szCs w:val="24"/>
              </w:rPr>
              <w:t>adavatel požaduje předložit originály nebo ověřené kopie</w:t>
            </w:r>
            <w:r>
              <w:rPr>
                <w:sz w:val="24"/>
                <w:szCs w:val="24"/>
              </w:rPr>
              <w:t xml:space="preserve"> uzavřené smlouvy či pojistného certifikátu</w:t>
            </w:r>
            <w:r w:rsidRPr="00C91B61">
              <w:rPr>
                <w:sz w:val="24"/>
                <w:szCs w:val="24"/>
              </w:rPr>
              <w:t xml:space="preserve"> před uzavřením </w:t>
            </w:r>
            <w:r>
              <w:rPr>
                <w:sz w:val="24"/>
                <w:szCs w:val="24"/>
              </w:rPr>
              <w:t xml:space="preserve">Rámcové </w:t>
            </w:r>
            <w:r w:rsidRPr="00C91B61">
              <w:rPr>
                <w:sz w:val="24"/>
                <w:szCs w:val="24"/>
              </w:rPr>
              <w:t>smlouvy</w:t>
            </w:r>
            <w:r>
              <w:rPr>
                <w:sz w:val="24"/>
                <w:szCs w:val="24"/>
              </w:rPr>
              <w:t xml:space="preserve"> pouze od </w:t>
            </w:r>
            <w:r w:rsidRPr="00C91B61">
              <w:rPr>
                <w:sz w:val="24"/>
                <w:szCs w:val="24"/>
              </w:rPr>
              <w:t xml:space="preserve">uchazečů, se kterými má být uzavřena </w:t>
            </w:r>
            <w:r>
              <w:rPr>
                <w:sz w:val="24"/>
                <w:szCs w:val="24"/>
              </w:rPr>
              <w:t xml:space="preserve">Rámcová </w:t>
            </w:r>
            <w:r w:rsidRPr="00C91B61">
              <w:rPr>
                <w:sz w:val="24"/>
                <w:szCs w:val="24"/>
              </w:rPr>
              <w:t xml:space="preserve">smlouva podle § 82 </w:t>
            </w:r>
            <w:r>
              <w:rPr>
                <w:sz w:val="24"/>
                <w:szCs w:val="24"/>
              </w:rPr>
              <w:t>a § 89 Z</w:t>
            </w:r>
            <w:r w:rsidRPr="00C91B61">
              <w:rPr>
                <w:sz w:val="24"/>
                <w:szCs w:val="24"/>
              </w:rPr>
              <w:t>ákona</w:t>
            </w:r>
            <w:r>
              <w:rPr>
                <w:sz w:val="24"/>
                <w:szCs w:val="24"/>
              </w:rPr>
              <w:t xml:space="preserve"> o veřejných zakázkách</w:t>
            </w:r>
            <w:r w:rsidRPr="00C91B61">
              <w:rPr>
                <w:sz w:val="24"/>
                <w:szCs w:val="24"/>
              </w:rPr>
              <w:t>.</w:t>
            </w:r>
          </w:p>
          <w:p w:rsidR="00961A37" w:rsidRDefault="00961A37" w:rsidP="00E05D87">
            <w:pPr>
              <w:spacing w:before="120" w:after="120"/>
              <w:rPr>
                <w:sz w:val="24"/>
                <w:szCs w:val="24"/>
              </w:rPr>
            </w:pPr>
          </w:p>
          <w:p w:rsidR="00961A37" w:rsidRDefault="00961A37" w:rsidP="009077D6">
            <w:pPr>
              <w:pStyle w:val="Odstavecseseznamem"/>
              <w:numPr>
                <w:ilvl w:val="0"/>
                <w:numId w:val="22"/>
                <w:numberingChange w:id="16" w:author="Unknown" w:date="2015-09-13T13:36:00Z" w:original="%1:2:0:."/>
              </w:numPr>
              <w:spacing w:before="120" w:after="120"/>
              <w:ind w:left="334" w:hanging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Požadavek centrálního zadavatele na </w:t>
            </w:r>
            <w:r w:rsidRPr="009077D6">
              <w:rPr>
                <w:b/>
                <w:sz w:val="24"/>
                <w:szCs w:val="24"/>
              </w:rPr>
              <w:t xml:space="preserve">pravidelné poskytování informací o </w:t>
            </w:r>
            <w:r>
              <w:rPr>
                <w:b/>
                <w:sz w:val="24"/>
                <w:szCs w:val="24"/>
              </w:rPr>
              <w:t xml:space="preserve">skutečné </w:t>
            </w:r>
            <w:r w:rsidRPr="009077D6">
              <w:rPr>
                <w:b/>
                <w:sz w:val="24"/>
                <w:szCs w:val="24"/>
              </w:rPr>
              <w:t>výši plnění</w:t>
            </w:r>
          </w:p>
          <w:p w:rsidR="00961A37" w:rsidRDefault="00961A37" w:rsidP="009077D6">
            <w:pPr>
              <w:spacing w:before="120" w:after="120"/>
              <w:rPr>
                <w:bCs/>
                <w:sz w:val="24"/>
                <w:szCs w:val="24"/>
              </w:rPr>
            </w:pPr>
            <w:r w:rsidRPr="009077D6">
              <w:rPr>
                <w:bCs/>
                <w:sz w:val="24"/>
                <w:szCs w:val="24"/>
              </w:rPr>
              <w:t xml:space="preserve">Centrální </w:t>
            </w:r>
            <w:r>
              <w:rPr>
                <w:bCs/>
                <w:sz w:val="24"/>
                <w:szCs w:val="24"/>
              </w:rPr>
              <w:t>zadavatel požaduje</w:t>
            </w:r>
            <w:r w:rsidRPr="009D5D91">
              <w:rPr>
                <w:sz w:val="24"/>
                <w:szCs w:val="24"/>
              </w:rPr>
              <w:t xml:space="preserve"> při plnění veřejné zakázky těmi uchazeči, s</w:t>
            </w:r>
            <w:r>
              <w:rPr>
                <w:sz w:val="24"/>
                <w:szCs w:val="24"/>
              </w:rPr>
              <w:t> </w:t>
            </w:r>
            <w:r w:rsidRPr="009D5D91">
              <w:rPr>
                <w:sz w:val="24"/>
                <w:szCs w:val="24"/>
              </w:rPr>
              <w:t>nimiž bude uzavřena Rámcová smlouva,</w:t>
            </w:r>
            <w:r>
              <w:rPr>
                <w:bCs/>
                <w:sz w:val="24"/>
                <w:szCs w:val="24"/>
              </w:rPr>
              <w:t xml:space="preserve"> pravidelné zasílání přehledů s informacemi o skutečné výši plnění předmětu veřejné zakázky, a to v členění dle jednotlivých Zadavatelů specifikovaných v </w:t>
            </w:r>
            <w:r w:rsidRPr="00314C43">
              <w:rPr>
                <w:bCs/>
                <w:sz w:val="24"/>
                <w:szCs w:val="24"/>
                <w:u w:val="single"/>
              </w:rPr>
              <w:t>příloze č. 1</w:t>
            </w:r>
            <w:r>
              <w:rPr>
                <w:bCs/>
                <w:sz w:val="24"/>
                <w:szCs w:val="24"/>
              </w:rPr>
              <w:t xml:space="preserve">. V případě, že uchazeč bude využívat služeb subdodavatelů, požaduje centrální zadavatel poskytování přehledu plnění i za tyto subdodavatele. </w:t>
            </w:r>
          </w:p>
          <w:p w:rsidR="00961A37" w:rsidRPr="009077D6" w:rsidRDefault="00961A37" w:rsidP="00314C43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Přesné podmínky, tj. rozsah a frekvence zasílaných přehledů včetně vzorové šablony pro zpracování přehledů, jsou uvedeny v návrhu Rámcové smlouvy.</w:t>
            </w:r>
          </w:p>
        </w:tc>
      </w:tr>
      <w:tr w:rsidR="00961A37" w:rsidRPr="00413C5A" w:rsidTr="00E72730">
        <w:tc>
          <w:tcPr>
            <w:tcW w:w="3494" w:type="dxa"/>
            <w:shd w:val="clear" w:color="auto" w:fill="FFFFFF"/>
          </w:tcPr>
          <w:p w:rsidR="00961A37" w:rsidRDefault="00961A37" w:rsidP="00EF02C2">
            <w:pPr>
              <w:spacing w:before="120" w:after="120"/>
              <w:ind w:left="180" w:hanging="18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 Lhůta pro podání nabídek</w:t>
            </w:r>
          </w:p>
        </w:tc>
        <w:tc>
          <w:tcPr>
            <w:tcW w:w="6215" w:type="dxa"/>
            <w:shd w:val="clear" w:color="auto" w:fill="FFFFFF"/>
          </w:tcPr>
          <w:p w:rsidR="00961A37" w:rsidRPr="00E72730" w:rsidRDefault="00961A37" w:rsidP="008940A9">
            <w:pPr>
              <w:spacing w:before="120" w:after="120"/>
              <w:rPr>
                <w:sz w:val="24"/>
                <w:szCs w:val="24"/>
              </w:rPr>
            </w:pPr>
            <w:r w:rsidRPr="00E72730">
              <w:rPr>
                <w:sz w:val="24"/>
                <w:szCs w:val="24"/>
              </w:rPr>
              <w:t xml:space="preserve">Lhůta pro podání nabídek končí </w:t>
            </w:r>
            <w:r w:rsidR="008940A9" w:rsidRPr="00A7708B">
              <w:rPr>
                <w:b/>
                <w:sz w:val="24"/>
                <w:szCs w:val="24"/>
              </w:rPr>
              <w:t>8</w:t>
            </w:r>
            <w:r w:rsidR="00C26A03" w:rsidRPr="00A7708B">
              <w:rPr>
                <w:b/>
                <w:sz w:val="24"/>
                <w:szCs w:val="24"/>
              </w:rPr>
              <w:t>. 12.</w:t>
            </w:r>
            <w:r w:rsidRPr="00A7708B">
              <w:rPr>
                <w:b/>
                <w:sz w:val="24"/>
                <w:szCs w:val="24"/>
              </w:rPr>
              <w:t xml:space="preserve"> 2015 v</w:t>
            </w:r>
            <w:bookmarkStart w:id="17" w:name="_GoBack"/>
            <w:bookmarkEnd w:id="17"/>
            <w:r w:rsidRPr="00CA7ACC">
              <w:rPr>
                <w:b/>
                <w:sz w:val="24"/>
                <w:szCs w:val="24"/>
              </w:rPr>
              <w:t> 10:00 hodin</w:t>
            </w:r>
            <w:r w:rsidRPr="00E72730">
              <w:rPr>
                <w:sz w:val="24"/>
                <w:szCs w:val="24"/>
              </w:rPr>
              <w:t>.</w:t>
            </w:r>
          </w:p>
        </w:tc>
      </w:tr>
      <w:tr w:rsidR="00961A37" w:rsidRPr="00413C5A" w:rsidTr="00C30AE5">
        <w:tc>
          <w:tcPr>
            <w:tcW w:w="3494" w:type="dxa"/>
            <w:shd w:val="clear" w:color="auto" w:fill="FFFFFF"/>
          </w:tcPr>
          <w:p w:rsidR="00961A37" w:rsidRPr="00413C5A" w:rsidRDefault="00961A37" w:rsidP="00EF02C2">
            <w:pPr>
              <w:spacing w:before="120"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  <w:r w:rsidRPr="00413C5A">
              <w:rPr>
                <w:b/>
                <w:bCs/>
                <w:sz w:val="24"/>
              </w:rPr>
              <w:t>. Otevírání obálek:</w:t>
            </w:r>
          </w:p>
        </w:tc>
        <w:tc>
          <w:tcPr>
            <w:tcW w:w="6215" w:type="dxa"/>
            <w:shd w:val="clear" w:color="auto" w:fill="FFFFFF"/>
          </w:tcPr>
          <w:p w:rsidR="00961A37" w:rsidRPr="006A4F26" w:rsidRDefault="00961A37" w:rsidP="006516EA">
            <w:pPr>
              <w:pStyle w:val="Zkladntext"/>
              <w:spacing w:before="120" w:after="120"/>
              <w:rPr>
                <w:szCs w:val="24"/>
              </w:rPr>
            </w:pPr>
            <w:r w:rsidRPr="006A4F26">
              <w:rPr>
                <w:szCs w:val="24"/>
              </w:rPr>
              <w:t xml:space="preserve">Otevírání nabídek bude v elektronickém nástroji E-ZAK </w:t>
            </w:r>
            <w:r w:rsidRPr="006A4F26">
              <w:rPr>
                <w:b/>
                <w:szCs w:val="24"/>
              </w:rPr>
              <w:t>zahájeno</w:t>
            </w:r>
            <w:r w:rsidRPr="006A4F26">
              <w:rPr>
                <w:szCs w:val="24"/>
              </w:rPr>
              <w:t xml:space="preserve"> v souladu s § 71 odst. 4 Zákona o veřejných zakázkách </w:t>
            </w:r>
            <w:r w:rsidRPr="006A4F26">
              <w:rPr>
                <w:b/>
                <w:szCs w:val="24"/>
              </w:rPr>
              <w:t>ihned po uplynutí lhůty pro podání nabídek</w:t>
            </w:r>
            <w:r w:rsidRPr="006A4F26">
              <w:rPr>
                <w:szCs w:val="24"/>
              </w:rPr>
              <w:t>.</w:t>
            </w:r>
          </w:p>
          <w:p w:rsidR="00961A37" w:rsidRPr="006A4F26" w:rsidRDefault="00961A37" w:rsidP="00B06A74">
            <w:pPr>
              <w:pStyle w:val="Zkladntext"/>
              <w:spacing w:before="120" w:after="120"/>
            </w:pPr>
            <w:r w:rsidRPr="006A4F26">
              <w:rPr>
                <w:szCs w:val="24"/>
              </w:rPr>
              <w:t xml:space="preserve">Vzhledem k tomu, že hodnocení nabídek bude probíhat prostřednictvím elektronické aukce, bude se </w:t>
            </w:r>
            <w:r w:rsidRPr="006A4F26">
              <w:rPr>
                <w:b/>
                <w:szCs w:val="24"/>
              </w:rPr>
              <w:t>otevírání nabídek v souladu s § 71 odst. 6 Zákona o veřejných zakázkách konat bez přítomnosti uchazečů</w:t>
            </w:r>
            <w:r w:rsidRPr="006A4F26">
              <w:rPr>
                <w:szCs w:val="24"/>
              </w:rPr>
              <w:t xml:space="preserve">. </w:t>
            </w:r>
          </w:p>
        </w:tc>
      </w:tr>
      <w:tr w:rsidR="00961A37" w:rsidRPr="00413C5A" w:rsidTr="00C30AE5">
        <w:tc>
          <w:tcPr>
            <w:tcW w:w="3494" w:type="dxa"/>
            <w:shd w:val="clear" w:color="auto" w:fill="FFFFFF"/>
          </w:tcPr>
          <w:p w:rsidR="00961A37" w:rsidRPr="00413C5A" w:rsidRDefault="00961A37" w:rsidP="009D5D91">
            <w:pPr>
              <w:spacing w:before="120" w:after="120"/>
              <w:rPr>
                <w:b/>
                <w:bCs/>
                <w:sz w:val="24"/>
              </w:rPr>
            </w:pPr>
            <w:r w:rsidRPr="00413C5A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2</w:t>
            </w:r>
            <w:r w:rsidRPr="00413C5A">
              <w:rPr>
                <w:b/>
                <w:bCs/>
                <w:sz w:val="24"/>
              </w:rPr>
              <w:t>. Varianty nabídky:</w:t>
            </w:r>
          </w:p>
        </w:tc>
        <w:tc>
          <w:tcPr>
            <w:tcW w:w="6215" w:type="dxa"/>
            <w:shd w:val="clear" w:color="auto" w:fill="FFFFFF"/>
          </w:tcPr>
          <w:p w:rsidR="00961A37" w:rsidRPr="00C91B61" w:rsidRDefault="00961A37" w:rsidP="00EF02C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Centrální z</w:t>
            </w:r>
            <w:r w:rsidRPr="00C91B61">
              <w:rPr>
                <w:sz w:val="24"/>
                <w:szCs w:val="24"/>
              </w:rPr>
              <w:t>adavatel nepřipouští varianty nabídky.</w:t>
            </w:r>
          </w:p>
        </w:tc>
      </w:tr>
      <w:tr w:rsidR="00961A37" w:rsidRPr="00413C5A" w:rsidTr="00C30AE5">
        <w:tc>
          <w:tcPr>
            <w:tcW w:w="3494" w:type="dxa"/>
            <w:shd w:val="clear" w:color="auto" w:fill="FFFFFF"/>
          </w:tcPr>
          <w:p w:rsidR="00961A37" w:rsidRPr="005B1CE6" w:rsidRDefault="00961A37" w:rsidP="009D5D91">
            <w:pPr>
              <w:spacing w:before="120" w:after="120"/>
              <w:rPr>
                <w:b/>
                <w:bCs/>
                <w:sz w:val="24"/>
              </w:rPr>
            </w:pPr>
            <w:r w:rsidRPr="005B1CE6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3</w:t>
            </w:r>
            <w:r w:rsidRPr="005B1CE6">
              <w:rPr>
                <w:b/>
                <w:bCs/>
                <w:sz w:val="24"/>
              </w:rPr>
              <w:t>. Jistota:</w:t>
            </w:r>
          </w:p>
        </w:tc>
        <w:tc>
          <w:tcPr>
            <w:tcW w:w="6215" w:type="dxa"/>
            <w:shd w:val="clear" w:color="auto" w:fill="FFFFFF"/>
          </w:tcPr>
          <w:p w:rsidR="00961A37" w:rsidRPr="00182417" w:rsidRDefault="00961A37" w:rsidP="00E805A4">
            <w:pPr>
              <w:spacing w:before="120" w:after="120"/>
              <w:rPr>
                <w:sz w:val="24"/>
                <w:szCs w:val="24"/>
              </w:rPr>
            </w:pPr>
            <w:r w:rsidRPr="00182417">
              <w:rPr>
                <w:sz w:val="24"/>
                <w:szCs w:val="24"/>
              </w:rPr>
              <w:t xml:space="preserve">Centrální zadavatel požaduje, aby uchazeči k zajištění svých </w:t>
            </w:r>
            <w:r w:rsidRPr="00182417">
              <w:rPr>
                <w:sz w:val="24"/>
                <w:szCs w:val="24"/>
              </w:rPr>
              <w:lastRenderedPageBreak/>
              <w:t xml:space="preserve">povinností vyplývajících z účasti </w:t>
            </w:r>
            <w:r>
              <w:rPr>
                <w:sz w:val="24"/>
                <w:szCs w:val="24"/>
              </w:rPr>
              <w:t>v</w:t>
            </w:r>
            <w:r w:rsidRPr="00182417">
              <w:rPr>
                <w:sz w:val="24"/>
                <w:szCs w:val="24"/>
              </w:rPr>
              <w:t xml:space="preserve"> zadávacím řízení poskytli jistotu ve smyslu § 67 Zákona</w:t>
            </w:r>
            <w:r>
              <w:t xml:space="preserve"> </w:t>
            </w:r>
            <w:r w:rsidRPr="003E5288">
              <w:rPr>
                <w:sz w:val="24"/>
                <w:szCs w:val="24"/>
              </w:rPr>
              <w:t>o veřejných zakázkách</w:t>
            </w:r>
            <w:r w:rsidRPr="00182417">
              <w:rPr>
                <w:sz w:val="24"/>
                <w:szCs w:val="24"/>
              </w:rPr>
              <w:t xml:space="preserve">, a to ve </w:t>
            </w:r>
            <w:r w:rsidRPr="00F64647">
              <w:rPr>
                <w:sz w:val="24"/>
                <w:szCs w:val="24"/>
              </w:rPr>
              <w:t>výši 150 000 Kč za každou jednotlivou část VZ, pro</w:t>
            </w:r>
            <w:r w:rsidRPr="00182417">
              <w:rPr>
                <w:sz w:val="24"/>
                <w:szCs w:val="24"/>
              </w:rPr>
              <w:t xml:space="preserve"> kterou podává uchazeč nabídku.</w:t>
            </w:r>
          </w:p>
          <w:p w:rsidR="00961A37" w:rsidRPr="00182417" w:rsidRDefault="00961A37" w:rsidP="00E805A4">
            <w:pPr>
              <w:spacing w:before="120" w:after="120"/>
              <w:rPr>
                <w:b/>
                <w:sz w:val="24"/>
                <w:szCs w:val="24"/>
              </w:rPr>
            </w:pPr>
            <w:r w:rsidRPr="00182417">
              <w:rPr>
                <w:b/>
                <w:sz w:val="24"/>
                <w:szCs w:val="24"/>
              </w:rPr>
              <w:t>Forma poskytnutí jistoty</w:t>
            </w:r>
          </w:p>
          <w:p w:rsidR="00961A37" w:rsidRPr="00182417" w:rsidRDefault="00961A37" w:rsidP="00E805A4">
            <w:pPr>
              <w:spacing w:before="120" w:after="120"/>
              <w:rPr>
                <w:sz w:val="24"/>
                <w:szCs w:val="24"/>
              </w:rPr>
            </w:pPr>
            <w:r w:rsidRPr="00182417">
              <w:rPr>
                <w:sz w:val="24"/>
                <w:szCs w:val="24"/>
              </w:rPr>
              <w:t xml:space="preserve">Jistotu poskytne uchazeč formou složení peněžní částky na účet </w:t>
            </w:r>
            <w:r>
              <w:rPr>
                <w:sz w:val="24"/>
                <w:szCs w:val="24"/>
              </w:rPr>
              <w:t xml:space="preserve">centrálního </w:t>
            </w:r>
            <w:r w:rsidRPr="00182417">
              <w:rPr>
                <w:sz w:val="24"/>
                <w:szCs w:val="24"/>
              </w:rPr>
              <w:t>zadavatele (dále jen „peněžní jistota“), nebo formou bankovní záruky nebo pojištění záruky.</w:t>
            </w:r>
          </w:p>
          <w:p w:rsidR="00961A37" w:rsidRPr="00182417" w:rsidRDefault="00961A37" w:rsidP="00D33929">
            <w:pPr>
              <w:spacing w:before="120" w:after="120"/>
              <w:rPr>
                <w:b/>
                <w:sz w:val="24"/>
                <w:szCs w:val="24"/>
              </w:rPr>
            </w:pPr>
            <w:r w:rsidRPr="00182417">
              <w:rPr>
                <w:b/>
                <w:sz w:val="24"/>
                <w:szCs w:val="24"/>
              </w:rPr>
              <w:t>Jistota poskytnutá formou bankovní záruky nebo pojištění záruky</w:t>
            </w:r>
          </w:p>
          <w:p w:rsidR="00961A37" w:rsidRPr="00182417" w:rsidRDefault="00961A37" w:rsidP="00C314BE">
            <w:pPr>
              <w:rPr>
                <w:sz w:val="24"/>
                <w:szCs w:val="24"/>
              </w:rPr>
            </w:pPr>
            <w:r w:rsidRPr="00182417">
              <w:rPr>
                <w:sz w:val="24"/>
                <w:szCs w:val="24"/>
              </w:rPr>
              <w:t>Má-li být jistota poskytnuta formou bankovní záruky nebo pojištění záruky, je uchazeč povinen zajistit její platnost po celou dobu zadávací lhůty podle § 43 Zákona</w:t>
            </w:r>
            <w:r w:rsidRPr="003E5288">
              <w:rPr>
                <w:sz w:val="24"/>
                <w:szCs w:val="24"/>
              </w:rPr>
              <w:t xml:space="preserve"> o veřejných zakázkách</w:t>
            </w:r>
            <w:r w:rsidRPr="00182417">
              <w:rPr>
                <w:sz w:val="24"/>
                <w:szCs w:val="24"/>
              </w:rPr>
              <w:t xml:space="preserve">. Má-li být jistota poskytnuta formou pojištění záruky, pojistná smlouva musí být uzavřena tak, že pojištěným je uchazeč a oprávněnou osobou, která má právo na pojistné plnění, je </w:t>
            </w:r>
            <w:r>
              <w:rPr>
                <w:sz w:val="24"/>
                <w:szCs w:val="24"/>
              </w:rPr>
              <w:t>c</w:t>
            </w:r>
            <w:r w:rsidRPr="00182417">
              <w:rPr>
                <w:sz w:val="24"/>
                <w:szCs w:val="24"/>
              </w:rPr>
              <w:t xml:space="preserve">entrální zadavatel. Pojistitel vydá pojištěnému písemné prohlášení obsahující závazek vyplatit </w:t>
            </w:r>
            <w:r>
              <w:rPr>
                <w:sz w:val="24"/>
                <w:szCs w:val="24"/>
              </w:rPr>
              <w:t>c</w:t>
            </w:r>
            <w:r w:rsidRPr="00182417">
              <w:rPr>
                <w:sz w:val="24"/>
                <w:szCs w:val="24"/>
              </w:rPr>
              <w:t>entrálnímu zadavateli za podmínek stanovených v § 67 odst. 7 Zákona</w:t>
            </w:r>
            <w:r w:rsidRPr="003E5288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 w:rsidRPr="00182417">
              <w:rPr>
                <w:sz w:val="24"/>
                <w:szCs w:val="24"/>
              </w:rPr>
              <w:t xml:space="preserve"> pojistné plnění.</w:t>
            </w:r>
          </w:p>
          <w:p w:rsidR="00961A37" w:rsidRPr="00AC125A" w:rsidRDefault="00961A37" w:rsidP="00D33929">
            <w:pPr>
              <w:spacing w:before="120" w:after="120"/>
              <w:rPr>
                <w:b/>
                <w:sz w:val="24"/>
                <w:szCs w:val="24"/>
              </w:rPr>
            </w:pPr>
            <w:r w:rsidRPr="00AC125A">
              <w:rPr>
                <w:b/>
                <w:sz w:val="24"/>
                <w:szCs w:val="24"/>
              </w:rPr>
              <w:t>Doklad o poskytnutí jistoty formou bankovní záruky</w:t>
            </w:r>
          </w:p>
          <w:p w:rsidR="00961A37" w:rsidRPr="00AC125A" w:rsidRDefault="00961A37" w:rsidP="00C314BE">
            <w:pPr>
              <w:rPr>
                <w:sz w:val="24"/>
                <w:szCs w:val="24"/>
              </w:rPr>
            </w:pPr>
            <w:r w:rsidRPr="00AC125A">
              <w:rPr>
                <w:sz w:val="24"/>
                <w:szCs w:val="24"/>
              </w:rPr>
              <w:t>V případě poskytnutí jistoty formou bankovní záruky musí uchazeč předložit originál dokladu o poskytnutí jistoty formou bankovní záruky. Kopie tohoto dokladu musí být součástí elektronické verze nabídky.</w:t>
            </w:r>
          </w:p>
          <w:p w:rsidR="00961A37" w:rsidRPr="00AC125A" w:rsidRDefault="00961A37" w:rsidP="00DA156A">
            <w:pPr>
              <w:spacing w:before="120" w:after="120"/>
              <w:rPr>
                <w:sz w:val="24"/>
                <w:szCs w:val="24"/>
              </w:rPr>
            </w:pPr>
            <w:r w:rsidRPr="00AC125A">
              <w:rPr>
                <w:b/>
                <w:sz w:val="24"/>
                <w:szCs w:val="24"/>
              </w:rPr>
              <w:t>Doklad o poskytnutí jistoty formou pojištění záruky</w:t>
            </w:r>
          </w:p>
          <w:p w:rsidR="00961A37" w:rsidRPr="00AC125A" w:rsidRDefault="00961A37" w:rsidP="00AC125A">
            <w:pPr>
              <w:rPr>
                <w:sz w:val="24"/>
                <w:szCs w:val="24"/>
              </w:rPr>
            </w:pPr>
            <w:r w:rsidRPr="00AC125A">
              <w:rPr>
                <w:sz w:val="24"/>
                <w:szCs w:val="24"/>
              </w:rPr>
              <w:t>V případě poskytnutí jistoty formou pojištění záruky musí uchazeč předložit originál pojistné smlouvy. Kopie tohoto dokladu musí být součástí elektronické verze nabídky.</w:t>
            </w:r>
          </w:p>
          <w:p w:rsidR="00961A37" w:rsidRPr="00182417" w:rsidRDefault="00961A37" w:rsidP="00B264A2">
            <w:pPr>
              <w:spacing w:before="120" w:after="120"/>
              <w:rPr>
                <w:b/>
                <w:sz w:val="24"/>
                <w:szCs w:val="24"/>
              </w:rPr>
            </w:pPr>
            <w:r w:rsidRPr="00182417">
              <w:rPr>
                <w:b/>
                <w:sz w:val="24"/>
                <w:szCs w:val="24"/>
              </w:rPr>
              <w:t>Jistota poskytnutá formou peněžní částky</w:t>
            </w:r>
          </w:p>
          <w:p w:rsidR="00961A37" w:rsidRPr="00182417" w:rsidRDefault="00961A37" w:rsidP="00C314BE">
            <w:pPr>
              <w:rPr>
                <w:sz w:val="24"/>
                <w:szCs w:val="24"/>
              </w:rPr>
            </w:pPr>
            <w:r w:rsidRPr="00182417">
              <w:rPr>
                <w:sz w:val="24"/>
                <w:szCs w:val="24"/>
              </w:rPr>
              <w:t>V případě poskytnutí jistoty s</w:t>
            </w:r>
            <w:r>
              <w:rPr>
                <w:sz w:val="24"/>
                <w:szCs w:val="24"/>
              </w:rPr>
              <w:t>ložením peněžní částky na účet c</w:t>
            </w:r>
            <w:r w:rsidRPr="00182417">
              <w:rPr>
                <w:sz w:val="24"/>
                <w:szCs w:val="24"/>
              </w:rPr>
              <w:t xml:space="preserve">entrálního zadavatele musí být jistota </w:t>
            </w:r>
            <w:r w:rsidRPr="00700C60">
              <w:rPr>
                <w:sz w:val="24"/>
                <w:szCs w:val="24"/>
              </w:rPr>
              <w:t>nejpozději v den předcházející dni</w:t>
            </w:r>
            <w:r w:rsidRPr="00182417">
              <w:rPr>
                <w:sz w:val="24"/>
                <w:szCs w:val="24"/>
              </w:rPr>
              <w:t xml:space="preserve"> otevírání obálek s nabídkami připsána na účtu </w:t>
            </w:r>
            <w:r>
              <w:rPr>
                <w:sz w:val="24"/>
                <w:szCs w:val="24"/>
              </w:rPr>
              <w:t>c</w:t>
            </w:r>
            <w:r w:rsidRPr="00182417">
              <w:rPr>
                <w:sz w:val="24"/>
                <w:szCs w:val="24"/>
              </w:rPr>
              <w:t xml:space="preserve">entrálního zadavatele. Číslo bankovního účtu pro složení peněžní částky: </w:t>
            </w:r>
          </w:p>
          <w:p w:rsidR="00961A37" w:rsidRPr="00810CDC" w:rsidRDefault="00961A37" w:rsidP="00810CDC">
            <w:pPr>
              <w:rPr>
                <w:sz w:val="24"/>
                <w:szCs w:val="24"/>
              </w:rPr>
            </w:pPr>
            <w:r w:rsidRPr="00810CDC">
              <w:rPr>
                <w:sz w:val="24"/>
                <w:szCs w:val="24"/>
              </w:rPr>
              <w:t>Číslo účtu: 35-3328001/0710</w:t>
            </w:r>
          </w:p>
          <w:p w:rsidR="00961A37" w:rsidRPr="00810CDC" w:rsidRDefault="00961A37" w:rsidP="00810CDC">
            <w:pPr>
              <w:rPr>
                <w:sz w:val="24"/>
                <w:szCs w:val="24"/>
              </w:rPr>
            </w:pPr>
            <w:r w:rsidRPr="00810CDC">
              <w:rPr>
                <w:sz w:val="24"/>
                <w:szCs w:val="24"/>
              </w:rPr>
              <w:t>Variabilní symbol: 66023415</w:t>
            </w:r>
          </w:p>
          <w:p w:rsidR="00961A37" w:rsidRPr="00810CDC" w:rsidRDefault="00961A37" w:rsidP="00810CDC">
            <w:pPr>
              <w:rPr>
                <w:sz w:val="24"/>
                <w:szCs w:val="24"/>
              </w:rPr>
            </w:pPr>
            <w:r w:rsidRPr="00810CDC">
              <w:rPr>
                <w:sz w:val="24"/>
                <w:szCs w:val="24"/>
              </w:rPr>
              <w:t>Specifický symbol: 513112</w:t>
            </w:r>
          </w:p>
          <w:p w:rsidR="00961A37" w:rsidRPr="00182417" w:rsidRDefault="00961A37" w:rsidP="00B264A2">
            <w:pPr>
              <w:spacing w:before="120" w:after="120"/>
              <w:rPr>
                <w:b/>
                <w:sz w:val="24"/>
                <w:szCs w:val="24"/>
              </w:rPr>
            </w:pPr>
            <w:r w:rsidRPr="00182417">
              <w:rPr>
                <w:b/>
                <w:sz w:val="24"/>
                <w:szCs w:val="24"/>
              </w:rPr>
              <w:t xml:space="preserve">Doklad o poskytnutí jistoty formou peněžní částky </w:t>
            </w:r>
          </w:p>
          <w:p w:rsidR="00961A37" w:rsidRPr="00182417" w:rsidRDefault="00961A37" w:rsidP="00C314BE">
            <w:pPr>
              <w:rPr>
                <w:sz w:val="24"/>
                <w:szCs w:val="24"/>
              </w:rPr>
            </w:pPr>
            <w:r w:rsidRPr="00182417">
              <w:rPr>
                <w:sz w:val="24"/>
                <w:szCs w:val="24"/>
              </w:rPr>
              <w:t xml:space="preserve">Nabídka uchazeče nemusí v případě poskytnutí jistoty složením peněžní částky na účet </w:t>
            </w:r>
            <w:r>
              <w:rPr>
                <w:sz w:val="24"/>
                <w:szCs w:val="24"/>
              </w:rPr>
              <w:t xml:space="preserve">centrálního </w:t>
            </w:r>
            <w:r w:rsidRPr="00182417">
              <w:rPr>
                <w:sz w:val="24"/>
                <w:szCs w:val="24"/>
              </w:rPr>
              <w:t xml:space="preserve">zadavatele obsahovat doklad o složení jistoty. Výpisem z účtu </w:t>
            </w:r>
            <w:r>
              <w:rPr>
                <w:sz w:val="24"/>
                <w:szCs w:val="24"/>
              </w:rPr>
              <w:t xml:space="preserve">centrálního </w:t>
            </w:r>
            <w:r w:rsidRPr="00182417">
              <w:rPr>
                <w:sz w:val="24"/>
                <w:szCs w:val="24"/>
              </w:rPr>
              <w:t xml:space="preserve">zadavatele bude ověřeno složení jistoty formou peněžní částky v požadované výši a v požadované lhůtě. </w:t>
            </w:r>
          </w:p>
          <w:p w:rsidR="00961A37" w:rsidRDefault="00961A37" w:rsidP="00B264A2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961A37" w:rsidRPr="00182417" w:rsidRDefault="00961A37" w:rsidP="00B264A2">
            <w:pPr>
              <w:spacing w:before="120" w:after="120"/>
              <w:rPr>
                <w:b/>
                <w:sz w:val="24"/>
                <w:szCs w:val="24"/>
              </w:rPr>
            </w:pPr>
            <w:r w:rsidRPr="00182417">
              <w:rPr>
                <w:b/>
                <w:sz w:val="24"/>
                <w:szCs w:val="24"/>
              </w:rPr>
              <w:t>Vrácení a případné propadnutí jistoty</w:t>
            </w:r>
          </w:p>
          <w:p w:rsidR="00961A37" w:rsidRPr="00182417" w:rsidRDefault="00961A37" w:rsidP="00C314BE">
            <w:pPr>
              <w:rPr>
                <w:sz w:val="24"/>
                <w:szCs w:val="24"/>
              </w:rPr>
            </w:pPr>
            <w:r w:rsidRPr="00182417">
              <w:rPr>
                <w:sz w:val="24"/>
                <w:szCs w:val="24"/>
              </w:rPr>
              <w:lastRenderedPageBreak/>
              <w:t xml:space="preserve">Podmínky a lhůty </w:t>
            </w:r>
            <w:r>
              <w:rPr>
                <w:sz w:val="24"/>
                <w:szCs w:val="24"/>
              </w:rPr>
              <w:t xml:space="preserve">pro </w:t>
            </w:r>
            <w:r w:rsidRPr="00182417">
              <w:rPr>
                <w:sz w:val="24"/>
                <w:szCs w:val="24"/>
              </w:rPr>
              <w:t>vrácení či případné propadnutí jistoty jsou stanoveny v § 67 Zákona</w:t>
            </w:r>
            <w:r w:rsidRPr="003E5288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 w:rsidRPr="00182417">
              <w:rPr>
                <w:sz w:val="24"/>
                <w:szCs w:val="24"/>
              </w:rPr>
              <w:t>.</w:t>
            </w:r>
          </w:p>
          <w:p w:rsidR="00961A37" w:rsidRPr="00182417" w:rsidRDefault="00961A37" w:rsidP="00C314BE">
            <w:pPr>
              <w:spacing w:before="120" w:after="120"/>
              <w:rPr>
                <w:sz w:val="24"/>
                <w:szCs w:val="24"/>
              </w:rPr>
            </w:pPr>
            <w:r w:rsidRPr="00182417">
              <w:rPr>
                <w:b/>
                <w:sz w:val="24"/>
                <w:szCs w:val="24"/>
              </w:rPr>
              <w:t>Uchazeč je povinen uvést bankovní spojení a číslo účtu pro vrácení jistoty.</w:t>
            </w:r>
          </w:p>
        </w:tc>
      </w:tr>
      <w:tr w:rsidR="00961A37" w:rsidRPr="00413C5A" w:rsidTr="00EF02C2">
        <w:tc>
          <w:tcPr>
            <w:tcW w:w="3494" w:type="dxa"/>
            <w:shd w:val="clear" w:color="auto" w:fill="FFFFFF"/>
          </w:tcPr>
          <w:p w:rsidR="00961A37" w:rsidRPr="00413C5A" w:rsidRDefault="00961A37" w:rsidP="00EF02C2">
            <w:pPr>
              <w:spacing w:before="120" w:after="120"/>
              <w:rPr>
                <w:b/>
                <w:bCs/>
                <w:sz w:val="24"/>
              </w:rPr>
            </w:pPr>
            <w:r w:rsidRPr="00413C5A">
              <w:rPr>
                <w:b/>
                <w:bCs/>
                <w:sz w:val="24"/>
              </w:rPr>
              <w:lastRenderedPageBreak/>
              <w:t>1</w:t>
            </w:r>
            <w:r>
              <w:rPr>
                <w:b/>
                <w:bCs/>
                <w:sz w:val="24"/>
              </w:rPr>
              <w:t>4</w:t>
            </w:r>
            <w:r w:rsidRPr="00413C5A">
              <w:rPr>
                <w:b/>
                <w:bCs/>
                <w:sz w:val="24"/>
              </w:rPr>
              <w:t xml:space="preserve">. Kvalifikace </w:t>
            </w:r>
          </w:p>
          <w:p w:rsidR="00961A37" w:rsidRPr="00413C5A" w:rsidRDefault="00961A37" w:rsidP="00EF02C2">
            <w:pPr>
              <w:spacing w:before="120" w:after="120"/>
              <w:rPr>
                <w:sz w:val="24"/>
              </w:rPr>
            </w:pPr>
          </w:p>
          <w:p w:rsidR="00961A37" w:rsidRPr="00413C5A" w:rsidRDefault="00961A37" w:rsidP="00EF02C2">
            <w:pPr>
              <w:spacing w:before="120" w:after="120"/>
              <w:rPr>
                <w:sz w:val="24"/>
              </w:rPr>
            </w:pPr>
          </w:p>
          <w:p w:rsidR="00961A37" w:rsidRPr="00413C5A" w:rsidRDefault="00961A37" w:rsidP="00EF02C2">
            <w:pPr>
              <w:spacing w:before="120" w:after="120"/>
              <w:rPr>
                <w:sz w:val="24"/>
              </w:rPr>
            </w:pPr>
          </w:p>
          <w:p w:rsidR="00961A37" w:rsidRPr="00413C5A" w:rsidRDefault="00961A37" w:rsidP="00EF02C2">
            <w:pPr>
              <w:spacing w:before="120" w:after="120"/>
              <w:ind w:left="360" w:hanging="180"/>
              <w:rPr>
                <w:sz w:val="24"/>
              </w:rPr>
            </w:pPr>
          </w:p>
          <w:p w:rsidR="00961A37" w:rsidRPr="00413C5A" w:rsidRDefault="00961A37" w:rsidP="00EF02C2">
            <w:pPr>
              <w:spacing w:before="120" w:after="120"/>
              <w:ind w:left="360" w:hanging="180"/>
              <w:rPr>
                <w:sz w:val="24"/>
              </w:rPr>
            </w:pPr>
          </w:p>
          <w:p w:rsidR="00961A37" w:rsidRPr="00413C5A" w:rsidRDefault="00961A37" w:rsidP="00EF02C2">
            <w:pPr>
              <w:spacing w:before="120" w:after="120"/>
              <w:ind w:left="360" w:hanging="180"/>
              <w:rPr>
                <w:sz w:val="24"/>
              </w:rPr>
            </w:pPr>
          </w:p>
          <w:p w:rsidR="00961A37" w:rsidRPr="00413C5A" w:rsidRDefault="00961A37" w:rsidP="00EF02C2">
            <w:pPr>
              <w:spacing w:before="120" w:after="120"/>
              <w:ind w:left="360" w:hanging="180"/>
              <w:rPr>
                <w:sz w:val="24"/>
              </w:rPr>
            </w:pPr>
          </w:p>
          <w:p w:rsidR="00961A37" w:rsidRPr="00413C5A" w:rsidRDefault="00961A37" w:rsidP="00EF02C2">
            <w:pPr>
              <w:spacing w:before="120" w:after="120"/>
              <w:rPr>
                <w:sz w:val="24"/>
              </w:rPr>
            </w:pPr>
          </w:p>
          <w:p w:rsidR="00961A37" w:rsidRPr="00413C5A" w:rsidRDefault="00961A37" w:rsidP="00EF02C2">
            <w:pPr>
              <w:spacing w:before="120" w:after="120"/>
              <w:ind w:left="360" w:hanging="180"/>
              <w:rPr>
                <w:b/>
                <w:bCs/>
                <w:sz w:val="24"/>
              </w:rPr>
            </w:pPr>
          </w:p>
        </w:tc>
        <w:tc>
          <w:tcPr>
            <w:tcW w:w="6215" w:type="dxa"/>
            <w:shd w:val="clear" w:color="auto" w:fill="FFFFFF"/>
          </w:tcPr>
          <w:p w:rsidR="00961A37" w:rsidRPr="00C91B61" w:rsidRDefault="00961A37" w:rsidP="00EF02C2">
            <w:pPr>
              <w:spacing w:before="120" w:after="120"/>
              <w:rPr>
                <w:b/>
                <w:sz w:val="24"/>
                <w:szCs w:val="24"/>
              </w:rPr>
            </w:pPr>
            <w:r w:rsidRPr="00C91B61">
              <w:rPr>
                <w:b/>
                <w:sz w:val="24"/>
                <w:szCs w:val="24"/>
              </w:rPr>
              <w:t>Kvalifikovaným pro plnění veřejné zakázky je dodavatel, který</w:t>
            </w:r>
          </w:p>
          <w:p w:rsidR="00961A37" w:rsidRPr="00C91B61" w:rsidRDefault="00961A37" w:rsidP="00EF02C2">
            <w:pPr>
              <w:spacing w:before="120" w:after="120"/>
              <w:rPr>
                <w:sz w:val="24"/>
                <w:szCs w:val="24"/>
              </w:rPr>
            </w:pPr>
            <w:r w:rsidRPr="00C91B61">
              <w:rPr>
                <w:sz w:val="24"/>
                <w:szCs w:val="24"/>
              </w:rPr>
              <w:t xml:space="preserve">a) splní základní kvalifikační předpoklady podle § 53 </w:t>
            </w:r>
            <w:r>
              <w:rPr>
                <w:sz w:val="24"/>
                <w:szCs w:val="24"/>
              </w:rPr>
              <w:t>Z</w:t>
            </w:r>
            <w:r w:rsidRPr="00C91B61">
              <w:rPr>
                <w:sz w:val="24"/>
                <w:szCs w:val="24"/>
              </w:rPr>
              <w:t>ákona</w:t>
            </w:r>
            <w:r w:rsidRPr="003E5288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 w:rsidRPr="00C91B61">
              <w:rPr>
                <w:sz w:val="24"/>
                <w:szCs w:val="24"/>
              </w:rPr>
              <w:t>,</w:t>
            </w:r>
          </w:p>
          <w:p w:rsidR="00961A37" w:rsidRPr="00C91B61" w:rsidRDefault="00961A37" w:rsidP="00EF02C2">
            <w:pPr>
              <w:pStyle w:val="Bezmezer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91B61">
              <w:rPr>
                <w:rFonts w:ascii="Times New Roman" w:hAnsi="Times New Roman"/>
                <w:sz w:val="24"/>
                <w:szCs w:val="24"/>
              </w:rPr>
              <w:t xml:space="preserve">b) splní profesní kvalifikační předpoklady podle § 54 písm. a) a b)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C91B61">
              <w:rPr>
                <w:rFonts w:ascii="Times New Roman" w:hAnsi="Times New Roman"/>
                <w:sz w:val="24"/>
                <w:szCs w:val="24"/>
              </w:rPr>
              <w:t>ákona</w:t>
            </w:r>
            <w:r>
              <w:t xml:space="preserve"> </w:t>
            </w:r>
            <w:r w:rsidRPr="003E5288">
              <w:rPr>
                <w:rFonts w:ascii="Times New Roman" w:hAnsi="Times New Roman"/>
                <w:sz w:val="24"/>
                <w:szCs w:val="24"/>
              </w:rPr>
              <w:t>o veřejných zakázkách</w:t>
            </w:r>
            <w:r w:rsidRPr="00C91B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61A37" w:rsidRPr="00C91B61" w:rsidRDefault="00961A37" w:rsidP="00EF02C2">
            <w:pPr>
              <w:pStyle w:val="Bezmezer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91B61">
              <w:rPr>
                <w:rFonts w:ascii="Times New Roman" w:hAnsi="Times New Roman"/>
                <w:sz w:val="24"/>
                <w:szCs w:val="24"/>
              </w:rPr>
              <w:t>c) předloží čestné prohlášení o své ekonomické a finanční způsobilosti splnit veřejnou zakázku,</w:t>
            </w:r>
          </w:p>
          <w:p w:rsidR="00961A37" w:rsidRPr="00C91B61" w:rsidRDefault="00961A37" w:rsidP="00EF02C2">
            <w:pPr>
              <w:pStyle w:val="Bezmezer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C91B61">
              <w:rPr>
                <w:rFonts w:ascii="Times New Roman" w:hAnsi="Times New Roman"/>
                <w:sz w:val="24"/>
                <w:szCs w:val="24"/>
              </w:rPr>
              <w:t xml:space="preserve">d) splní technické kvalifikační předpoklady podle požadavků zadavatele (§ 56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C91B61">
              <w:rPr>
                <w:rFonts w:ascii="Times New Roman" w:hAnsi="Times New Roman"/>
                <w:sz w:val="24"/>
                <w:szCs w:val="24"/>
              </w:rPr>
              <w:t>ákona</w:t>
            </w:r>
            <w:r>
              <w:t xml:space="preserve"> </w:t>
            </w:r>
            <w:r w:rsidRPr="003E5288">
              <w:rPr>
                <w:rFonts w:ascii="Times New Roman" w:hAnsi="Times New Roman"/>
                <w:sz w:val="24"/>
                <w:szCs w:val="24"/>
              </w:rPr>
              <w:t>o veřejných zakázkách</w:t>
            </w:r>
            <w:r w:rsidRPr="00C91B6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61A37" w:rsidRPr="00C91B61" w:rsidRDefault="00961A37" w:rsidP="00EF02C2">
            <w:pPr>
              <w:spacing w:before="120" w:after="120"/>
              <w:rPr>
                <w:b/>
                <w:sz w:val="24"/>
                <w:szCs w:val="24"/>
              </w:rPr>
            </w:pPr>
            <w:r w:rsidRPr="00C91B61">
              <w:rPr>
                <w:b/>
                <w:sz w:val="24"/>
                <w:szCs w:val="24"/>
              </w:rPr>
              <w:t>Dodavatel prokazuje splnění základních kvalifikačních předpokladů předložením:</w:t>
            </w:r>
          </w:p>
          <w:p w:rsidR="00961A37" w:rsidRPr="00C91B61" w:rsidRDefault="00961A37" w:rsidP="00EF02C2">
            <w:pPr>
              <w:spacing w:before="120" w:after="120"/>
              <w:rPr>
                <w:sz w:val="24"/>
                <w:szCs w:val="24"/>
              </w:rPr>
            </w:pPr>
            <w:r w:rsidRPr="00C91B61">
              <w:rPr>
                <w:sz w:val="24"/>
                <w:szCs w:val="24"/>
              </w:rPr>
              <w:t>a) výpisu z</w:t>
            </w:r>
            <w:r>
              <w:rPr>
                <w:sz w:val="24"/>
                <w:szCs w:val="24"/>
              </w:rPr>
              <w:t> </w:t>
            </w:r>
            <w:r w:rsidRPr="00C91B61">
              <w:rPr>
                <w:sz w:val="24"/>
                <w:szCs w:val="24"/>
              </w:rPr>
              <w:t xml:space="preserve">evidence Rejstříku trestů [§ 53 odstavec 1 písm. a) a b) </w:t>
            </w:r>
            <w:r>
              <w:rPr>
                <w:sz w:val="24"/>
                <w:szCs w:val="24"/>
              </w:rPr>
              <w:t>Z</w:t>
            </w:r>
            <w:r w:rsidRPr="00C91B61">
              <w:rPr>
                <w:sz w:val="24"/>
                <w:szCs w:val="24"/>
              </w:rPr>
              <w:t>ákona</w:t>
            </w:r>
            <w:r w:rsidRPr="003E5288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 w:rsidRPr="00C91B61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</w:t>
            </w:r>
          </w:p>
          <w:p w:rsidR="00961A37" w:rsidRPr="00C91B61" w:rsidRDefault="00961A37" w:rsidP="00EF02C2">
            <w:pPr>
              <w:spacing w:before="120" w:after="120"/>
              <w:ind w:left="425" w:hanging="425"/>
              <w:rPr>
                <w:sz w:val="24"/>
                <w:szCs w:val="24"/>
              </w:rPr>
            </w:pPr>
            <w:r w:rsidRPr="00C91B61">
              <w:rPr>
                <w:sz w:val="24"/>
                <w:szCs w:val="24"/>
              </w:rPr>
              <w:t xml:space="preserve">b) potvrzení příslušného orgánu [§ 53 odstavec 1 písm. f), a h) </w:t>
            </w:r>
            <w:r>
              <w:rPr>
                <w:sz w:val="24"/>
                <w:szCs w:val="24"/>
              </w:rPr>
              <w:t>Z</w:t>
            </w:r>
            <w:r w:rsidRPr="00C91B61">
              <w:rPr>
                <w:sz w:val="24"/>
                <w:szCs w:val="24"/>
              </w:rPr>
              <w:t>ákona</w:t>
            </w:r>
            <w:r w:rsidRPr="003E5288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 w:rsidRPr="00C91B61">
              <w:rPr>
                <w:sz w:val="24"/>
                <w:szCs w:val="24"/>
              </w:rPr>
              <w:t>],</w:t>
            </w:r>
          </w:p>
          <w:p w:rsidR="00961A37" w:rsidRPr="00C91B61" w:rsidRDefault="00961A37" w:rsidP="00EF02C2">
            <w:pPr>
              <w:spacing w:before="120" w:after="120"/>
              <w:ind w:left="284" w:hanging="284"/>
              <w:rPr>
                <w:sz w:val="24"/>
                <w:szCs w:val="24"/>
              </w:rPr>
            </w:pPr>
            <w:r w:rsidRPr="00C91B61">
              <w:rPr>
                <w:sz w:val="24"/>
                <w:szCs w:val="24"/>
              </w:rPr>
              <w:t xml:space="preserve">c) čestného prohlášení [§ 53 odstavec 1 písm. c) až e), g) a </w:t>
            </w:r>
            <w:r>
              <w:rPr>
                <w:sz w:val="24"/>
                <w:szCs w:val="24"/>
              </w:rPr>
              <w:t>j</w:t>
            </w:r>
            <w:r w:rsidRPr="00C91B61">
              <w:rPr>
                <w:sz w:val="24"/>
                <w:szCs w:val="24"/>
              </w:rPr>
              <w:t xml:space="preserve">) až k) </w:t>
            </w:r>
            <w:r>
              <w:rPr>
                <w:sz w:val="24"/>
                <w:szCs w:val="24"/>
              </w:rPr>
              <w:t>a ve vztahu ke spotřební dani dle odst. 1 písm. f) Z</w:t>
            </w:r>
            <w:r w:rsidRPr="00C91B61">
              <w:rPr>
                <w:sz w:val="24"/>
                <w:szCs w:val="24"/>
              </w:rPr>
              <w:t>ákona</w:t>
            </w:r>
            <w:r w:rsidRPr="003E5288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 w:rsidRPr="00C91B61">
              <w:rPr>
                <w:sz w:val="24"/>
                <w:szCs w:val="24"/>
              </w:rPr>
              <w:t>].</w:t>
            </w:r>
          </w:p>
          <w:p w:rsidR="00961A37" w:rsidRPr="00C91B61" w:rsidRDefault="00961A37" w:rsidP="00EF02C2">
            <w:pPr>
              <w:spacing w:before="120" w:after="120"/>
              <w:rPr>
                <w:b/>
                <w:sz w:val="24"/>
                <w:szCs w:val="24"/>
              </w:rPr>
            </w:pPr>
            <w:r w:rsidRPr="00C91B61">
              <w:rPr>
                <w:b/>
                <w:sz w:val="24"/>
                <w:szCs w:val="24"/>
              </w:rPr>
              <w:t>Splnění profesních kvalifikačních předpokladů prokáže dodavatel, který předloží</w:t>
            </w:r>
          </w:p>
          <w:p w:rsidR="00961A37" w:rsidRPr="00C91B61" w:rsidRDefault="00961A37" w:rsidP="00EF02C2">
            <w:pPr>
              <w:spacing w:before="120" w:after="120"/>
              <w:rPr>
                <w:sz w:val="24"/>
                <w:szCs w:val="24"/>
              </w:rPr>
            </w:pPr>
            <w:r w:rsidRPr="00C91B61">
              <w:rPr>
                <w:sz w:val="24"/>
                <w:szCs w:val="24"/>
              </w:rPr>
              <w:t>a) výpis z</w:t>
            </w:r>
            <w:r>
              <w:rPr>
                <w:sz w:val="24"/>
                <w:szCs w:val="24"/>
              </w:rPr>
              <w:t> </w:t>
            </w:r>
            <w:r w:rsidRPr="00C91B61">
              <w:rPr>
                <w:sz w:val="24"/>
                <w:szCs w:val="24"/>
              </w:rPr>
              <w:t>obchodního rejstříku, pokud je v</w:t>
            </w:r>
            <w:r>
              <w:rPr>
                <w:sz w:val="24"/>
                <w:szCs w:val="24"/>
              </w:rPr>
              <w:t> </w:t>
            </w:r>
            <w:r w:rsidRPr="00C91B61">
              <w:rPr>
                <w:sz w:val="24"/>
                <w:szCs w:val="24"/>
              </w:rPr>
              <w:t>něm zapsán, či výpis z</w:t>
            </w:r>
            <w:r>
              <w:rPr>
                <w:sz w:val="24"/>
                <w:szCs w:val="24"/>
              </w:rPr>
              <w:t> </w:t>
            </w:r>
            <w:r w:rsidRPr="00C91B61">
              <w:rPr>
                <w:sz w:val="24"/>
                <w:szCs w:val="24"/>
              </w:rPr>
              <w:t>jiné obdobné evidence, pokud je v</w:t>
            </w:r>
            <w:r>
              <w:rPr>
                <w:sz w:val="24"/>
                <w:szCs w:val="24"/>
              </w:rPr>
              <w:t> </w:t>
            </w:r>
            <w:r w:rsidRPr="00C91B61">
              <w:rPr>
                <w:sz w:val="24"/>
                <w:szCs w:val="24"/>
              </w:rPr>
              <w:t>ní zapsán,</w:t>
            </w:r>
          </w:p>
          <w:p w:rsidR="00961A37" w:rsidRPr="00EF02C2" w:rsidRDefault="00961A37" w:rsidP="00EF02C2">
            <w:pPr>
              <w:spacing w:before="120" w:after="120"/>
              <w:rPr>
                <w:b/>
                <w:sz w:val="24"/>
                <w:szCs w:val="24"/>
              </w:rPr>
            </w:pPr>
            <w:r w:rsidRPr="00C91B61">
              <w:rPr>
                <w:sz w:val="24"/>
                <w:szCs w:val="24"/>
              </w:rPr>
              <w:t xml:space="preserve">b) </w:t>
            </w:r>
            <w:r w:rsidRPr="00E72730">
              <w:rPr>
                <w:sz w:val="24"/>
                <w:szCs w:val="24"/>
              </w:rPr>
              <w:t>doklad o oprávnění k podnikání podle zvláštních právních předpisů v rozsahu odpovídajícím předmětu veřejné zakázky, zejména doklad prokazující příslušné živnostenské oprávnění či licenci</w:t>
            </w:r>
            <w:r w:rsidRPr="00C91B61">
              <w:rPr>
                <w:sz w:val="24"/>
                <w:szCs w:val="24"/>
              </w:rPr>
              <w:t>.</w:t>
            </w:r>
          </w:p>
          <w:p w:rsidR="00961A37" w:rsidRPr="00C91B61" w:rsidRDefault="00961A37" w:rsidP="00B03331">
            <w:pPr>
              <w:spacing w:before="120" w:after="120"/>
              <w:rPr>
                <w:b/>
                <w:sz w:val="24"/>
                <w:szCs w:val="24"/>
              </w:rPr>
            </w:pPr>
            <w:r w:rsidRPr="00C91B61">
              <w:rPr>
                <w:b/>
                <w:sz w:val="24"/>
                <w:szCs w:val="24"/>
              </w:rPr>
              <w:t xml:space="preserve">Splnění </w:t>
            </w:r>
            <w:r>
              <w:rPr>
                <w:b/>
                <w:sz w:val="24"/>
                <w:szCs w:val="24"/>
              </w:rPr>
              <w:t>technických</w:t>
            </w:r>
            <w:r w:rsidRPr="00C91B61">
              <w:rPr>
                <w:b/>
                <w:sz w:val="24"/>
                <w:szCs w:val="24"/>
              </w:rPr>
              <w:t xml:space="preserve"> kvalifikačních předpokladů prokáže dodavatel, který předloží</w:t>
            </w:r>
          </w:p>
          <w:p w:rsidR="00961A37" w:rsidRDefault="00961A37" w:rsidP="00700C60">
            <w:pPr>
              <w:spacing w:before="120" w:after="120"/>
              <w:rPr>
                <w:sz w:val="24"/>
                <w:szCs w:val="24"/>
              </w:rPr>
            </w:pPr>
            <w:r w:rsidRPr="00700C60">
              <w:rPr>
                <w:sz w:val="24"/>
                <w:szCs w:val="24"/>
              </w:rPr>
              <w:t>Seznam významných dodávek realizovaných dodavatelem v</w:t>
            </w:r>
            <w:r>
              <w:rPr>
                <w:sz w:val="24"/>
                <w:szCs w:val="24"/>
              </w:rPr>
              <w:t> </w:t>
            </w:r>
            <w:r w:rsidRPr="00700C60">
              <w:rPr>
                <w:sz w:val="24"/>
                <w:szCs w:val="24"/>
              </w:rPr>
              <w:t>posledních 3 letech v</w:t>
            </w:r>
            <w:r>
              <w:rPr>
                <w:sz w:val="24"/>
                <w:szCs w:val="24"/>
              </w:rPr>
              <w:t>e smyslu § 56 odst. 1 písm. a) Z</w:t>
            </w:r>
            <w:r w:rsidRPr="00700C60">
              <w:rPr>
                <w:sz w:val="24"/>
                <w:szCs w:val="24"/>
              </w:rPr>
              <w:t>ákona</w:t>
            </w:r>
            <w:r>
              <w:rPr>
                <w:sz w:val="24"/>
                <w:szCs w:val="24"/>
              </w:rPr>
              <w:t xml:space="preserve"> o veřejných zakázkách</w:t>
            </w:r>
            <w:r w:rsidRPr="00700C60">
              <w:rPr>
                <w:sz w:val="24"/>
                <w:szCs w:val="24"/>
              </w:rPr>
              <w:t xml:space="preserve"> podepsaný osobou oprávněnou za </w:t>
            </w:r>
            <w:r>
              <w:rPr>
                <w:sz w:val="24"/>
                <w:szCs w:val="24"/>
              </w:rPr>
              <w:t>uchazeče</w:t>
            </w:r>
            <w:r w:rsidRPr="00700C60">
              <w:rPr>
                <w:sz w:val="24"/>
                <w:szCs w:val="24"/>
              </w:rPr>
              <w:t xml:space="preserve"> jed</w:t>
            </w:r>
            <w:r>
              <w:rPr>
                <w:sz w:val="24"/>
                <w:szCs w:val="24"/>
              </w:rPr>
              <w:t>nat, z něhož bude vyplývat, že uchazeč</w:t>
            </w:r>
            <w:r w:rsidRPr="00700C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 tomto období </w:t>
            </w:r>
            <w:r w:rsidRPr="00700C60">
              <w:rPr>
                <w:sz w:val="24"/>
                <w:szCs w:val="24"/>
              </w:rPr>
              <w:t xml:space="preserve">realizoval referenční dodávky </w:t>
            </w:r>
            <w:r>
              <w:rPr>
                <w:sz w:val="24"/>
                <w:szCs w:val="24"/>
              </w:rPr>
              <w:t xml:space="preserve">s </w:t>
            </w:r>
            <w:r w:rsidRPr="00700C60">
              <w:rPr>
                <w:sz w:val="24"/>
                <w:szCs w:val="24"/>
              </w:rPr>
              <w:t>obdobn</w:t>
            </w:r>
            <w:r>
              <w:rPr>
                <w:sz w:val="24"/>
                <w:szCs w:val="24"/>
              </w:rPr>
              <w:t>ým</w:t>
            </w:r>
            <w:r w:rsidRPr="00700C60">
              <w:rPr>
                <w:sz w:val="24"/>
                <w:szCs w:val="24"/>
              </w:rPr>
              <w:t xml:space="preserve"> předmět</w:t>
            </w:r>
            <w:r>
              <w:rPr>
                <w:sz w:val="24"/>
                <w:szCs w:val="24"/>
              </w:rPr>
              <w:t>em</w:t>
            </w:r>
            <w:r w:rsidRPr="00700C60">
              <w:rPr>
                <w:sz w:val="24"/>
                <w:szCs w:val="24"/>
              </w:rPr>
              <w:t xml:space="preserve"> plnění</w:t>
            </w:r>
            <w:r>
              <w:rPr>
                <w:sz w:val="24"/>
                <w:szCs w:val="24"/>
              </w:rPr>
              <w:t xml:space="preserve"> v minimálním úhrnném objemu </w:t>
            </w:r>
            <w:r w:rsidRPr="00AC125A">
              <w:rPr>
                <w:sz w:val="24"/>
                <w:szCs w:val="24"/>
              </w:rPr>
              <w:t>3 mil. Kč bez DPH</w:t>
            </w:r>
            <w:r>
              <w:rPr>
                <w:sz w:val="24"/>
                <w:szCs w:val="24"/>
              </w:rPr>
              <w:t>. Za dodávky s obdobným předmětem plnění centrální zadavatel považuje</w:t>
            </w:r>
            <w:r w:rsidRPr="00700C60">
              <w:rPr>
                <w:sz w:val="24"/>
                <w:szCs w:val="24"/>
              </w:rPr>
              <w:t xml:space="preserve"> dodávky xerografického kancelářského papíru. </w:t>
            </w:r>
          </w:p>
          <w:p w:rsidR="00961A37" w:rsidRPr="00700C60" w:rsidRDefault="00961A37" w:rsidP="00700C60">
            <w:pPr>
              <w:spacing w:before="120" w:after="120"/>
              <w:rPr>
                <w:sz w:val="24"/>
                <w:szCs w:val="24"/>
              </w:rPr>
            </w:pPr>
            <w:r w:rsidRPr="00700C60">
              <w:rPr>
                <w:sz w:val="24"/>
                <w:szCs w:val="24"/>
              </w:rPr>
              <w:t xml:space="preserve">Přílohou tohoto seznamu musí být </w:t>
            </w:r>
          </w:p>
          <w:p w:rsidR="00961A37" w:rsidRPr="00700C60" w:rsidRDefault="00961A37" w:rsidP="00700C60">
            <w:pPr>
              <w:spacing w:before="120" w:after="120"/>
              <w:rPr>
                <w:sz w:val="24"/>
                <w:szCs w:val="24"/>
              </w:rPr>
            </w:pPr>
            <w:r w:rsidRPr="00700C60">
              <w:rPr>
                <w:sz w:val="24"/>
                <w:szCs w:val="24"/>
              </w:rPr>
              <w:t xml:space="preserve">1. osvědčení vydané či podepsané veřejným zadavatelem, pokud bylo zboží dodáno veřejnému zadavateli, </w:t>
            </w:r>
            <w:r>
              <w:rPr>
                <w:sz w:val="24"/>
                <w:szCs w:val="24"/>
              </w:rPr>
              <w:t>nebo</w:t>
            </w:r>
          </w:p>
          <w:p w:rsidR="00961A37" w:rsidRPr="00700C60" w:rsidRDefault="00961A37" w:rsidP="00700C60">
            <w:pPr>
              <w:spacing w:before="120" w:after="120"/>
              <w:rPr>
                <w:sz w:val="24"/>
                <w:szCs w:val="24"/>
              </w:rPr>
            </w:pPr>
            <w:r w:rsidRPr="00700C60">
              <w:rPr>
                <w:sz w:val="24"/>
                <w:szCs w:val="24"/>
              </w:rPr>
              <w:t xml:space="preserve">2. osvědčení vydané jinou osobou, pokud bylo zboží dodáno </w:t>
            </w:r>
            <w:r w:rsidRPr="00700C60">
              <w:rPr>
                <w:sz w:val="24"/>
                <w:szCs w:val="24"/>
              </w:rPr>
              <w:lastRenderedPageBreak/>
              <w:t xml:space="preserve">jiné osobě než veřejnému zadavateli, nebo </w:t>
            </w:r>
          </w:p>
          <w:p w:rsidR="00961A37" w:rsidRDefault="00961A37" w:rsidP="00700C60">
            <w:pPr>
              <w:spacing w:before="120" w:after="120"/>
              <w:rPr>
                <w:sz w:val="24"/>
                <w:szCs w:val="24"/>
              </w:rPr>
            </w:pPr>
            <w:r w:rsidRPr="00700C60">
              <w:rPr>
                <w:sz w:val="24"/>
                <w:szCs w:val="24"/>
              </w:rPr>
              <w:t>3. smlouva s jinou osobou a doklad o uskutečnění plnění dodavatele, není-li současně možné osvědčení podle bodu 2 od této osoby získat z důvodů spočívajících na její straně.</w:t>
            </w:r>
          </w:p>
          <w:p w:rsidR="00961A37" w:rsidRDefault="00961A37" w:rsidP="00EF02C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Splnění tohoto kvalifikačního požadavku uchazečem bude akceptováno pro všechny části, ve kterých bude uchazeč podávat nabídku.</w:t>
            </w:r>
          </w:p>
          <w:p w:rsidR="00961A37" w:rsidRPr="00EF02C2" w:rsidRDefault="00961A37" w:rsidP="00EF02C2">
            <w:pPr>
              <w:spacing w:before="120" w:after="120"/>
              <w:rPr>
                <w:sz w:val="24"/>
                <w:szCs w:val="24"/>
              </w:rPr>
            </w:pPr>
            <w:r w:rsidRPr="00EF02C2">
              <w:rPr>
                <w:sz w:val="24"/>
                <w:szCs w:val="24"/>
              </w:rPr>
              <w:t xml:space="preserve">Pokud není dodavatel schopen prokázat splnění určité části kvalifikace požadované </w:t>
            </w:r>
            <w:r>
              <w:rPr>
                <w:sz w:val="24"/>
                <w:szCs w:val="24"/>
              </w:rPr>
              <w:t>centrálním</w:t>
            </w:r>
            <w:r w:rsidRPr="00EF02C2">
              <w:rPr>
                <w:sz w:val="24"/>
                <w:szCs w:val="24"/>
              </w:rPr>
              <w:t xml:space="preserve"> zadavatelem podle § 50 odst. 1 písm. b) a d) </w:t>
            </w:r>
            <w:r>
              <w:rPr>
                <w:sz w:val="24"/>
                <w:szCs w:val="24"/>
              </w:rPr>
              <w:t>Z</w:t>
            </w:r>
            <w:r w:rsidRPr="00EF02C2">
              <w:rPr>
                <w:sz w:val="24"/>
                <w:szCs w:val="24"/>
              </w:rPr>
              <w:t xml:space="preserve">ákona </w:t>
            </w:r>
            <w:r w:rsidRPr="003E528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 w:rsidRPr="00182417">
              <w:rPr>
                <w:sz w:val="24"/>
                <w:szCs w:val="24"/>
              </w:rPr>
              <w:t xml:space="preserve"> </w:t>
            </w:r>
            <w:r w:rsidRPr="00EF02C2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 </w:t>
            </w:r>
            <w:r w:rsidRPr="00EF02C2">
              <w:rPr>
                <w:sz w:val="24"/>
                <w:szCs w:val="24"/>
              </w:rPr>
              <w:t>plném rozsahu, je oprávněn splnění kvalifikace v</w:t>
            </w:r>
            <w:r>
              <w:rPr>
                <w:sz w:val="24"/>
                <w:szCs w:val="24"/>
              </w:rPr>
              <w:t> </w:t>
            </w:r>
            <w:r w:rsidRPr="00EF02C2">
              <w:rPr>
                <w:sz w:val="24"/>
                <w:szCs w:val="24"/>
              </w:rPr>
              <w:t>chybějícím rozsahu prokázat prostřednictvím subdodavatele. Dodavatel je v</w:t>
            </w:r>
            <w:r>
              <w:rPr>
                <w:sz w:val="24"/>
                <w:szCs w:val="24"/>
              </w:rPr>
              <w:t> </w:t>
            </w:r>
            <w:r w:rsidRPr="00EF02C2">
              <w:rPr>
                <w:sz w:val="24"/>
                <w:szCs w:val="24"/>
              </w:rPr>
              <w:t xml:space="preserve">takovém případě povinen </w:t>
            </w:r>
            <w:r>
              <w:rPr>
                <w:sz w:val="24"/>
                <w:szCs w:val="24"/>
              </w:rPr>
              <w:t>centrálnímu</w:t>
            </w:r>
            <w:r w:rsidRPr="00EF02C2">
              <w:rPr>
                <w:sz w:val="24"/>
                <w:szCs w:val="24"/>
              </w:rPr>
              <w:t xml:space="preserve"> zadavateli předložit:</w:t>
            </w:r>
          </w:p>
          <w:p w:rsidR="00961A37" w:rsidRPr="00C91B61" w:rsidRDefault="00961A37" w:rsidP="00EF02C2">
            <w:pPr>
              <w:spacing w:before="120" w:after="120"/>
              <w:ind w:left="355" w:hanging="355"/>
              <w:rPr>
                <w:sz w:val="24"/>
                <w:szCs w:val="24"/>
              </w:rPr>
            </w:pPr>
            <w:r w:rsidRPr="00C91B61">
              <w:rPr>
                <w:sz w:val="24"/>
                <w:szCs w:val="24"/>
              </w:rPr>
              <w:t xml:space="preserve"> a)</w:t>
            </w:r>
            <w:r>
              <w:rPr>
                <w:sz w:val="24"/>
                <w:szCs w:val="24"/>
              </w:rPr>
              <w:t xml:space="preserve"> </w:t>
            </w:r>
            <w:r w:rsidRPr="00C91B61">
              <w:rPr>
                <w:sz w:val="24"/>
                <w:szCs w:val="24"/>
              </w:rPr>
              <w:t xml:space="preserve">doklady prokazující splnění základního kvalifikačního předpokladu podle § 53 odst. 1 písm. j) </w:t>
            </w:r>
            <w:r>
              <w:rPr>
                <w:sz w:val="24"/>
                <w:szCs w:val="24"/>
              </w:rPr>
              <w:t>Z</w:t>
            </w:r>
            <w:r w:rsidRPr="00C91B61">
              <w:rPr>
                <w:sz w:val="24"/>
                <w:szCs w:val="24"/>
              </w:rPr>
              <w:t xml:space="preserve">ákona </w:t>
            </w:r>
            <w:r w:rsidRPr="003E528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 w:rsidRPr="00182417">
              <w:rPr>
                <w:sz w:val="24"/>
                <w:szCs w:val="24"/>
              </w:rPr>
              <w:t xml:space="preserve"> </w:t>
            </w:r>
            <w:r w:rsidRPr="00C91B61">
              <w:rPr>
                <w:sz w:val="24"/>
                <w:szCs w:val="24"/>
              </w:rPr>
              <w:t xml:space="preserve">a profesního kvalifikačního předpokladu podle § 54 písm. a) </w:t>
            </w:r>
            <w:r>
              <w:rPr>
                <w:sz w:val="24"/>
                <w:szCs w:val="24"/>
              </w:rPr>
              <w:t>Z</w:t>
            </w:r>
            <w:r w:rsidRPr="00C91B61">
              <w:rPr>
                <w:sz w:val="24"/>
                <w:szCs w:val="24"/>
              </w:rPr>
              <w:t>ákona subdodavatelem a</w:t>
            </w:r>
          </w:p>
          <w:p w:rsidR="00961A37" w:rsidRPr="00C91B61" w:rsidRDefault="00961A37" w:rsidP="00EF02C2">
            <w:pPr>
              <w:spacing w:before="120" w:after="120"/>
              <w:ind w:left="355" w:hanging="355"/>
              <w:rPr>
                <w:sz w:val="24"/>
                <w:szCs w:val="24"/>
              </w:rPr>
            </w:pPr>
            <w:r w:rsidRPr="00C91B61">
              <w:rPr>
                <w:sz w:val="24"/>
                <w:szCs w:val="24"/>
              </w:rPr>
              <w:t xml:space="preserve"> b) smlouvu uzavřenou se subdodavatelem, z</w:t>
            </w:r>
            <w:r>
              <w:rPr>
                <w:sz w:val="24"/>
                <w:szCs w:val="24"/>
              </w:rPr>
              <w:t> </w:t>
            </w:r>
            <w:r w:rsidRPr="00C91B61">
              <w:rPr>
                <w:sz w:val="24"/>
                <w:szCs w:val="24"/>
              </w:rPr>
              <w:t>níž vyplývá závazek subdodavatele k</w:t>
            </w:r>
            <w:r>
              <w:rPr>
                <w:sz w:val="24"/>
                <w:szCs w:val="24"/>
              </w:rPr>
              <w:t> </w:t>
            </w:r>
            <w:r w:rsidRPr="00C91B61">
              <w:rPr>
                <w:sz w:val="24"/>
                <w:szCs w:val="24"/>
              </w:rPr>
              <w:t>poskytnutí plnění určeného k</w:t>
            </w:r>
            <w:r>
              <w:rPr>
                <w:sz w:val="24"/>
                <w:szCs w:val="24"/>
              </w:rPr>
              <w:t> </w:t>
            </w:r>
            <w:r w:rsidRPr="00C91B61">
              <w:rPr>
                <w:sz w:val="24"/>
                <w:szCs w:val="24"/>
              </w:rPr>
              <w:t>plnění veřejné zakázky dodavatelem či k</w:t>
            </w:r>
            <w:r>
              <w:rPr>
                <w:sz w:val="24"/>
                <w:szCs w:val="24"/>
              </w:rPr>
              <w:t> </w:t>
            </w:r>
            <w:r w:rsidRPr="00C91B61">
              <w:rPr>
                <w:sz w:val="24"/>
                <w:szCs w:val="24"/>
              </w:rPr>
              <w:t>poskytnutí věcí či práv, s</w:t>
            </w:r>
            <w:r>
              <w:rPr>
                <w:sz w:val="24"/>
                <w:szCs w:val="24"/>
              </w:rPr>
              <w:t> </w:t>
            </w:r>
            <w:r w:rsidRPr="00C91B61">
              <w:rPr>
                <w:sz w:val="24"/>
                <w:szCs w:val="24"/>
              </w:rPr>
              <w:t>nimiž bude dodavatel oprávněn disponovat v</w:t>
            </w:r>
            <w:r>
              <w:rPr>
                <w:sz w:val="24"/>
                <w:szCs w:val="24"/>
              </w:rPr>
              <w:t> </w:t>
            </w:r>
            <w:r w:rsidRPr="00C91B61">
              <w:rPr>
                <w:sz w:val="24"/>
                <w:szCs w:val="24"/>
              </w:rPr>
              <w:t>rámci plnění veřejné zakázky, a to alespoň v</w:t>
            </w:r>
            <w:r>
              <w:rPr>
                <w:sz w:val="24"/>
                <w:szCs w:val="24"/>
              </w:rPr>
              <w:t> </w:t>
            </w:r>
            <w:r w:rsidRPr="00C91B61">
              <w:rPr>
                <w:sz w:val="24"/>
                <w:szCs w:val="24"/>
              </w:rPr>
              <w:t>rozsahu, v</w:t>
            </w:r>
            <w:r>
              <w:rPr>
                <w:sz w:val="24"/>
                <w:szCs w:val="24"/>
              </w:rPr>
              <w:t> </w:t>
            </w:r>
            <w:r w:rsidRPr="00C91B61">
              <w:rPr>
                <w:sz w:val="24"/>
                <w:szCs w:val="24"/>
              </w:rPr>
              <w:t xml:space="preserve">jakém subdodavatel prokázal splnění kvalifikace podle § 50 odst. 1 písm. b) až d) </w:t>
            </w:r>
            <w:r>
              <w:rPr>
                <w:sz w:val="24"/>
                <w:szCs w:val="24"/>
              </w:rPr>
              <w:t>Z</w:t>
            </w:r>
            <w:r w:rsidRPr="00C91B61">
              <w:rPr>
                <w:sz w:val="24"/>
                <w:szCs w:val="24"/>
              </w:rPr>
              <w:t>ákona</w:t>
            </w:r>
            <w:r w:rsidRPr="003E5288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 w:rsidRPr="00C91B61">
              <w:rPr>
                <w:sz w:val="24"/>
                <w:szCs w:val="24"/>
              </w:rPr>
              <w:t>.</w:t>
            </w:r>
          </w:p>
          <w:p w:rsidR="00961A37" w:rsidRPr="00C91B61" w:rsidRDefault="00961A37" w:rsidP="00EF02C2">
            <w:pPr>
              <w:spacing w:before="120" w:after="120"/>
              <w:rPr>
                <w:sz w:val="24"/>
                <w:szCs w:val="24"/>
              </w:rPr>
            </w:pPr>
            <w:r w:rsidRPr="00C91B61">
              <w:rPr>
                <w:sz w:val="24"/>
                <w:szCs w:val="24"/>
              </w:rPr>
              <w:t xml:space="preserve">Dodavatel není oprávněn prostřednictvím subdodavatele prokázat splnění kvalifikace podle § 54 písm. a) </w:t>
            </w:r>
            <w:r>
              <w:rPr>
                <w:sz w:val="24"/>
                <w:szCs w:val="24"/>
              </w:rPr>
              <w:t>Z</w:t>
            </w:r>
            <w:r w:rsidRPr="00C91B61">
              <w:rPr>
                <w:sz w:val="24"/>
                <w:szCs w:val="24"/>
              </w:rPr>
              <w:t>ákona</w:t>
            </w:r>
            <w:r w:rsidRPr="003E5288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 w:rsidRPr="00C91B61">
              <w:rPr>
                <w:sz w:val="24"/>
                <w:szCs w:val="24"/>
              </w:rPr>
              <w:t>.</w:t>
            </w:r>
          </w:p>
          <w:p w:rsidR="00961A37" w:rsidRPr="00C91B61" w:rsidRDefault="00961A37" w:rsidP="00EF02C2">
            <w:pPr>
              <w:pStyle w:val="Odstavecseseznamem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C91B61">
              <w:rPr>
                <w:sz w:val="24"/>
                <w:szCs w:val="24"/>
              </w:rPr>
              <w:t xml:space="preserve">Má-li být předmět veřejné zakázky plněn několika dodavateli společně a za tímto účelem podávají či hodlají podat společnou nabídku, postupují dodavatelé podle § 51 odst. 5 a odst. 6 </w:t>
            </w:r>
            <w:r>
              <w:rPr>
                <w:sz w:val="24"/>
                <w:szCs w:val="24"/>
              </w:rPr>
              <w:t>Z</w:t>
            </w:r>
            <w:r w:rsidRPr="00C91B61">
              <w:rPr>
                <w:sz w:val="24"/>
                <w:szCs w:val="24"/>
              </w:rPr>
              <w:t>ákona</w:t>
            </w:r>
            <w:r w:rsidRPr="003E5288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 w:rsidRPr="00C91B61">
              <w:rPr>
                <w:sz w:val="24"/>
                <w:szCs w:val="24"/>
              </w:rPr>
              <w:t xml:space="preserve">. </w:t>
            </w:r>
          </w:p>
          <w:p w:rsidR="00961A37" w:rsidRDefault="00961A37" w:rsidP="00EF02C2">
            <w:pPr>
              <w:pStyle w:val="Odstavecseseznamem"/>
              <w:spacing w:before="120" w:after="120"/>
              <w:ind w:left="0"/>
              <w:contextualSpacing w:val="0"/>
              <w:rPr>
                <w:b/>
                <w:szCs w:val="24"/>
              </w:rPr>
            </w:pPr>
            <w:r w:rsidRPr="00C91B61">
              <w:rPr>
                <w:sz w:val="24"/>
                <w:szCs w:val="24"/>
              </w:rPr>
              <w:t>Nevyplývá-li ze zvláštního právního předpisu jinak, prokazuje zahraniční dodavatel splnění kvalifikace způsobem podle právního řádu platného v</w:t>
            </w:r>
            <w:r>
              <w:rPr>
                <w:sz w:val="24"/>
                <w:szCs w:val="24"/>
              </w:rPr>
              <w:t> </w:t>
            </w:r>
            <w:r w:rsidRPr="00C91B61">
              <w:rPr>
                <w:sz w:val="24"/>
                <w:szCs w:val="24"/>
              </w:rPr>
              <w:t>zemi jeho sídla, místa podnikání, a to v</w:t>
            </w:r>
            <w:r>
              <w:rPr>
                <w:sz w:val="24"/>
                <w:szCs w:val="24"/>
              </w:rPr>
              <w:t> </w:t>
            </w:r>
            <w:r w:rsidRPr="00C91B61">
              <w:rPr>
                <w:sz w:val="24"/>
                <w:szCs w:val="24"/>
              </w:rPr>
              <w:t xml:space="preserve">rozsahu požadovaném </w:t>
            </w:r>
            <w:r>
              <w:rPr>
                <w:sz w:val="24"/>
                <w:szCs w:val="24"/>
              </w:rPr>
              <w:t>Z</w:t>
            </w:r>
            <w:r w:rsidRPr="00C91B61">
              <w:rPr>
                <w:sz w:val="24"/>
                <w:szCs w:val="24"/>
              </w:rPr>
              <w:t xml:space="preserve">ákonem </w:t>
            </w:r>
            <w:r w:rsidRPr="003E528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 w:rsidRPr="00182417">
              <w:rPr>
                <w:sz w:val="24"/>
                <w:szCs w:val="24"/>
              </w:rPr>
              <w:t xml:space="preserve"> </w:t>
            </w:r>
            <w:r w:rsidRPr="00C91B61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centrálním</w:t>
            </w:r>
            <w:r w:rsidRPr="00C91B61">
              <w:rPr>
                <w:sz w:val="24"/>
                <w:szCs w:val="24"/>
              </w:rPr>
              <w:t xml:space="preserve"> zadavatelem (dodavatel postupuje podle § 51 odst. 7 </w:t>
            </w:r>
            <w:r>
              <w:rPr>
                <w:sz w:val="24"/>
                <w:szCs w:val="24"/>
              </w:rPr>
              <w:t>Z</w:t>
            </w:r>
            <w:r w:rsidRPr="00C91B61">
              <w:rPr>
                <w:sz w:val="24"/>
                <w:szCs w:val="24"/>
              </w:rPr>
              <w:t>ákona</w:t>
            </w:r>
            <w:r w:rsidRPr="003E5288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 w:rsidRPr="00C91B61">
              <w:rPr>
                <w:sz w:val="24"/>
                <w:szCs w:val="24"/>
              </w:rPr>
              <w:t>).</w:t>
            </w:r>
            <w:r w:rsidRPr="00413C5A">
              <w:rPr>
                <w:b/>
                <w:szCs w:val="24"/>
              </w:rPr>
              <w:t xml:space="preserve"> </w:t>
            </w:r>
          </w:p>
          <w:p w:rsidR="00961A37" w:rsidRDefault="00961A37" w:rsidP="00E0265D">
            <w:pPr>
              <w:pStyle w:val="Odstavecseseznamem"/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EF02C2">
              <w:rPr>
                <w:b/>
                <w:sz w:val="24"/>
                <w:szCs w:val="24"/>
              </w:rPr>
              <w:t>Pravost a stáří dokladů</w:t>
            </w:r>
          </w:p>
          <w:p w:rsidR="00961A37" w:rsidRPr="00C91B61" w:rsidRDefault="00961A37" w:rsidP="00E0265D">
            <w:pPr>
              <w:pStyle w:val="Odstavecseseznamem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C91B61">
              <w:rPr>
                <w:sz w:val="24"/>
                <w:szCs w:val="24"/>
              </w:rPr>
              <w:t xml:space="preserve">Dodavatel předkládá kopie dokladů prokazujících splnění kvalifikace. </w:t>
            </w:r>
            <w:r>
              <w:rPr>
                <w:sz w:val="24"/>
                <w:szCs w:val="24"/>
              </w:rPr>
              <w:t>Centrální z</w:t>
            </w:r>
            <w:r w:rsidRPr="00C91B61">
              <w:rPr>
                <w:sz w:val="24"/>
                <w:szCs w:val="24"/>
              </w:rPr>
              <w:t xml:space="preserve">adavatel požaduje před uzavřením smlouvy předložit originály nebo </w:t>
            </w:r>
            <w:r>
              <w:rPr>
                <w:sz w:val="24"/>
                <w:szCs w:val="24"/>
              </w:rPr>
              <w:t xml:space="preserve">úředně </w:t>
            </w:r>
            <w:r w:rsidRPr="00C91B61">
              <w:rPr>
                <w:sz w:val="24"/>
                <w:szCs w:val="24"/>
              </w:rPr>
              <w:t xml:space="preserve">ověřené kopie dokladů prokazujících splnění kvalifikace pouze od uchazečů, se kterými má být uzavřena smlouva podle § 82 </w:t>
            </w:r>
            <w:r>
              <w:rPr>
                <w:sz w:val="24"/>
                <w:szCs w:val="24"/>
              </w:rPr>
              <w:t>a § 89 Z</w:t>
            </w:r>
            <w:r w:rsidRPr="00C91B61">
              <w:rPr>
                <w:sz w:val="24"/>
                <w:szCs w:val="24"/>
              </w:rPr>
              <w:t>ákona</w:t>
            </w:r>
            <w:r w:rsidRPr="003E5288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 w:rsidRPr="00C91B61">
              <w:rPr>
                <w:sz w:val="24"/>
                <w:szCs w:val="24"/>
              </w:rPr>
              <w:t xml:space="preserve">. </w:t>
            </w:r>
          </w:p>
          <w:p w:rsidR="00961A37" w:rsidRPr="00E0265D" w:rsidRDefault="00961A37" w:rsidP="00EF02C2">
            <w:pPr>
              <w:pStyle w:val="Odstavecseseznamem"/>
              <w:spacing w:before="120" w:after="120"/>
              <w:ind w:left="0"/>
              <w:contextualSpacing w:val="0"/>
            </w:pPr>
            <w:r w:rsidRPr="00C91B61">
              <w:rPr>
                <w:sz w:val="24"/>
                <w:szCs w:val="24"/>
              </w:rPr>
              <w:t>Doklady prokazující splnění základní</w:t>
            </w:r>
            <w:r>
              <w:rPr>
                <w:sz w:val="24"/>
                <w:szCs w:val="24"/>
              </w:rPr>
              <w:t xml:space="preserve">ch kvalifikačních předpokladů a </w:t>
            </w:r>
            <w:r w:rsidRPr="00C91B61">
              <w:rPr>
                <w:sz w:val="24"/>
                <w:szCs w:val="24"/>
              </w:rPr>
              <w:t>výpis z</w:t>
            </w:r>
            <w:r>
              <w:rPr>
                <w:sz w:val="24"/>
                <w:szCs w:val="24"/>
              </w:rPr>
              <w:t> </w:t>
            </w:r>
            <w:r w:rsidRPr="00C91B61">
              <w:rPr>
                <w:sz w:val="24"/>
                <w:szCs w:val="24"/>
              </w:rPr>
              <w:t>obchodního rejstříku nesmějí být starší 90 dnů ke dni podání nabídky.</w:t>
            </w:r>
          </w:p>
        </w:tc>
      </w:tr>
      <w:tr w:rsidR="00961A37" w:rsidRPr="00413C5A" w:rsidTr="00EF02C2">
        <w:tc>
          <w:tcPr>
            <w:tcW w:w="3494" w:type="dxa"/>
            <w:shd w:val="clear" w:color="auto" w:fill="FFFFFF"/>
          </w:tcPr>
          <w:p w:rsidR="00961A37" w:rsidRPr="00413C5A" w:rsidRDefault="00961A37" w:rsidP="00EF02C2">
            <w:pPr>
              <w:spacing w:before="120"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15. Změna v kvalifikaci</w:t>
            </w:r>
          </w:p>
        </w:tc>
        <w:tc>
          <w:tcPr>
            <w:tcW w:w="6215" w:type="dxa"/>
            <w:shd w:val="clear" w:color="auto" w:fill="FFFFFF"/>
          </w:tcPr>
          <w:p w:rsidR="00961A37" w:rsidRPr="004629F2" w:rsidRDefault="00961A37" w:rsidP="004629F2">
            <w:pPr>
              <w:pStyle w:val="Odstavecseseznamem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4629F2">
              <w:rPr>
                <w:sz w:val="24"/>
                <w:szCs w:val="24"/>
              </w:rPr>
              <w:t>Pokud do doby rozhodnutí o výběru nejvhodnější nabídky přestane uchazeč splňovat</w:t>
            </w:r>
            <w:r>
              <w:rPr>
                <w:sz w:val="24"/>
                <w:szCs w:val="24"/>
              </w:rPr>
              <w:t xml:space="preserve"> </w:t>
            </w:r>
            <w:r w:rsidRPr="004629F2">
              <w:rPr>
                <w:sz w:val="24"/>
                <w:szCs w:val="24"/>
              </w:rPr>
              <w:t xml:space="preserve">kvalifikaci, je uchazeč povinen nejpozději do 7 pracovních dnů tuto skutečnost </w:t>
            </w:r>
            <w:r>
              <w:rPr>
                <w:sz w:val="24"/>
                <w:szCs w:val="24"/>
              </w:rPr>
              <w:t>c</w:t>
            </w:r>
            <w:r w:rsidRPr="004629F2">
              <w:rPr>
                <w:sz w:val="24"/>
                <w:szCs w:val="24"/>
              </w:rPr>
              <w:t>entrálnímu</w:t>
            </w:r>
            <w:r>
              <w:rPr>
                <w:sz w:val="24"/>
                <w:szCs w:val="24"/>
              </w:rPr>
              <w:t xml:space="preserve"> </w:t>
            </w:r>
            <w:r w:rsidRPr="004629F2">
              <w:rPr>
                <w:sz w:val="24"/>
                <w:szCs w:val="24"/>
              </w:rPr>
              <w:t>zadavateli písemně oznámit. Uchazeč je povinen předložit potřebné dokumenty prokazující</w:t>
            </w:r>
            <w:r>
              <w:rPr>
                <w:sz w:val="24"/>
                <w:szCs w:val="24"/>
              </w:rPr>
              <w:t xml:space="preserve"> </w:t>
            </w:r>
            <w:r w:rsidRPr="004629F2">
              <w:rPr>
                <w:sz w:val="24"/>
                <w:szCs w:val="24"/>
              </w:rPr>
              <w:t>splnění kvalifikace v plném rozsahu do 10 pracovních dnů od oznámení této skutečnosti</w:t>
            </w:r>
            <w:r>
              <w:rPr>
                <w:sz w:val="24"/>
                <w:szCs w:val="24"/>
              </w:rPr>
              <w:t xml:space="preserve"> c</w:t>
            </w:r>
            <w:r w:rsidRPr="004629F2">
              <w:rPr>
                <w:sz w:val="24"/>
                <w:szCs w:val="24"/>
              </w:rPr>
              <w:t>entrálnímu zadavateli.</w:t>
            </w:r>
          </w:p>
          <w:p w:rsidR="00961A37" w:rsidRPr="00C91B61" w:rsidRDefault="00961A37" w:rsidP="002579BF">
            <w:pPr>
              <w:pStyle w:val="Odstavecseseznamem"/>
              <w:spacing w:before="120"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4629F2">
              <w:rPr>
                <w:sz w:val="24"/>
                <w:szCs w:val="24"/>
              </w:rPr>
              <w:t>Obdobně se povinnost vztahuje na uchazeče, se kterým je v souladu s</w:t>
            </w:r>
            <w:r>
              <w:rPr>
                <w:sz w:val="24"/>
                <w:szCs w:val="24"/>
              </w:rPr>
              <w:t> </w:t>
            </w:r>
            <w:r w:rsidRPr="004629F2">
              <w:rPr>
                <w:sz w:val="24"/>
                <w:szCs w:val="24"/>
              </w:rPr>
              <w:t>rozhodnutím</w:t>
            </w:r>
            <w:r>
              <w:rPr>
                <w:sz w:val="24"/>
                <w:szCs w:val="24"/>
              </w:rPr>
              <w:t xml:space="preserve"> c</w:t>
            </w:r>
            <w:r w:rsidRPr="004629F2">
              <w:rPr>
                <w:sz w:val="24"/>
                <w:szCs w:val="24"/>
              </w:rPr>
              <w:t>entrálního zadavatele podle § 81</w:t>
            </w:r>
            <w:r>
              <w:rPr>
                <w:sz w:val="24"/>
                <w:szCs w:val="24"/>
              </w:rPr>
              <w:t xml:space="preserve"> Zákona</w:t>
            </w:r>
            <w:r w:rsidRPr="004629F2">
              <w:rPr>
                <w:sz w:val="24"/>
                <w:szCs w:val="24"/>
              </w:rPr>
              <w:t xml:space="preserve"> </w:t>
            </w:r>
            <w:r w:rsidRPr="003E528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 w:rsidRPr="00182417">
              <w:rPr>
                <w:sz w:val="24"/>
                <w:szCs w:val="24"/>
              </w:rPr>
              <w:t xml:space="preserve"> </w:t>
            </w:r>
            <w:r w:rsidRPr="004629F2">
              <w:rPr>
                <w:sz w:val="24"/>
                <w:szCs w:val="24"/>
              </w:rPr>
              <w:t>možné uzavřít smlouvu, a to až do doby uzavření</w:t>
            </w:r>
            <w:r>
              <w:rPr>
                <w:sz w:val="24"/>
                <w:szCs w:val="24"/>
              </w:rPr>
              <w:t xml:space="preserve"> </w:t>
            </w:r>
            <w:r w:rsidRPr="004629F2">
              <w:rPr>
                <w:sz w:val="24"/>
                <w:szCs w:val="24"/>
              </w:rPr>
              <w:t>smlouvy. V</w:t>
            </w:r>
            <w:r>
              <w:rPr>
                <w:sz w:val="24"/>
                <w:szCs w:val="24"/>
              </w:rPr>
              <w:t> </w:t>
            </w:r>
            <w:r w:rsidRPr="004629F2">
              <w:rPr>
                <w:sz w:val="24"/>
                <w:szCs w:val="24"/>
              </w:rPr>
              <w:t xml:space="preserve">takovém případě musí uchazeč, s nímž </w:t>
            </w:r>
            <w:r>
              <w:rPr>
                <w:sz w:val="24"/>
                <w:szCs w:val="24"/>
              </w:rPr>
              <w:t>c</w:t>
            </w:r>
            <w:r w:rsidRPr="004629F2">
              <w:rPr>
                <w:sz w:val="24"/>
                <w:szCs w:val="24"/>
              </w:rPr>
              <w:t>entrální zadavatel uzavírá smlouvu,</w:t>
            </w:r>
            <w:r>
              <w:rPr>
                <w:sz w:val="24"/>
                <w:szCs w:val="24"/>
              </w:rPr>
              <w:t xml:space="preserve"> </w:t>
            </w:r>
            <w:r w:rsidRPr="004629F2">
              <w:rPr>
                <w:sz w:val="24"/>
                <w:szCs w:val="24"/>
              </w:rPr>
              <w:t>předložit potřebné dokumenty prokazující splnění kvalifikace v plném rozsahu nejpozději při</w:t>
            </w:r>
            <w:r>
              <w:rPr>
                <w:sz w:val="24"/>
                <w:szCs w:val="24"/>
              </w:rPr>
              <w:t xml:space="preserve"> </w:t>
            </w:r>
            <w:r w:rsidRPr="004629F2">
              <w:rPr>
                <w:sz w:val="24"/>
                <w:szCs w:val="24"/>
              </w:rPr>
              <w:t>uzavření smlouvy.</w:t>
            </w:r>
          </w:p>
        </w:tc>
      </w:tr>
      <w:tr w:rsidR="00961A37" w:rsidRPr="00413C5A" w:rsidTr="00EF02C2">
        <w:tc>
          <w:tcPr>
            <w:tcW w:w="3494" w:type="dxa"/>
            <w:shd w:val="clear" w:color="auto" w:fill="FFFFFF"/>
          </w:tcPr>
          <w:p w:rsidR="00961A37" w:rsidRPr="006A4F26" w:rsidRDefault="00961A37" w:rsidP="00EF02C2">
            <w:pPr>
              <w:pStyle w:val="Zkladntext3"/>
              <w:spacing w:before="120" w:after="120"/>
              <w:ind w:left="360" w:hanging="360"/>
              <w:rPr>
                <w:bCs/>
                <w:szCs w:val="24"/>
                <w:u w:val="none"/>
              </w:rPr>
            </w:pPr>
            <w:r w:rsidRPr="006A4F26">
              <w:rPr>
                <w:bCs/>
                <w:szCs w:val="24"/>
                <w:u w:val="none"/>
              </w:rPr>
              <w:t>16. Jiné požadavky na plnění veřejné zakázky:</w:t>
            </w:r>
          </w:p>
          <w:p w:rsidR="00961A37" w:rsidRPr="006A4F26" w:rsidRDefault="00961A37" w:rsidP="00EF02C2">
            <w:pPr>
              <w:pStyle w:val="Zkladntext3"/>
              <w:spacing w:before="120" w:after="120"/>
              <w:ind w:left="360" w:hanging="360"/>
              <w:rPr>
                <w:bCs/>
                <w:szCs w:val="24"/>
                <w:u w:val="none"/>
              </w:rPr>
            </w:pPr>
          </w:p>
        </w:tc>
        <w:tc>
          <w:tcPr>
            <w:tcW w:w="6215" w:type="dxa"/>
            <w:shd w:val="clear" w:color="auto" w:fill="FFFFFF"/>
          </w:tcPr>
          <w:p w:rsidR="00961A37" w:rsidRDefault="00961A37" w:rsidP="00727882">
            <w:pPr>
              <w:spacing w:before="120" w:after="120"/>
              <w:rPr>
                <w:sz w:val="24"/>
                <w:szCs w:val="24"/>
              </w:rPr>
            </w:pPr>
            <w:r w:rsidRPr="004629F2">
              <w:rPr>
                <w:sz w:val="24"/>
                <w:szCs w:val="24"/>
              </w:rPr>
              <w:t xml:space="preserve">Dodavatel </w:t>
            </w:r>
            <w:r>
              <w:rPr>
                <w:sz w:val="24"/>
                <w:szCs w:val="24"/>
              </w:rPr>
              <w:t>bude</w:t>
            </w:r>
            <w:r w:rsidRPr="004629F2">
              <w:rPr>
                <w:sz w:val="24"/>
                <w:szCs w:val="24"/>
              </w:rPr>
              <w:t xml:space="preserve"> povinen dod</w:t>
            </w:r>
            <w:r>
              <w:rPr>
                <w:sz w:val="24"/>
                <w:szCs w:val="24"/>
              </w:rPr>
              <w:t>ávat</w:t>
            </w:r>
            <w:r w:rsidRPr="004629F2">
              <w:rPr>
                <w:sz w:val="24"/>
                <w:szCs w:val="24"/>
              </w:rPr>
              <w:t xml:space="preserve"> objednané množství papíru </w:t>
            </w:r>
            <w:r>
              <w:rPr>
                <w:sz w:val="24"/>
                <w:szCs w:val="24"/>
              </w:rPr>
              <w:t xml:space="preserve">v odpovídajícím formátu a kvalitě </w:t>
            </w:r>
            <w:r w:rsidRPr="004629F2">
              <w:rPr>
                <w:sz w:val="24"/>
                <w:szCs w:val="24"/>
              </w:rPr>
              <w:t>na příslušn</w:t>
            </w:r>
            <w:r>
              <w:rPr>
                <w:sz w:val="24"/>
                <w:szCs w:val="24"/>
              </w:rPr>
              <w:t>é</w:t>
            </w:r>
            <w:r w:rsidRPr="004629F2">
              <w:rPr>
                <w:sz w:val="24"/>
                <w:szCs w:val="24"/>
              </w:rPr>
              <w:t xml:space="preserve"> adres</w:t>
            </w:r>
            <w:r>
              <w:rPr>
                <w:sz w:val="24"/>
                <w:szCs w:val="24"/>
              </w:rPr>
              <w:t>y, jejichž seznam v členění podle jednotlivých částí veřejné zakázky a Zadavatelů je uveden</w:t>
            </w:r>
            <w:r w:rsidRPr="00C91B61">
              <w:rPr>
                <w:sz w:val="24"/>
                <w:szCs w:val="24"/>
              </w:rPr>
              <w:t xml:space="preserve"> v </w:t>
            </w:r>
            <w:r w:rsidRPr="00C91B61">
              <w:rPr>
                <w:sz w:val="24"/>
                <w:szCs w:val="24"/>
                <w:u w:val="single"/>
              </w:rPr>
              <w:t xml:space="preserve">příloze č. </w:t>
            </w:r>
            <w:r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 xml:space="preserve">, a to na základě </w:t>
            </w:r>
            <w:r w:rsidRPr="004629F2">
              <w:rPr>
                <w:sz w:val="24"/>
                <w:szCs w:val="24"/>
              </w:rPr>
              <w:t xml:space="preserve">písemné výzvy </w:t>
            </w:r>
            <w:r>
              <w:rPr>
                <w:sz w:val="24"/>
                <w:szCs w:val="24"/>
              </w:rPr>
              <w:t>k předložení návrhu na uzavření kupní smlouvy</w:t>
            </w:r>
            <w:r w:rsidRPr="004629F2">
              <w:rPr>
                <w:sz w:val="24"/>
                <w:szCs w:val="24"/>
              </w:rPr>
              <w:t xml:space="preserve"> a písemného potvrzení této výzvy dodavatelem. </w:t>
            </w:r>
            <w:r>
              <w:rPr>
                <w:sz w:val="24"/>
                <w:szCs w:val="24"/>
              </w:rPr>
              <w:t>Výzva a n</w:t>
            </w:r>
            <w:r w:rsidRPr="00FD3FDA">
              <w:rPr>
                <w:sz w:val="24"/>
                <w:szCs w:val="24"/>
              </w:rPr>
              <w:t>ávrh na uzavření kupní smlouvy musí být podepsány uznávaným elektronickým podpisem dle § 2 písm. b) zákona č. 227/2000 Sb., o elektronickém podpisu.</w:t>
            </w:r>
          </w:p>
          <w:p w:rsidR="00961A37" w:rsidRPr="004629F2" w:rsidRDefault="00961A37" w:rsidP="00727882">
            <w:pPr>
              <w:spacing w:before="120" w:after="120"/>
              <w:rPr>
                <w:sz w:val="24"/>
                <w:szCs w:val="24"/>
              </w:rPr>
            </w:pPr>
            <w:r w:rsidRPr="004629F2">
              <w:rPr>
                <w:sz w:val="24"/>
                <w:szCs w:val="24"/>
              </w:rPr>
              <w:t>Korespondence bude probíhat formou e-mailů (výzva</w:t>
            </w:r>
            <w:r>
              <w:rPr>
                <w:sz w:val="24"/>
                <w:szCs w:val="24"/>
              </w:rPr>
              <w:t>,</w:t>
            </w:r>
            <w:r w:rsidRPr="004629F2">
              <w:rPr>
                <w:sz w:val="24"/>
                <w:szCs w:val="24"/>
              </w:rPr>
              <w:t xml:space="preserve"> písemné potvrzení</w:t>
            </w:r>
            <w:r>
              <w:rPr>
                <w:sz w:val="24"/>
                <w:szCs w:val="24"/>
              </w:rPr>
              <w:t xml:space="preserve"> výzvy dodavatelem, návrh na uzavření kupní smlouvy i </w:t>
            </w:r>
            <w:r w:rsidRPr="00182417">
              <w:rPr>
                <w:sz w:val="24"/>
                <w:szCs w:val="24"/>
              </w:rPr>
              <w:t xml:space="preserve">písemné oznámení o uzavření kupní smlouvy </w:t>
            </w:r>
            <w:r>
              <w:rPr>
                <w:sz w:val="24"/>
                <w:szCs w:val="24"/>
              </w:rPr>
              <w:t>Zadavatelem</w:t>
            </w:r>
            <w:r w:rsidRPr="004629F2">
              <w:rPr>
                <w:sz w:val="24"/>
                <w:szCs w:val="24"/>
              </w:rPr>
              <w:t xml:space="preserve">) </w:t>
            </w:r>
            <w:r w:rsidRPr="00D70F87">
              <w:rPr>
                <w:sz w:val="24"/>
                <w:szCs w:val="24"/>
              </w:rPr>
              <w:t xml:space="preserve">mezi kontaktní osobou </w:t>
            </w:r>
            <w:r>
              <w:rPr>
                <w:sz w:val="24"/>
                <w:szCs w:val="24"/>
              </w:rPr>
              <w:t>o</w:t>
            </w:r>
            <w:r w:rsidRPr="00D70F87">
              <w:rPr>
                <w:sz w:val="24"/>
                <w:szCs w:val="24"/>
              </w:rPr>
              <w:t xml:space="preserve">dběratele uvedenou ve </w:t>
            </w:r>
            <w:r>
              <w:rPr>
                <w:sz w:val="24"/>
                <w:szCs w:val="24"/>
              </w:rPr>
              <w:t>v</w:t>
            </w:r>
            <w:r w:rsidRPr="00D70F87">
              <w:rPr>
                <w:sz w:val="24"/>
                <w:szCs w:val="24"/>
              </w:rPr>
              <w:t xml:space="preserve">ýzvě k předložení návrhu na uzavření kupní smlouvy a kontaktní osobou dodavatele dle </w:t>
            </w:r>
            <w:r>
              <w:rPr>
                <w:sz w:val="24"/>
                <w:szCs w:val="24"/>
              </w:rPr>
              <w:t>R</w:t>
            </w:r>
            <w:r w:rsidRPr="00D70F87">
              <w:rPr>
                <w:sz w:val="24"/>
                <w:szCs w:val="24"/>
              </w:rPr>
              <w:t>ámcové smlouvy</w:t>
            </w:r>
            <w:r w:rsidRPr="004629F2">
              <w:rPr>
                <w:sz w:val="24"/>
                <w:szCs w:val="24"/>
              </w:rPr>
              <w:t xml:space="preserve">. </w:t>
            </w:r>
          </w:p>
          <w:p w:rsidR="00961A37" w:rsidRDefault="00961A37" w:rsidP="00727882">
            <w:pPr>
              <w:spacing w:before="120" w:after="120"/>
              <w:rPr>
                <w:sz w:val="24"/>
                <w:szCs w:val="24"/>
              </w:rPr>
            </w:pPr>
            <w:r w:rsidRPr="004629F2">
              <w:rPr>
                <w:sz w:val="24"/>
                <w:szCs w:val="24"/>
              </w:rPr>
              <w:t xml:space="preserve">Výzvy bude dodavatel přijímat kdykoliv během </w:t>
            </w:r>
            <w:r>
              <w:rPr>
                <w:sz w:val="24"/>
                <w:szCs w:val="24"/>
              </w:rPr>
              <w:t>doby účinnosti Rámcové smlouvy</w:t>
            </w:r>
            <w:r w:rsidRPr="004629F2">
              <w:rPr>
                <w:sz w:val="24"/>
                <w:szCs w:val="24"/>
              </w:rPr>
              <w:t>.</w:t>
            </w:r>
          </w:p>
          <w:p w:rsidR="00961A37" w:rsidRDefault="00961A37" w:rsidP="00EF02C2">
            <w:pPr>
              <w:spacing w:before="120" w:after="120"/>
              <w:rPr>
                <w:sz w:val="24"/>
                <w:szCs w:val="24"/>
              </w:rPr>
            </w:pPr>
            <w:r w:rsidRPr="004218F0">
              <w:rPr>
                <w:sz w:val="24"/>
                <w:szCs w:val="24"/>
              </w:rPr>
              <w:t xml:space="preserve">Pokud není v </w:t>
            </w:r>
            <w:r w:rsidRPr="004218F0">
              <w:rPr>
                <w:sz w:val="24"/>
                <w:szCs w:val="24"/>
                <w:u w:val="single"/>
              </w:rPr>
              <w:t xml:space="preserve">příloze č. 2 </w:t>
            </w:r>
            <w:r w:rsidRPr="004218F0">
              <w:rPr>
                <w:sz w:val="24"/>
                <w:szCs w:val="24"/>
              </w:rPr>
              <w:t>stanoveno jinak,</w:t>
            </w:r>
            <w:r>
              <w:rPr>
                <w:sz w:val="24"/>
                <w:szCs w:val="24"/>
              </w:rPr>
              <w:t xml:space="preserve"> požaduje centrální zadavatel dodávat kancelářský papír v kartonech 5x500 listů. </w:t>
            </w:r>
            <w:r w:rsidRPr="002579BF">
              <w:rPr>
                <w:sz w:val="24"/>
                <w:szCs w:val="24"/>
              </w:rPr>
              <w:t>Balík kancelářského papíru po 500 listech, jakož i kartony musí obsahovat název papíru a výrobce papíru.</w:t>
            </w:r>
            <w:r>
              <w:rPr>
                <w:sz w:val="24"/>
                <w:szCs w:val="24"/>
              </w:rPr>
              <w:t xml:space="preserve"> M</w:t>
            </w:r>
            <w:r w:rsidRPr="00800833">
              <w:rPr>
                <w:sz w:val="24"/>
                <w:szCs w:val="24"/>
              </w:rPr>
              <w:t xml:space="preserve">ístem dodání je pracoviště příslušného </w:t>
            </w:r>
            <w:r>
              <w:rPr>
                <w:sz w:val="24"/>
                <w:szCs w:val="24"/>
              </w:rPr>
              <w:t>Zadavatele</w:t>
            </w:r>
            <w:r w:rsidRPr="00800833">
              <w:rPr>
                <w:sz w:val="24"/>
                <w:szCs w:val="24"/>
              </w:rPr>
              <w:t xml:space="preserve"> uvedené v kupní smlouvě s</w:t>
            </w:r>
            <w:r>
              <w:rPr>
                <w:sz w:val="24"/>
                <w:szCs w:val="24"/>
              </w:rPr>
              <w:t>e</w:t>
            </w:r>
            <w:r w:rsidRPr="00800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Zadavatelem</w:t>
            </w:r>
            <w:r w:rsidRPr="008008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61A37" w:rsidRPr="00C91B61" w:rsidRDefault="00961A37" w:rsidP="00716993">
            <w:pPr>
              <w:spacing w:before="120" w:after="12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plnění pro jednotlivé dodávky na základě uzavřených kupních smluv je do 2 pracovních dnů</w:t>
            </w:r>
            <w:r w:rsidRPr="004218F0">
              <w:rPr>
                <w:sz w:val="24"/>
                <w:szCs w:val="24"/>
              </w:rPr>
              <w:t xml:space="preserve"> </w:t>
            </w:r>
            <w:r w:rsidRPr="002579BF">
              <w:rPr>
                <w:sz w:val="24"/>
                <w:szCs w:val="24"/>
              </w:rPr>
              <w:t xml:space="preserve">ode dne odeslání oznámení o uzavření </w:t>
            </w:r>
            <w:r>
              <w:rPr>
                <w:sz w:val="24"/>
                <w:szCs w:val="24"/>
              </w:rPr>
              <w:t>k</w:t>
            </w:r>
            <w:r w:rsidRPr="002579BF">
              <w:rPr>
                <w:sz w:val="24"/>
                <w:szCs w:val="24"/>
              </w:rPr>
              <w:t xml:space="preserve">upní smlouvy </w:t>
            </w:r>
            <w:r>
              <w:rPr>
                <w:sz w:val="24"/>
                <w:szCs w:val="24"/>
              </w:rPr>
              <w:t>Zadavatelem</w:t>
            </w:r>
            <w:r w:rsidRPr="004218F0">
              <w:rPr>
                <w:sz w:val="24"/>
                <w:szCs w:val="24"/>
              </w:rPr>
              <w:t xml:space="preserve">. </w:t>
            </w:r>
          </w:p>
        </w:tc>
      </w:tr>
      <w:tr w:rsidR="00961A37" w:rsidRPr="00413C5A" w:rsidTr="00EF02C2">
        <w:tc>
          <w:tcPr>
            <w:tcW w:w="3494" w:type="dxa"/>
            <w:shd w:val="clear" w:color="auto" w:fill="FFFFFF"/>
          </w:tcPr>
          <w:p w:rsidR="00961A37" w:rsidRPr="00413C5A" w:rsidRDefault="00961A37" w:rsidP="009822B4">
            <w:pPr>
              <w:spacing w:before="120" w:after="120"/>
              <w:rPr>
                <w:b/>
                <w:bCs/>
                <w:sz w:val="24"/>
              </w:rPr>
            </w:pPr>
            <w:r w:rsidRPr="00413C5A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7</w:t>
            </w:r>
            <w:r w:rsidRPr="00413C5A">
              <w:rPr>
                <w:b/>
                <w:bCs/>
                <w:sz w:val="24"/>
              </w:rPr>
              <w:t>. </w:t>
            </w:r>
            <w:r>
              <w:rPr>
                <w:b/>
                <w:bCs/>
                <w:sz w:val="24"/>
              </w:rPr>
              <w:t>Způsob hodnocení nabídek</w:t>
            </w:r>
            <w:r w:rsidRPr="00413C5A">
              <w:rPr>
                <w:b/>
                <w:bCs/>
                <w:sz w:val="24"/>
              </w:rPr>
              <w:t>:</w:t>
            </w:r>
          </w:p>
        </w:tc>
        <w:tc>
          <w:tcPr>
            <w:tcW w:w="6215" w:type="dxa"/>
            <w:shd w:val="clear" w:color="auto" w:fill="FFFFFF"/>
          </w:tcPr>
          <w:p w:rsidR="00961A37" w:rsidRDefault="00961A37" w:rsidP="00EF02C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souladu s ustanovením § 78 odst. 1 písm. b) Zákona </w:t>
            </w:r>
            <w:r w:rsidRPr="003E528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 w:rsidRPr="00182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je </w:t>
            </w:r>
            <w:r>
              <w:rPr>
                <w:b/>
                <w:sz w:val="24"/>
                <w:szCs w:val="24"/>
              </w:rPr>
              <w:t>základním</w:t>
            </w:r>
            <w:r w:rsidRPr="004629F2">
              <w:rPr>
                <w:b/>
                <w:sz w:val="24"/>
                <w:szCs w:val="24"/>
              </w:rPr>
              <w:t xml:space="preserve"> hodnotícím kritériem nejnižší nabídková cena v Kč bez DPH za celkový předpokládaný objem plnění</w:t>
            </w:r>
            <w:r>
              <w:rPr>
                <w:b/>
                <w:sz w:val="24"/>
                <w:szCs w:val="24"/>
              </w:rPr>
              <w:t xml:space="preserve"> dané části veřejné zakázky</w:t>
            </w:r>
            <w:r>
              <w:rPr>
                <w:sz w:val="24"/>
                <w:szCs w:val="24"/>
              </w:rPr>
              <w:t xml:space="preserve"> </w:t>
            </w:r>
            <w:r w:rsidRPr="005A0EA0">
              <w:rPr>
                <w:sz w:val="24"/>
                <w:szCs w:val="24"/>
              </w:rPr>
              <w:t> zpracovan</w:t>
            </w:r>
            <w:r>
              <w:rPr>
                <w:sz w:val="24"/>
                <w:szCs w:val="24"/>
              </w:rPr>
              <w:t>á</w:t>
            </w:r>
            <w:r w:rsidRPr="005A0EA0">
              <w:rPr>
                <w:sz w:val="24"/>
                <w:szCs w:val="24"/>
              </w:rPr>
              <w:t xml:space="preserve"> dle</w:t>
            </w:r>
            <w:r>
              <w:rPr>
                <w:sz w:val="24"/>
                <w:szCs w:val="24"/>
              </w:rPr>
              <w:t xml:space="preserve"> </w:t>
            </w:r>
            <w:r w:rsidRPr="002C7A3F">
              <w:rPr>
                <w:sz w:val="24"/>
                <w:szCs w:val="24"/>
                <w:u w:val="single"/>
              </w:rPr>
              <w:t xml:space="preserve">přílohy </w:t>
            </w:r>
            <w:r w:rsidRPr="00EF02C2">
              <w:rPr>
                <w:sz w:val="24"/>
                <w:szCs w:val="24"/>
                <w:u w:val="single"/>
              </w:rPr>
              <w:t xml:space="preserve">č. </w:t>
            </w:r>
            <w:r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</w:p>
          <w:p w:rsidR="00961A37" w:rsidRDefault="00961A37" w:rsidP="00EF02C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vyloučení případných pochybností uvádíme, že </w:t>
            </w:r>
            <w:r w:rsidRPr="0026307B">
              <w:rPr>
                <w:sz w:val="24"/>
                <w:szCs w:val="24"/>
              </w:rPr>
              <w:t xml:space="preserve">předpokládaný </w:t>
            </w:r>
            <w:r>
              <w:rPr>
                <w:sz w:val="24"/>
                <w:szCs w:val="24"/>
              </w:rPr>
              <w:t>objem plnění uvedený v </w:t>
            </w:r>
            <w:r w:rsidRPr="002C7A3F">
              <w:rPr>
                <w:sz w:val="24"/>
                <w:szCs w:val="24"/>
                <w:u w:val="single"/>
              </w:rPr>
              <w:t>příloze č. 4</w:t>
            </w:r>
            <w:r>
              <w:rPr>
                <w:sz w:val="24"/>
                <w:szCs w:val="24"/>
              </w:rPr>
              <w:t xml:space="preserve"> (celkový předpokládaný objem bez ohledu na členění dle NUTS2) a </w:t>
            </w:r>
            <w:r>
              <w:rPr>
                <w:sz w:val="24"/>
                <w:szCs w:val="24"/>
              </w:rPr>
              <w:lastRenderedPageBreak/>
              <w:t>v </w:t>
            </w:r>
            <w:r w:rsidRPr="0047572E">
              <w:rPr>
                <w:sz w:val="24"/>
                <w:szCs w:val="24"/>
                <w:u w:val="single"/>
              </w:rPr>
              <w:t>příloze č. 5</w:t>
            </w:r>
            <w:r w:rsidRPr="007902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(předpokládaný objem v jednotlivých částech veřejné zakázky) </w:t>
            </w:r>
            <w:r w:rsidRPr="0026307B">
              <w:rPr>
                <w:sz w:val="24"/>
                <w:szCs w:val="24"/>
              </w:rPr>
              <w:t>slouží pouze pro účely hodnocení</w:t>
            </w:r>
            <w:r>
              <w:rPr>
                <w:sz w:val="24"/>
                <w:szCs w:val="24"/>
              </w:rPr>
              <w:t>.</w:t>
            </w:r>
          </w:p>
          <w:p w:rsidR="00961A37" w:rsidRDefault="00961A37" w:rsidP="00EF02C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 prostředek pro hodnocení nabídek využije centrální zadavatel </w:t>
            </w:r>
            <w:r w:rsidRPr="00A914E2">
              <w:rPr>
                <w:b/>
                <w:sz w:val="24"/>
                <w:szCs w:val="24"/>
              </w:rPr>
              <w:t>elektronickou aukci</w:t>
            </w:r>
            <w:r>
              <w:rPr>
                <w:sz w:val="24"/>
                <w:szCs w:val="24"/>
              </w:rPr>
              <w:t xml:space="preserve"> (§ 96 Zákona</w:t>
            </w:r>
            <w:r w:rsidRPr="003E5288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>
              <w:rPr>
                <w:sz w:val="24"/>
                <w:szCs w:val="24"/>
              </w:rPr>
              <w:t xml:space="preserve">). </w:t>
            </w:r>
          </w:p>
          <w:p w:rsidR="00961A37" w:rsidRDefault="00961A37" w:rsidP="00EF02C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Předložené nabídky budou tedy ve smyslu ustanovení § 76 a § 97 Zákona </w:t>
            </w:r>
            <w:r w:rsidRPr="003E528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 w:rsidRPr="00182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posouzeny z hlediska splnění zákonných požadavků a požadavků centrálního zadavatele stanovených zadávací dokumentací v rámci tzv. „předběžného hodnocení“. Nabídky, které tyto požadavky nesplní, budou centrálním zadavatelem vyřazeny.</w:t>
            </w:r>
          </w:p>
          <w:p w:rsidR="00961A37" w:rsidRDefault="00961A37" w:rsidP="00203DE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Uchazeči, jejichž nabídky nebudou v rámci předběžného hodnocení vyřazeny, budou vyzváni k účasti v elektronické aukci. Podmínky a postup při elektronické aukci je uveden v </w:t>
            </w:r>
            <w:r w:rsidRPr="00EF02C2">
              <w:rPr>
                <w:sz w:val="24"/>
                <w:szCs w:val="24"/>
                <w:u w:val="single"/>
              </w:rPr>
              <w:t>příloze č. 8</w:t>
            </w:r>
            <w:r>
              <w:rPr>
                <w:sz w:val="24"/>
                <w:szCs w:val="24"/>
              </w:rPr>
              <w:t>.</w:t>
            </w:r>
          </w:p>
          <w:p w:rsidR="00961A37" w:rsidRPr="00C91B61" w:rsidRDefault="00961A37" w:rsidP="00EF02C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ukončení elektronické aukce hodnotící komise sestaví pro každou část veřejné zakázky pořadí uchazečů podle výše nabídkové ceny v souladu s ustanovením § 79 odst. 4 Zákona </w:t>
            </w:r>
            <w:r w:rsidRPr="003E528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>
              <w:rPr>
                <w:sz w:val="24"/>
                <w:szCs w:val="24"/>
              </w:rPr>
              <w:t>.</w:t>
            </w:r>
          </w:p>
        </w:tc>
      </w:tr>
      <w:tr w:rsidR="00961A37" w:rsidRPr="00413C5A" w:rsidTr="00EF02C2">
        <w:tc>
          <w:tcPr>
            <w:tcW w:w="3494" w:type="dxa"/>
            <w:shd w:val="clear" w:color="auto" w:fill="FFFFFF"/>
          </w:tcPr>
          <w:p w:rsidR="00961A37" w:rsidRPr="00413C5A" w:rsidRDefault="00961A37" w:rsidP="009D5D91">
            <w:pPr>
              <w:spacing w:before="120" w:after="120"/>
              <w:rPr>
                <w:b/>
                <w:bCs/>
                <w:sz w:val="24"/>
              </w:rPr>
            </w:pPr>
            <w:r w:rsidRPr="00413C5A">
              <w:rPr>
                <w:b/>
                <w:bCs/>
                <w:sz w:val="24"/>
              </w:rPr>
              <w:lastRenderedPageBreak/>
              <w:t>1</w:t>
            </w:r>
            <w:r>
              <w:rPr>
                <w:b/>
                <w:bCs/>
                <w:sz w:val="24"/>
              </w:rPr>
              <w:t>8</w:t>
            </w:r>
            <w:r w:rsidRPr="00413C5A">
              <w:rPr>
                <w:b/>
                <w:bCs/>
                <w:sz w:val="24"/>
              </w:rPr>
              <w:t>. Komunikace</w:t>
            </w:r>
          </w:p>
        </w:tc>
        <w:tc>
          <w:tcPr>
            <w:tcW w:w="6215" w:type="dxa"/>
            <w:shd w:val="clear" w:color="auto" w:fill="FFFFFF"/>
          </w:tcPr>
          <w:p w:rsidR="00961A37" w:rsidRPr="00C91B61" w:rsidRDefault="00961A37" w:rsidP="00EF02C2">
            <w:pPr>
              <w:spacing w:before="120" w:after="120"/>
              <w:rPr>
                <w:sz w:val="24"/>
                <w:szCs w:val="24"/>
              </w:rPr>
            </w:pPr>
            <w:r w:rsidRPr="00C91B61">
              <w:rPr>
                <w:sz w:val="24"/>
                <w:szCs w:val="24"/>
              </w:rPr>
              <w:t xml:space="preserve">Veškerá komunikace mezi </w:t>
            </w:r>
            <w:r>
              <w:rPr>
                <w:sz w:val="24"/>
                <w:szCs w:val="24"/>
              </w:rPr>
              <w:t xml:space="preserve">centrálním </w:t>
            </w:r>
            <w:r w:rsidRPr="00C91B61">
              <w:rPr>
                <w:sz w:val="24"/>
                <w:szCs w:val="24"/>
              </w:rPr>
              <w:t xml:space="preserve">zadavatelem a dodavatelem bude probíhat v českém </w:t>
            </w:r>
            <w:r>
              <w:rPr>
                <w:sz w:val="24"/>
                <w:szCs w:val="24"/>
              </w:rPr>
              <w:t xml:space="preserve">nebo slovenském </w:t>
            </w:r>
            <w:r w:rsidRPr="00C91B61">
              <w:rPr>
                <w:sz w:val="24"/>
                <w:szCs w:val="24"/>
              </w:rPr>
              <w:t>jazyce.</w:t>
            </w:r>
          </w:p>
        </w:tc>
      </w:tr>
      <w:tr w:rsidR="00961A37" w:rsidRPr="00413C5A" w:rsidTr="00EF02C2">
        <w:tc>
          <w:tcPr>
            <w:tcW w:w="3494" w:type="dxa"/>
            <w:shd w:val="clear" w:color="auto" w:fill="FFFFFF"/>
          </w:tcPr>
          <w:p w:rsidR="00961A37" w:rsidRPr="00413C5A" w:rsidRDefault="00961A37" w:rsidP="00EF02C2">
            <w:pPr>
              <w:spacing w:before="120" w:after="120"/>
              <w:rPr>
                <w:b/>
                <w:bCs/>
                <w:sz w:val="24"/>
              </w:rPr>
            </w:pPr>
            <w:r w:rsidRPr="00EF02C2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9</w:t>
            </w:r>
            <w:r w:rsidRPr="00413C5A">
              <w:rPr>
                <w:bCs/>
                <w:szCs w:val="24"/>
              </w:rPr>
              <w:t xml:space="preserve">. </w:t>
            </w:r>
            <w:r w:rsidRPr="00EF02C2">
              <w:rPr>
                <w:b/>
                <w:bCs/>
                <w:sz w:val="24"/>
              </w:rPr>
              <w:t>Zrušení zadávacího řízení</w:t>
            </w:r>
          </w:p>
        </w:tc>
        <w:tc>
          <w:tcPr>
            <w:tcW w:w="6215" w:type="dxa"/>
            <w:shd w:val="clear" w:color="auto" w:fill="FFFFFF"/>
          </w:tcPr>
          <w:p w:rsidR="00961A37" w:rsidRPr="00C91B61" w:rsidRDefault="00961A37" w:rsidP="004629F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Centrální z</w:t>
            </w:r>
            <w:r w:rsidRPr="00C91B61">
              <w:rPr>
                <w:sz w:val="24"/>
                <w:szCs w:val="24"/>
              </w:rPr>
              <w:t xml:space="preserve">adavatel je oprávněn zrušit zadávací řízení v souladu s § 84 </w:t>
            </w:r>
            <w:r>
              <w:rPr>
                <w:sz w:val="24"/>
                <w:szCs w:val="24"/>
              </w:rPr>
              <w:t>Z</w:t>
            </w:r>
            <w:r w:rsidRPr="00C91B61">
              <w:rPr>
                <w:sz w:val="24"/>
                <w:szCs w:val="24"/>
              </w:rPr>
              <w:t>ákona</w:t>
            </w:r>
            <w:r w:rsidRPr="003E5288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 w:rsidRPr="00C91B61">
              <w:rPr>
                <w:sz w:val="24"/>
                <w:szCs w:val="24"/>
              </w:rPr>
              <w:t>.</w:t>
            </w:r>
          </w:p>
        </w:tc>
      </w:tr>
      <w:tr w:rsidR="00961A37" w:rsidRPr="00413C5A" w:rsidTr="00EF02C2">
        <w:tc>
          <w:tcPr>
            <w:tcW w:w="3494" w:type="dxa"/>
            <w:shd w:val="clear" w:color="auto" w:fill="FFFFFF"/>
          </w:tcPr>
          <w:p w:rsidR="00961A37" w:rsidRPr="00413C5A" w:rsidRDefault="00961A37" w:rsidP="009D5D91">
            <w:pPr>
              <w:spacing w:before="120" w:after="120"/>
              <w:rPr>
                <w:bCs/>
                <w:szCs w:val="24"/>
              </w:rPr>
            </w:pPr>
            <w:r>
              <w:rPr>
                <w:b/>
                <w:bCs/>
                <w:sz w:val="24"/>
              </w:rPr>
              <w:t>20. Zadávací lhůta</w:t>
            </w:r>
          </w:p>
        </w:tc>
        <w:tc>
          <w:tcPr>
            <w:tcW w:w="6215" w:type="dxa"/>
            <w:shd w:val="clear" w:color="auto" w:fill="FFFFFF"/>
          </w:tcPr>
          <w:p w:rsidR="00961A37" w:rsidRPr="00C91B61" w:rsidRDefault="00961A37" w:rsidP="005D74F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Centrální zadavatel stanovil v souladu s ustanovením § 43 Zákona </w:t>
            </w:r>
            <w:r w:rsidRPr="003E528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 </w:t>
            </w:r>
            <w:r w:rsidRPr="003E5288">
              <w:rPr>
                <w:sz w:val="24"/>
                <w:szCs w:val="24"/>
              </w:rPr>
              <w:t>veřejných zakázkách</w:t>
            </w:r>
            <w:r w:rsidRPr="00182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zadávací lhůtu </w:t>
            </w:r>
            <w:r w:rsidR="005D74F0">
              <w:rPr>
                <w:sz w:val="24"/>
                <w:szCs w:val="24"/>
              </w:rPr>
              <w:t>120 dnů</w:t>
            </w:r>
            <w:r>
              <w:rPr>
                <w:sz w:val="24"/>
                <w:szCs w:val="24"/>
              </w:rPr>
              <w:t>.</w:t>
            </w:r>
            <w:r w:rsidRPr="00C91B6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61A37" w:rsidRPr="00413C5A" w:rsidRDefault="00961A37">
      <w:pPr>
        <w:pStyle w:val="Nadpis7"/>
        <w:jc w:val="left"/>
        <w:rPr>
          <w:sz w:val="48"/>
        </w:rPr>
      </w:pPr>
    </w:p>
    <w:p w:rsidR="00961A37" w:rsidRDefault="00961A37" w:rsidP="00970DDD">
      <w:pPr>
        <w:rPr>
          <w:b/>
          <w:sz w:val="48"/>
        </w:rPr>
      </w:pPr>
    </w:p>
    <w:p w:rsidR="00961A37" w:rsidRPr="00413C5A" w:rsidRDefault="00961A37">
      <w:r>
        <w:rPr>
          <w:b/>
          <w:sz w:val="48"/>
        </w:rPr>
        <w:br w:type="page"/>
      </w:r>
    </w:p>
    <w:p w:rsidR="00961A37" w:rsidRPr="00EF02C2" w:rsidRDefault="00961A37" w:rsidP="00EF02C2">
      <w:pPr>
        <w:pStyle w:val="Nadpis2"/>
        <w:rPr>
          <w:i w:val="0"/>
        </w:rPr>
      </w:pPr>
      <w:r>
        <w:rPr>
          <w:i w:val="0"/>
        </w:rPr>
        <w:t>2</w:t>
      </w:r>
      <w:r w:rsidRPr="004218F0">
        <w:rPr>
          <w:i w:val="0"/>
        </w:rPr>
        <w:t xml:space="preserve">. </w:t>
      </w:r>
      <w:r>
        <w:rPr>
          <w:i w:val="0"/>
        </w:rPr>
        <w:t>O</w:t>
      </w:r>
      <w:r w:rsidRPr="00EF02C2">
        <w:rPr>
          <w:i w:val="0"/>
        </w:rPr>
        <w:t>snova pro zpracování nabídky</w:t>
      </w:r>
    </w:p>
    <w:p w:rsidR="00961A37" w:rsidRPr="00413C5A" w:rsidRDefault="00961A37">
      <w:pPr>
        <w:spacing w:before="120"/>
        <w:ind w:right="540"/>
      </w:pPr>
    </w:p>
    <w:p w:rsidR="00961A37" w:rsidRPr="00413C5A" w:rsidRDefault="00961A37" w:rsidP="0056777A">
      <w:pPr>
        <w:spacing w:before="120" w:after="120" w:line="276" w:lineRule="auto"/>
        <w:ind w:right="540"/>
        <w:rPr>
          <w:sz w:val="24"/>
        </w:rPr>
      </w:pPr>
      <w:r>
        <w:rPr>
          <w:sz w:val="24"/>
        </w:rPr>
        <w:t>Z</w:t>
      </w:r>
      <w:r w:rsidRPr="00413C5A">
        <w:rPr>
          <w:sz w:val="24"/>
        </w:rPr>
        <w:t xml:space="preserve">adavatel </w:t>
      </w:r>
      <w:r>
        <w:rPr>
          <w:sz w:val="24"/>
        </w:rPr>
        <w:t>doporučuje</w:t>
      </w:r>
      <w:r w:rsidRPr="00413C5A">
        <w:rPr>
          <w:sz w:val="24"/>
        </w:rPr>
        <w:t xml:space="preserve">, aby nabídka </w:t>
      </w:r>
      <w:r>
        <w:rPr>
          <w:sz w:val="24"/>
        </w:rPr>
        <w:t>uchazeče</w:t>
      </w:r>
      <w:r w:rsidRPr="00413C5A">
        <w:rPr>
          <w:sz w:val="24"/>
        </w:rPr>
        <w:t xml:space="preserve"> byla řazena </w:t>
      </w:r>
      <w:r>
        <w:rPr>
          <w:sz w:val="24"/>
        </w:rPr>
        <w:t>následovně</w:t>
      </w:r>
      <w:r w:rsidRPr="00413C5A">
        <w:rPr>
          <w:sz w:val="24"/>
        </w:rPr>
        <w:t>:</w:t>
      </w:r>
    </w:p>
    <w:p w:rsidR="00961A37" w:rsidRPr="00413C5A" w:rsidRDefault="00961A37" w:rsidP="0056777A">
      <w:pPr>
        <w:spacing w:before="120" w:after="120" w:line="276" w:lineRule="auto"/>
        <w:ind w:right="540"/>
        <w:rPr>
          <w:sz w:val="24"/>
        </w:rPr>
      </w:pPr>
    </w:p>
    <w:p w:rsidR="00961A37" w:rsidRDefault="00961A37" w:rsidP="0056777A">
      <w:pPr>
        <w:numPr>
          <w:ilvl w:val="0"/>
          <w:numId w:val="2"/>
          <w:numberingChange w:id="18" w:author="Unknown" w:date="2015-09-13T13:36:00Z" w:original="%1:1:0:."/>
        </w:numPr>
        <w:autoSpaceDE w:val="0"/>
        <w:autoSpaceDN w:val="0"/>
        <w:adjustRightInd w:val="0"/>
        <w:spacing w:before="120" w:after="120" w:line="276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Obecná </w:t>
      </w:r>
      <w:r>
        <w:rPr>
          <w:rFonts w:ascii="TimesNewRomanPSMT CE" w:hAnsi="TimesNewRomanPSMT CE" w:cs="TimesNewRomanPSMT CE"/>
          <w:sz w:val="24"/>
          <w:szCs w:val="24"/>
        </w:rPr>
        <w:t>část</w:t>
      </w:r>
      <w:r>
        <w:rPr>
          <w:rFonts w:ascii="TimesNewRomanPSMT" w:hAnsi="TimesNewRomanPSMT" w:cs="TimesNewRomanPSMT"/>
          <w:sz w:val="24"/>
          <w:szCs w:val="24"/>
        </w:rPr>
        <w:t xml:space="preserve"> nabídky, tj.: </w:t>
      </w:r>
    </w:p>
    <w:p w:rsidR="00961A37" w:rsidRDefault="00961A37" w:rsidP="0056777A">
      <w:pPr>
        <w:numPr>
          <w:ilvl w:val="1"/>
          <w:numId w:val="2"/>
          <w:numberingChange w:id="19" w:author="Unknown" w:date="2015-09-13T13:36:00Z" w:original="%2:1:4:."/>
        </w:numPr>
        <w:autoSpaceDE w:val="0"/>
        <w:autoSpaceDN w:val="0"/>
        <w:adjustRightInd w:val="0"/>
        <w:spacing w:before="120" w:after="120" w:line="276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E" w:hAnsi="TimesNewRomanPSMT CE" w:cs="TimesNewRomanPSMT CE"/>
          <w:sz w:val="24"/>
          <w:szCs w:val="24"/>
        </w:rPr>
        <w:t>Doklady prokazující splnění kvalifikačních předpokladů – tyto doklady uchazeč předkládá v prosté kopii</w:t>
      </w:r>
    </w:p>
    <w:p w:rsidR="00961A37" w:rsidRPr="00224526" w:rsidRDefault="00961A37" w:rsidP="0056777A">
      <w:pPr>
        <w:numPr>
          <w:ilvl w:val="1"/>
          <w:numId w:val="2"/>
          <w:numberingChange w:id="20" w:author="Unknown" w:date="2015-09-13T13:36:00Z" w:original="%2:2:4:."/>
        </w:numPr>
        <w:autoSpaceDE w:val="0"/>
        <w:autoSpaceDN w:val="0"/>
        <w:adjustRightInd w:val="0"/>
        <w:spacing w:before="120" w:after="120" w:line="276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E" w:hAnsi="TimesNewRomanPSMT CE" w:cs="TimesNewRomanPSMT CE"/>
          <w:sz w:val="24"/>
          <w:szCs w:val="24"/>
        </w:rPr>
        <w:t>Doklady prokazující splnění požadavků dle § 68 odst. 3 Zákona</w:t>
      </w:r>
      <w:r w:rsidRPr="003E5288">
        <w:rPr>
          <w:sz w:val="24"/>
          <w:szCs w:val="24"/>
        </w:rPr>
        <w:t xml:space="preserve"> o</w:t>
      </w:r>
      <w:r>
        <w:rPr>
          <w:sz w:val="24"/>
          <w:szCs w:val="24"/>
        </w:rPr>
        <w:t> </w:t>
      </w:r>
      <w:r w:rsidRPr="003E5288">
        <w:rPr>
          <w:sz w:val="24"/>
          <w:szCs w:val="24"/>
        </w:rPr>
        <w:t>veřejných zakázkách</w:t>
      </w:r>
      <w:r>
        <w:rPr>
          <w:sz w:val="24"/>
          <w:szCs w:val="24"/>
        </w:rPr>
        <w:t xml:space="preserve"> – tyto doklady uchazeč předkládá v prosté kopii</w:t>
      </w:r>
    </w:p>
    <w:p w:rsidR="00961A37" w:rsidRPr="002D4FED" w:rsidRDefault="00961A37" w:rsidP="0056777A">
      <w:pPr>
        <w:numPr>
          <w:ilvl w:val="1"/>
          <w:numId w:val="2"/>
          <w:numberingChange w:id="21" w:author="Unknown" w:date="2015-09-13T13:36:00Z" w:original="%2:3:4:."/>
        </w:numPr>
        <w:autoSpaceDE w:val="0"/>
        <w:autoSpaceDN w:val="0"/>
        <w:adjustRightInd w:val="0"/>
        <w:spacing w:before="120" w:after="120" w:line="276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 xml:space="preserve">Doklady prokazující splnění požadavků v návaznosti na technickou specifikaci dle </w:t>
      </w:r>
      <w:r w:rsidRPr="00224526">
        <w:rPr>
          <w:sz w:val="24"/>
          <w:szCs w:val="24"/>
          <w:u w:val="single"/>
        </w:rPr>
        <w:t>přílohy č. 3</w:t>
      </w:r>
    </w:p>
    <w:p w:rsidR="00961A37" w:rsidRPr="00B31818" w:rsidRDefault="00961A37" w:rsidP="00EF4D37">
      <w:pPr>
        <w:numPr>
          <w:ilvl w:val="1"/>
          <w:numId w:val="2"/>
          <w:numberingChange w:id="22" w:author="Unknown" w:date="2015-09-13T13:36:00Z" w:original="%2:4:4:."/>
        </w:numPr>
        <w:autoSpaceDE w:val="0"/>
        <w:autoSpaceDN w:val="0"/>
        <w:adjustRightInd w:val="0"/>
        <w:spacing w:before="120" w:after="120" w:line="276" w:lineRule="auto"/>
        <w:jc w:val="left"/>
        <w:rPr>
          <w:rFonts w:ascii="TimesNewRomanPSMT" w:hAnsi="TimesNewRomanPSMT" w:cs="TimesNewRomanPSMT"/>
          <w:sz w:val="24"/>
          <w:szCs w:val="24"/>
        </w:rPr>
      </w:pPr>
      <w:r w:rsidRPr="00B31818">
        <w:rPr>
          <w:sz w:val="24"/>
          <w:szCs w:val="24"/>
        </w:rPr>
        <w:t xml:space="preserve">Doklady prokazující poskytnutí jistoty dle bodu 13 této Zadávací dokumentace – tyto doklady uchazeč přikládá </w:t>
      </w:r>
      <w:r>
        <w:rPr>
          <w:sz w:val="24"/>
          <w:szCs w:val="24"/>
        </w:rPr>
        <w:t xml:space="preserve">v rámci </w:t>
      </w:r>
      <w:r w:rsidRPr="00EF4D37">
        <w:rPr>
          <w:sz w:val="24"/>
          <w:szCs w:val="24"/>
        </w:rPr>
        <w:t>nabíd</w:t>
      </w:r>
      <w:r>
        <w:rPr>
          <w:sz w:val="24"/>
          <w:szCs w:val="24"/>
        </w:rPr>
        <w:t>ky</w:t>
      </w:r>
      <w:r w:rsidRPr="00EF4D37">
        <w:rPr>
          <w:sz w:val="24"/>
          <w:szCs w:val="24"/>
        </w:rPr>
        <w:t xml:space="preserve"> podávané </w:t>
      </w:r>
      <w:r>
        <w:rPr>
          <w:sz w:val="24"/>
          <w:szCs w:val="24"/>
        </w:rPr>
        <w:t xml:space="preserve">v </w:t>
      </w:r>
      <w:r w:rsidRPr="00EF4D37">
        <w:rPr>
          <w:sz w:val="24"/>
          <w:szCs w:val="24"/>
        </w:rPr>
        <w:t>elektronické podobě prostřednictvím elektronického nástroje</w:t>
      </w:r>
      <w:r w:rsidRPr="00EF4D37" w:rsidDel="00EF4D37">
        <w:rPr>
          <w:sz w:val="24"/>
          <w:szCs w:val="24"/>
        </w:rPr>
        <w:t xml:space="preserve"> </w:t>
      </w:r>
      <w:r w:rsidRPr="00B31818">
        <w:rPr>
          <w:sz w:val="24"/>
          <w:szCs w:val="24"/>
        </w:rPr>
        <w:t>v prosté kopii, jejich originál doručí centrálnímu zadavateli osobně nebo poštou v souladu s bodem 4 této Zadávací dokumentace</w:t>
      </w:r>
    </w:p>
    <w:p w:rsidR="00961A37" w:rsidRDefault="00961A37" w:rsidP="0056777A">
      <w:pPr>
        <w:numPr>
          <w:ilvl w:val="0"/>
          <w:numId w:val="2"/>
          <w:numberingChange w:id="23" w:author="Unknown" w:date="2015-09-13T13:36:00Z" w:original="%1:2:0:."/>
        </w:numPr>
        <w:autoSpaceDE w:val="0"/>
        <w:autoSpaceDN w:val="0"/>
        <w:adjustRightInd w:val="0"/>
        <w:spacing w:before="120" w:after="120" w:line="276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 CE" w:hAnsi="TimesNewRomanPSMT CE" w:cs="TimesNewRomanPSMT CE"/>
          <w:sz w:val="24"/>
          <w:szCs w:val="24"/>
        </w:rPr>
        <w:t>Specifická část</w:t>
      </w:r>
      <w:r>
        <w:rPr>
          <w:rFonts w:ascii="TimesNewRomanPSMT" w:hAnsi="TimesNewRomanPSMT" w:cs="TimesNewRomanPSMT"/>
          <w:sz w:val="24"/>
          <w:szCs w:val="24"/>
        </w:rPr>
        <w:t xml:space="preserve"> nabídky, k</w:t>
      </w:r>
      <w:r>
        <w:rPr>
          <w:rFonts w:ascii="TimesNewRomanPSMT CE" w:hAnsi="TimesNewRomanPSMT CE" w:cs="TimesNewRomanPSMT CE"/>
          <w:sz w:val="24"/>
          <w:szCs w:val="24"/>
        </w:rPr>
        <w:t xml:space="preserve">e které budou přiloženy doklady vztahující se </w:t>
      </w:r>
      <w:r>
        <w:rPr>
          <w:rFonts w:ascii="TimesNewRomanPSMT" w:hAnsi="TimesNewRomanPSMT" w:cs="TimesNewRomanPSMT"/>
          <w:sz w:val="24"/>
          <w:szCs w:val="24"/>
        </w:rPr>
        <w:t xml:space="preserve">specificky k té </w:t>
      </w:r>
      <w:r>
        <w:rPr>
          <w:rFonts w:ascii="TimesNewRomanPSMT CE" w:hAnsi="TimesNewRomanPSMT CE" w:cs="TimesNewRomanPSMT CE"/>
          <w:sz w:val="24"/>
          <w:szCs w:val="24"/>
        </w:rPr>
        <w:t>část</w:t>
      </w:r>
      <w:r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 CE" w:hAnsi="TimesNewRomanPSMT CE" w:cs="TimesNewRomanPSMT CE"/>
          <w:sz w:val="24"/>
          <w:szCs w:val="24"/>
        </w:rPr>
        <w:t xml:space="preserve"> veřejné zakázky</w:t>
      </w:r>
      <w:r>
        <w:rPr>
          <w:rFonts w:ascii="TimesNewRomanPSMT" w:hAnsi="TimesNewRomanPSMT" w:cs="TimesNewRomanPSMT"/>
          <w:sz w:val="24"/>
          <w:szCs w:val="24"/>
        </w:rPr>
        <w:t>, do které</w:t>
      </w:r>
      <w:r>
        <w:rPr>
          <w:rFonts w:ascii="TimesNewRomanPSMT CE" w:hAnsi="TimesNewRomanPSMT CE" w:cs="TimesNewRomanPSMT CE"/>
          <w:sz w:val="24"/>
          <w:szCs w:val="24"/>
        </w:rPr>
        <w:t xml:space="preserve"> podává uchazeč nabídku. </w:t>
      </w:r>
    </w:p>
    <w:p w:rsidR="00961A37" w:rsidRDefault="00961A37" w:rsidP="0056777A">
      <w:pPr>
        <w:numPr>
          <w:ilvl w:val="1"/>
          <w:numId w:val="2"/>
          <w:numberingChange w:id="24" w:author="Unknown" w:date="2015-09-13T13:36:00Z" w:original="%2:1:4:."/>
        </w:numPr>
        <w:autoSpaceDE w:val="0"/>
        <w:autoSpaceDN w:val="0"/>
        <w:adjustRightInd w:val="0"/>
        <w:spacing w:before="120" w:after="120" w:line="276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Krycí list</w:t>
      </w:r>
      <w:r w:rsidRPr="00A26F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dle vzoru v </w:t>
      </w:r>
      <w:r w:rsidRPr="00A26F85">
        <w:rPr>
          <w:rFonts w:ascii="TimesNewRomanPSMT CE" w:hAnsi="TimesNewRomanPSMT CE" w:cs="TimesNewRomanPSMT CE"/>
          <w:sz w:val="24"/>
          <w:szCs w:val="24"/>
          <w:u w:val="single"/>
        </w:rPr>
        <w:t xml:space="preserve">příloze č. </w:t>
      </w:r>
      <w:r>
        <w:rPr>
          <w:rFonts w:ascii="TimesNewRomanPSMT" w:hAnsi="TimesNewRomanPSMT" w:cs="TimesNewRomanPSMT"/>
          <w:sz w:val="24"/>
          <w:szCs w:val="24"/>
          <w:u w:val="single"/>
        </w:rPr>
        <w:t>9</w:t>
      </w:r>
    </w:p>
    <w:p w:rsidR="00961A37" w:rsidRDefault="00961A37" w:rsidP="0056777A">
      <w:pPr>
        <w:numPr>
          <w:ilvl w:val="1"/>
          <w:numId w:val="2"/>
          <w:numberingChange w:id="25" w:author="Unknown" w:date="2015-09-13T13:36:00Z" w:original="%2:2:4:."/>
        </w:numPr>
        <w:autoSpaceDE w:val="0"/>
        <w:autoSpaceDN w:val="0"/>
        <w:adjustRightInd w:val="0"/>
        <w:spacing w:before="120" w:after="120" w:line="276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Hodnotící model dle vzoru v </w:t>
      </w:r>
      <w:r w:rsidRPr="00A26F85">
        <w:rPr>
          <w:rFonts w:ascii="TimesNewRomanPSMT CE" w:hAnsi="TimesNewRomanPSMT CE" w:cs="TimesNewRomanPSMT CE"/>
          <w:sz w:val="24"/>
          <w:szCs w:val="24"/>
          <w:u w:val="single"/>
        </w:rPr>
        <w:t xml:space="preserve">příloze č. </w:t>
      </w:r>
      <w:r>
        <w:rPr>
          <w:rFonts w:ascii="TimesNewRomanPSMT" w:hAnsi="TimesNewRomanPSMT" w:cs="TimesNewRomanPSMT"/>
          <w:sz w:val="24"/>
          <w:szCs w:val="24"/>
          <w:u w:val="single"/>
        </w:rPr>
        <w:t>5</w:t>
      </w:r>
    </w:p>
    <w:p w:rsidR="00961A37" w:rsidRPr="00A26F85" w:rsidRDefault="00961A37" w:rsidP="0056777A">
      <w:pPr>
        <w:numPr>
          <w:ilvl w:val="1"/>
          <w:numId w:val="2"/>
          <w:numberingChange w:id="26" w:author="Unknown" w:date="2015-09-13T13:36:00Z" w:original="%2:3:4:."/>
        </w:numPr>
        <w:autoSpaceDE w:val="0"/>
        <w:autoSpaceDN w:val="0"/>
        <w:adjustRightInd w:val="0"/>
        <w:spacing w:before="120" w:after="120" w:line="276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Podepsaný návrh Rámcové smlouvy dle vzoru v </w:t>
      </w:r>
      <w:r w:rsidRPr="00A26F85">
        <w:rPr>
          <w:rFonts w:ascii="TimesNewRomanPSMT CE" w:hAnsi="TimesNewRomanPSMT CE" w:cs="TimesNewRomanPSMT CE"/>
          <w:sz w:val="24"/>
          <w:szCs w:val="24"/>
          <w:u w:val="single"/>
        </w:rPr>
        <w:t>příloze č. 6</w:t>
      </w:r>
      <w:r>
        <w:rPr>
          <w:rFonts w:ascii="TimesNewRomanPSMT CE" w:hAnsi="TimesNewRomanPSMT CE" w:cs="TimesNewRomanPSMT CE"/>
          <w:sz w:val="24"/>
          <w:szCs w:val="24"/>
        </w:rPr>
        <w:t xml:space="preserve"> včetně všech příloh (centrální zadavatel upozorňuje uchazeče, že v příloze č. 6 Rámcové smlouvy vyplňuje uchazeč ceny za balík po 500 listech v členění dle formátu a kvality a dále název a výrobce nabízeného papíru)</w:t>
      </w:r>
    </w:p>
    <w:p w:rsidR="00961A37" w:rsidRDefault="00961A37" w:rsidP="0056777A">
      <w:pPr>
        <w:spacing w:before="120" w:after="120" w:line="276" w:lineRule="auto"/>
        <w:ind w:right="540"/>
        <w:rPr>
          <w:sz w:val="24"/>
        </w:rPr>
      </w:pPr>
      <w:r>
        <w:rPr>
          <w:sz w:val="24"/>
        </w:rPr>
        <w:t>V souvislosti s vyplňováním cenových údajů pro jednotlivé části veřejné zakázky, do kterých podává uchazeč nabídku, upozorňuje centrální zadavatel na možnost provedení křížových kontrol správnosti vyplněných hodnot:</w:t>
      </w:r>
    </w:p>
    <w:p w:rsidR="00961A37" w:rsidRDefault="00961A37" w:rsidP="0056777A">
      <w:pPr>
        <w:pStyle w:val="Odstavecseseznamem"/>
        <w:numPr>
          <w:ilvl w:val="0"/>
          <w:numId w:val="24"/>
          <w:numberingChange w:id="27" w:author="Unknown" w:date="2015-09-13T13:36:00Z" w:original=""/>
        </w:numPr>
        <w:spacing w:before="120" w:after="120" w:line="276" w:lineRule="auto"/>
        <w:ind w:right="540"/>
        <w:rPr>
          <w:sz w:val="24"/>
        </w:rPr>
      </w:pPr>
      <w:r>
        <w:rPr>
          <w:sz w:val="24"/>
        </w:rPr>
        <w:t>Celková nabídková cena za celou dobu plnění (2 roky) se musí shodovat v příloze č. 9 Zadávací dokumentace (Krycí list) a v příloze č. 5 Zadávací dokumentace (Hodnotící model);</w:t>
      </w:r>
    </w:p>
    <w:p w:rsidR="00961A37" w:rsidRPr="00AA2824" w:rsidRDefault="00961A37" w:rsidP="0056777A">
      <w:pPr>
        <w:pStyle w:val="Odstavecseseznamem"/>
        <w:numPr>
          <w:ilvl w:val="0"/>
          <w:numId w:val="24"/>
          <w:numberingChange w:id="28" w:author="Unknown" w:date="2015-09-13T13:36:00Z" w:original=""/>
        </w:numPr>
        <w:spacing w:before="120" w:after="120" w:line="276" w:lineRule="auto"/>
        <w:ind w:right="540"/>
        <w:rPr>
          <w:sz w:val="24"/>
        </w:rPr>
      </w:pPr>
      <w:r w:rsidRPr="009123C9">
        <w:rPr>
          <w:sz w:val="24"/>
        </w:rPr>
        <w:t>Cena za balík po 500 listech bez DPH</w:t>
      </w:r>
      <w:r>
        <w:rPr>
          <w:sz w:val="24"/>
        </w:rPr>
        <w:t xml:space="preserve"> dle formátu a kvality se musí shodovat v příloze č. 5 Zadávací dokumentace (Hodnotící model) a v příloze č. 6 Rámcové smlouvy (</w:t>
      </w:r>
      <w:r w:rsidRPr="009123C9">
        <w:rPr>
          <w:sz w:val="24"/>
        </w:rPr>
        <w:t>Cena Předmětu plnění</w:t>
      </w:r>
      <w:r>
        <w:rPr>
          <w:sz w:val="24"/>
        </w:rPr>
        <w:t>).</w:t>
      </w:r>
    </w:p>
    <w:p w:rsidR="00961A37" w:rsidRPr="009F136A" w:rsidRDefault="00961A37" w:rsidP="0056777A"/>
    <w:sectPr w:rsidR="00961A37" w:rsidRPr="009F136A" w:rsidSect="005477E3">
      <w:pgSz w:w="11906" w:h="16838"/>
      <w:pgMar w:top="719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37" w:rsidRDefault="00961A37">
      <w:r>
        <w:separator/>
      </w:r>
    </w:p>
  </w:endnote>
  <w:endnote w:type="continuationSeparator" w:id="0">
    <w:p w:rsidR="00961A37" w:rsidRDefault="0096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37" w:rsidRDefault="00961A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1A37" w:rsidRDefault="00961A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37" w:rsidRDefault="002B6DF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7708B">
      <w:rPr>
        <w:noProof/>
      </w:rPr>
      <w:t>6</w:t>
    </w:r>
    <w:r>
      <w:rPr>
        <w:noProof/>
      </w:rPr>
      <w:fldChar w:fldCharType="end"/>
    </w:r>
  </w:p>
  <w:p w:rsidR="00961A37" w:rsidRDefault="00961A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37" w:rsidRDefault="00961A37">
      <w:r>
        <w:separator/>
      </w:r>
    </w:p>
  </w:footnote>
  <w:footnote w:type="continuationSeparator" w:id="0">
    <w:p w:rsidR="00961A37" w:rsidRDefault="00961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12F"/>
    <w:multiLevelType w:val="hybridMultilevel"/>
    <w:tmpl w:val="FAAAF412"/>
    <w:lvl w:ilvl="0" w:tplc="C860C6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2F4"/>
    <w:multiLevelType w:val="hybridMultilevel"/>
    <w:tmpl w:val="BCB03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897046"/>
    <w:multiLevelType w:val="hybridMultilevel"/>
    <w:tmpl w:val="F7ECA592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550"/>
        </w:tabs>
        <w:ind w:left="155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>
    <w:nsid w:val="2E070306"/>
    <w:multiLevelType w:val="hybridMultilevel"/>
    <w:tmpl w:val="69287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AEF4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C07A2B"/>
    <w:multiLevelType w:val="hybridMultilevel"/>
    <w:tmpl w:val="11400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776F93"/>
    <w:multiLevelType w:val="hybridMultilevel"/>
    <w:tmpl w:val="3F868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41EF4"/>
    <w:multiLevelType w:val="hybridMultilevel"/>
    <w:tmpl w:val="00504936"/>
    <w:lvl w:ilvl="0" w:tplc="355C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C72E05"/>
    <w:multiLevelType w:val="hybridMultilevel"/>
    <w:tmpl w:val="47282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16C1C"/>
    <w:multiLevelType w:val="hybridMultilevel"/>
    <w:tmpl w:val="9A6E08BE"/>
    <w:lvl w:ilvl="0" w:tplc="1E0287B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">
    <w:nsid w:val="5DD85FFA"/>
    <w:multiLevelType w:val="hybridMultilevel"/>
    <w:tmpl w:val="BCB03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8E1ED2"/>
    <w:multiLevelType w:val="hybridMultilevel"/>
    <w:tmpl w:val="768AE692"/>
    <w:lvl w:ilvl="0" w:tplc="E4BEF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717F5F"/>
    <w:multiLevelType w:val="hybridMultilevel"/>
    <w:tmpl w:val="5DC60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564AE0"/>
    <w:multiLevelType w:val="hybridMultilevel"/>
    <w:tmpl w:val="70D40E2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0E713C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12530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6A075A3E"/>
    <w:multiLevelType w:val="hybridMultilevel"/>
    <w:tmpl w:val="AC8AC8E4"/>
    <w:lvl w:ilvl="0" w:tplc="6130EC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5">
    <w:nsid w:val="6AD947DF"/>
    <w:multiLevelType w:val="hybridMultilevel"/>
    <w:tmpl w:val="3BC436A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B101080"/>
    <w:multiLevelType w:val="hybridMultilevel"/>
    <w:tmpl w:val="745422B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2417AE"/>
    <w:multiLevelType w:val="hybridMultilevel"/>
    <w:tmpl w:val="2514D36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CC22730"/>
    <w:multiLevelType w:val="multilevel"/>
    <w:tmpl w:val="B9E87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DE13228"/>
    <w:multiLevelType w:val="hybridMultilevel"/>
    <w:tmpl w:val="FF528D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3D1B78"/>
    <w:multiLevelType w:val="hybridMultilevel"/>
    <w:tmpl w:val="EB828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16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  <w:num w:numId="21">
    <w:abstractNumId w:val="6"/>
  </w:num>
  <w:num w:numId="22">
    <w:abstractNumId w:val="11"/>
  </w:num>
  <w:num w:numId="23">
    <w:abstractNumId w:val="7"/>
  </w:num>
  <w:num w:numId="2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1E6"/>
    <w:rsid w:val="000020F2"/>
    <w:rsid w:val="00005D9C"/>
    <w:rsid w:val="00007E20"/>
    <w:rsid w:val="000112E0"/>
    <w:rsid w:val="000113E8"/>
    <w:rsid w:val="00013947"/>
    <w:rsid w:val="00016A5E"/>
    <w:rsid w:val="00016A8C"/>
    <w:rsid w:val="00027233"/>
    <w:rsid w:val="000345DC"/>
    <w:rsid w:val="00034CC0"/>
    <w:rsid w:val="00043D3D"/>
    <w:rsid w:val="00045EC1"/>
    <w:rsid w:val="00047F0D"/>
    <w:rsid w:val="00047F1A"/>
    <w:rsid w:val="00066EA1"/>
    <w:rsid w:val="00075132"/>
    <w:rsid w:val="00077B0C"/>
    <w:rsid w:val="0008580C"/>
    <w:rsid w:val="00090234"/>
    <w:rsid w:val="000922B2"/>
    <w:rsid w:val="00095CBD"/>
    <w:rsid w:val="00096AAF"/>
    <w:rsid w:val="00097694"/>
    <w:rsid w:val="000A0CC7"/>
    <w:rsid w:val="000A5FE2"/>
    <w:rsid w:val="000A764E"/>
    <w:rsid w:val="000C0512"/>
    <w:rsid w:val="000C59A6"/>
    <w:rsid w:val="000E3102"/>
    <w:rsid w:val="000E3A46"/>
    <w:rsid w:val="000E6098"/>
    <w:rsid w:val="000E6254"/>
    <w:rsid w:val="000F4159"/>
    <w:rsid w:val="0010283A"/>
    <w:rsid w:val="00105283"/>
    <w:rsid w:val="001065FF"/>
    <w:rsid w:val="00113411"/>
    <w:rsid w:val="00114346"/>
    <w:rsid w:val="00115745"/>
    <w:rsid w:val="00120348"/>
    <w:rsid w:val="0012306C"/>
    <w:rsid w:val="001238A2"/>
    <w:rsid w:val="001241A5"/>
    <w:rsid w:val="001265C0"/>
    <w:rsid w:val="00140153"/>
    <w:rsid w:val="001409AE"/>
    <w:rsid w:val="00142034"/>
    <w:rsid w:val="0014775D"/>
    <w:rsid w:val="00154780"/>
    <w:rsid w:val="00154ED7"/>
    <w:rsid w:val="00164F8F"/>
    <w:rsid w:val="00166317"/>
    <w:rsid w:val="00166FF2"/>
    <w:rsid w:val="00167FBF"/>
    <w:rsid w:val="001728A6"/>
    <w:rsid w:val="00174409"/>
    <w:rsid w:val="00174756"/>
    <w:rsid w:val="001758A2"/>
    <w:rsid w:val="00177DC2"/>
    <w:rsid w:val="00182417"/>
    <w:rsid w:val="0018427D"/>
    <w:rsid w:val="00187647"/>
    <w:rsid w:val="0019533E"/>
    <w:rsid w:val="00195686"/>
    <w:rsid w:val="001A15C4"/>
    <w:rsid w:val="001A505D"/>
    <w:rsid w:val="001A5B2D"/>
    <w:rsid w:val="001A74A8"/>
    <w:rsid w:val="001B2FE7"/>
    <w:rsid w:val="001B3700"/>
    <w:rsid w:val="001C2E4C"/>
    <w:rsid w:val="001C45AD"/>
    <w:rsid w:val="001C5D98"/>
    <w:rsid w:val="001C7E89"/>
    <w:rsid w:val="001D325D"/>
    <w:rsid w:val="001D58E3"/>
    <w:rsid w:val="001E2D02"/>
    <w:rsid w:val="001E3F4F"/>
    <w:rsid w:val="001F2795"/>
    <w:rsid w:val="001F29F0"/>
    <w:rsid w:val="001F573A"/>
    <w:rsid w:val="001F6EA4"/>
    <w:rsid w:val="00203DEA"/>
    <w:rsid w:val="00205432"/>
    <w:rsid w:val="00207350"/>
    <w:rsid w:val="002126C2"/>
    <w:rsid w:val="00212AF8"/>
    <w:rsid w:val="00212B31"/>
    <w:rsid w:val="00213A16"/>
    <w:rsid w:val="00213C56"/>
    <w:rsid w:val="002156C3"/>
    <w:rsid w:val="0022127C"/>
    <w:rsid w:val="0022392B"/>
    <w:rsid w:val="00224526"/>
    <w:rsid w:val="002304B4"/>
    <w:rsid w:val="00234FF3"/>
    <w:rsid w:val="00250954"/>
    <w:rsid w:val="0025215F"/>
    <w:rsid w:val="002579BF"/>
    <w:rsid w:val="0026307B"/>
    <w:rsid w:val="00264162"/>
    <w:rsid w:val="0026766B"/>
    <w:rsid w:val="00270C16"/>
    <w:rsid w:val="00272A31"/>
    <w:rsid w:val="00273764"/>
    <w:rsid w:val="002745AF"/>
    <w:rsid w:val="00275A01"/>
    <w:rsid w:val="002779F6"/>
    <w:rsid w:val="00281662"/>
    <w:rsid w:val="00282051"/>
    <w:rsid w:val="00284B50"/>
    <w:rsid w:val="00284DE0"/>
    <w:rsid w:val="00285ECF"/>
    <w:rsid w:val="002869A1"/>
    <w:rsid w:val="002945DA"/>
    <w:rsid w:val="0029606D"/>
    <w:rsid w:val="00296BF4"/>
    <w:rsid w:val="002A04E1"/>
    <w:rsid w:val="002A3A5B"/>
    <w:rsid w:val="002B0657"/>
    <w:rsid w:val="002B3A7C"/>
    <w:rsid w:val="002B6DFB"/>
    <w:rsid w:val="002B7CB5"/>
    <w:rsid w:val="002C2937"/>
    <w:rsid w:val="002C6202"/>
    <w:rsid w:val="002C6604"/>
    <w:rsid w:val="002C68E8"/>
    <w:rsid w:val="002C6B53"/>
    <w:rsid w:val="002C7A3F"/>
    <w:rsid w:val="002D1070"/>
    <w:rsid w:val="002D3B37"/>
    <w:rsid w:val="002D4915"/>
    <w:rsid w:val="002D4FED"/>
    <w:rsid w:val="002E066F"/>
    <w:rsid w:val="002E3DDE"/>
    <w:rsid w:val="002E4AB9"/>
    <w:rsid w:val="002E4FBB"/>
    <w:rsid w:val="002F025B"/>
    <w:rsid w:val="002F1178"/>
    <w:rsid w:val="002F3487"/>
    <w:rsid w:val="003055B0"/>
    <w:rsid w:val="003114CC"/>
    <w:rsid w:val="00312E72"/>
    <w:rsid w:val="00314C43"/>
    <w:rsid w:val="00315940"/>
    <w:rsid w:val="00317536"/>
    <w:rsid w:val="00317D8C"/>
    <w:rsid w:val="003222D8"/>
    <w:rsid w:val="00325596"/>
    <w:rsid w:val="00326D0F"/>
    <w:rsid w:val="00337E1F"/>
    <w:rsid w:val="0035576E"/>
    <w:rsid w:val="00356221"/>
    <w:rsid w:val="003569EF"/>
    <w:rsid w:val="00357071"/>
    <w:rsid w:val="003637C6"/>
    <w:rsid w:val="003654ED"/>
    <w:rsid w:val="00370584"/>
    <w:rsid w:val="00371AB4"/>
    <w:rsid w:val="00372E3E"/>
    <w:rsid w:val="00375CB1"/>
    <w:rsid w:val="00376769"/>
    <w:rsid w:val="00381E81"/>
    <w:rsid w:val="00381ECA"/>
    <w:rsid w:val="00382F27"/>
    <w:rsid w:val="00391638"/>
    <w:rsid w:val="00396273"/>
    <w:rsid w:val="00397C5C"/>
    <w:rsid w:val="003A14EA"/>
    <w:rsid w:val="003A1C6C"/>
    <w:rsid w:val="003B1DFB"/>
    <w:rsid w:val="003B3282"/>
    <w:rsid w:val="003B752C"/>
    <w:rsid w:val="003C2CBE"/>
    <w:rsid w:val="003C46EE"/>
    <w:rsid w:val="003C609F"/>
    <w:rsid w:val="003C686D"/>
    <w:rsid w:val="003D4766"/>
    <w:rsid w:val="003E224E"/>
    <w:rsid w:val="003E28FE"/>
    <w:rsid w:val="003E3BEA"/>
    <w:rsid w:val="003E5288"/>
    <w:rsid w:val="003F10EB"/>
    <w:rsid w:val="003F3D12"/>
    <w:rsid w:val="003F3EC0"/>
    <w:rsid w:val="003F4B45"/>
    <w:rsid w:val="003F4E86"/>
    <w:rsid w:val="004014DE"/>
    <w:rsid w:val="004066EE"/>
    <w:rsid w:val="004072E6"/>
    <w:rsid w:val="004077BA"/>
    <w:rsid w:val="00412BCA"/>
    <w:rsid w:val="00413C5A"/>
    <w:rsid w:val="0042077D"/>
    <w:rsid w:val="004207F5"/>
    <w:rsid w:val="004218F0"/>
    <w:rsid w:val="00424198"/>
    <w:rsid w:val="00427A65"/>
    <w:rsid w:val="00431531"/>
    <w:rsid w:val="00434EBA"/>
    <w:rsid w:val="004368A7"/>
    <w:rsid w:val="004370D2"/>
    <w:rsid w:val="00446523"/>
    <w:rsid w:val="0045304D"/>
    <w:rsid w:val="0045324F"/>
    <w:rsid w:val="0045399D"/>
    <w:rsid w:val="004539A7"/>
    <w:rsid w:val="00455E37"/>
    <w:rsid w:val="00456251"/>
    <w:rsid w:val="004609F5"/>
    <w:rsid w:val="00462932"/>
    <w:rsid w:val="004629F2"/>
    <w:rsid w:val="0046592D"/>
    <w:rsid w:val="00472A65"/>
    <w:rsid w:val="00473A9D"/>
    <w:rsid w:val="0047572E"/>
    <w:rsid w:val="00482F66"/>
    <w:rsid w:val="004903E8"/>
    <w:rsid w:val="004910DE"/>
    <w:rsid w:val="00492E2D"/>
    <w:rsid w:val="00492E3D"/>
    <w:rsid w:val="00493276"/>
    <w:rsid w:val="004A3B4A"/>
    <w:rsid w:val="004A45DD"/>
    <w:rsid w:val="004B20D6"/>
    <w:rsid w:val="004C4FBC"/>
    <w:rsid w:val="004D004A"/>
    <w:rsid w:val="004D0FFC"/>
    <w:rsid w:val="004D35BE"/>
    <w:rsid w:val="004D44EA"/>
    <w:rsid w:val="004D7BF6"/>
    <w:rsid w:val="004E0618"/>
    <w:rsid w:val="004F000D"/>
    <w:rsid w:val="004F0B29"/>
    <w:rsid w:val="004F100B"/>
    <w:rsid w:val="004F114E"/>
    <w:rsid w:val="004F3979"/>
    <w:rsid w:val="004F4AFE"/>
    <w:rsid w:val="00500F82"/>
    <w:rsid w:val="00505504"/>
    <w:rsid w:val="005161EA"/>
    <w:rsid w:val="00523F6C"/>
    <w:rsid w:val="00524137"/>
    <w:rsid w:val="00527882"/>
    <w:rsid w:val="00532885"/>
    <w:rsid w:val="005346AE"/>
    <w:rsid w:val="005355CF"/>
    <w:rsid w:val="00535B92"/>
    <w:rsid w:val="00541EA2"/>
    <w:rsid w:val="00542327"/>
    <w:rsid w:val="00543B1D"/>
    <w:rsid w:val="00544B1C"/>
    <w:rsid w:val="005469C1"/>
    <w:rsid w:val="005477E3"/>
    <w:rsid w:val="00554D6B"/>
    <w:rsid w:val="0055532A"/>
    <w:rsid w:val="00561B54"/>
    <w:rsid w:val="00562BD5"/>
    <w:rsid w:val="00562D55"/>
    <w:rsid w:val="00564B15"/>
    <w:rsid w:val="0056777A"/>
    <w:rsid w:val="00572AB9"/>
    <w:rsid w:val="00573F5A"/>
    <w:rsid w:val="00576814"/>
    <w:rsid w:val="0057698D"/>
    <w:rsid w:val="00583BD2"/>
    <w:rsid w:val="00584A7A"/>
    <w:rsid w:val="00590B19"/>
    <w:rsid w:val="0059461A"/>
    <w:rsid w:val="00596F3F"/>
    <w:rsid w:val="005A0EA0"/>
    <w:rsid w:val="005A3764"/>
    <w:rsid w:val="005A507A"/>
    <w:rsid w:val="005B1CE6"/>
    <w:rsid w:val="005B38EC"/>
    <w:rsid w:val="005B3CD8"/>
    <w:rsid w:val="005B3E2D"/>
    <w:rsid w:val="005B40B8"/>
    <w:rsid w:val="005B4363"/>
    <w:rsid w:val="005C09A4"/>
    <w:rsid w:val="005C5307"/>
    <w:rsid w:val="005C7770"/>
    <w:rsid w:val="005D2544"/>
    <w:rsid w:val="005D2B48"/>
    <w:rsid w:val="005D74F0"/>
    <w:rsid w:val="005D7D99"/>
    <w:rsid w:val="005E1610"/>
    <w:rsid w:val="005E38FC"/>
    <w:rsid w:val="005E6202"/>
    <w:rsid w:val="005E6B21"/>
    <w:rsid w:val="005F20BC"/>
    <w:rsid w:val="005F48C6"/>
    <w:rsid w:val="00600574"/>
    <w:rsid w:val="00607FF9"/>
    <w:rsid w:val="00610201"/>
    <w:rsid w:val="00610398"/>
    <w:rsid w:val="00612EB3"/>
    <w:rsid w:val="00617BEE"/>
    <w:rsid w:val="00617D19"/>
    <w:rsid w:val="00625E01"/>
    <w:rsid w:val="0062608C"/>
    <w:rsid w:val="006260DF"/>
    <w:rsid w:val="00633814"/>
    <w:rsid w:val="006356E4"/>
    <w:rsid w:val="00635FC2"/>
    <w:rsid w:val="00636055"/>
    <w:rsid w:val="006435B4"/>
    <w:rsid w:val="006516EA"/>
    <w:rsid w:val="0065242F"/>
    <w:rsid w:val="006549EF"/>
    <w:rsid w:val="00656393"/>
    <w:rsid w:val="00657297"/>
    <w:rsid w:val="006601A7"/>
    <w:rsid w:val="0066455C"/>
    <w:rsid w:val="0066650D"/>
    <w:rsid w:val="00667504"/>
    <w:rsid w:val="006721D9"/>
    <w:rsid w:val="0067229E"/>
    <w:rsid w:val="00674E7A"/>
    <w:rsid w:val="0068426A"/>
    <w:rsid w:val="00693C64"/>
    <w:rsid w:val="00694A43"/>
    <w:rsid w:val="006A1DEB"/>
    <w:rsid w:val="006A27E0"/>
    <w:rsid w:val="006A4F26"/>
    <w:rsid w:val="006B0C9F"/>
    <w:rsid w:val="006B1950"/>
    <w:rsid w:val="006B5656"/>
    <w:rsid w:val="006B5824"/>
    <w:rsid w:val="006C0CAD"/>
    <w:rsid w:val="006C2DEC"/>
    <w:rsid w:val="006C4BAE"/>
    <w:rsid w:val="006C508A"/>
    <w:rsid w:val="006C6679"/>
    <w:rsid w:val="006D17E4"/>
    <w:rsid w:val="006D3D48"/>
    <w:rsid w:val="006D70EE"/>
    <w:rsid w:val="006F752C"/>
    <w:rsid w:val="006F7A36"/>
    <w:rsid w:val="00700C60"/>
    <w:rsid w:val="00702144"/>
    <w:rsid w:val="00703A00"/>
    <w:rsid w:val="00703E6F"/>
    <w:rsid w:val="00705F06"/>
    <w:rsid w:val="00713EC4"/>
    <w:rsid w:val="00716993"/>
    <w:rsid w:val="0072161C"/>
    <w:rsid w:val="00723684"/>
    <w:rsid w:val="0072509A"/>
    <w:rsid w:val="007260B6"/>
    <w:rsid w:val="0072769F"/>
    <w:rsid w:val="00727882"/>
    <w:rsid w:val="007345ED"/>
    <w:rsid w:val="00743CDF"/>
    <w:rsid w:val="007503F3"/>
    <w:rsid w:val="007525F6"/>
    <w:rsid w:val="0075281A"/>
    <w:rsid w:val="007531E6"/>
    <w:rsid w:val="007536B0"/>
    <w:rsid w:val="007550DA"/>
    <w:rsid w:val="00757063"/>
    <w:rsid w:val="007606FE"/>
    <w:rsid w:val="00760D81"/>
    <w:rsid w:val="0076361B"/>
    <w:rsid w:val="00763D18"/>
    <w:rsid w:val="00766A8F"/>
    <w:rsid w:val="00766D55"/>
    <w:rsid w:val="0076739D"/>
    <w:rsid w:val="007732DF"/>
    <w:rsid w:val="0077439A"/>
    <w:rsid w:val="00775648"/>
    <w:rsid w:val="00776B7F"/>
    <w:rsid w:val="00780275"/>
    <w:rsid w:val="00781A5F"/>
    <w:rsid w:val="00782E1D"/>
    <w:rsid w:val="007834F7"/>
    <w:rsid w:val="00783A19"/>
    <w:rsid w:val="00785998"/>
    <w:rsid w:val="00785C16"/>
    <w:rsid w:val="00786EF5"/>
    <w:rsid w:val="00790291"/>
    <w:rsid w:val="007921B5"/>
    <w:rsid w:val="007A7B3F"/>
    <w:rsid w:val="007B7018"/>
    <w:rsid w:val="007D2051"/>
    <w:rsid w:val="007D538C"/>
    <w:rsid w:val="007D5CC9"/>
    <w:rsid w:val="007D7017"/>
    <w:rsid w:val="007E0B53"/>
    <w:rsid w:val="007F3523"/>
    <w:rsid w:val="007F416F"/>
    <w:rsid w:val="007F5A56"/>
    <w:rsid w:val="007F5F28"/>
    <w:rsid w:val="00800833"/>
    <w:rsid w:val="008050FF"/>
    <w:rsid w:val="00805E69"/>
    <w:rsid w:val="008068CB"/>
    <w:rsid w:val="0081083E"/>
    <w:rsid w:val="00810CDC"/>
    <w:rsid w:val="00810DA2"/>
    <w:rsid w:val="00823EB9"/>
    <w:rsid w:val="0082513A"/>
    <w:rsid w:val="0082620A"/>
    <w:rsid w:val="00830563"/>
    <w:rsid w:val="00833768"/>
    <w:rsid w:val="00834D75"/>
    <w:rsid w:val="00836B13"/>
    <w:rsid w:val="00843859"/>
    <w:rsid w:val="00851D82"/>
    <w:rsid w:val="0085203C"/>
    <w:rsid w:val="00861446"/>
    <w:rsid w:val="00861F57"/>
    <w:rsid w:val="008752F6"/>
    <w:rsid w:val="00884741"/>
    <w:rsid w:val="008940A9"/>
    <w:rsid w:val="0089733F"/>
    <w:rsid w:val="00897EBD"/>
    <w:rsid w:val="008A021D"/>
    <w:rsid w:val="008A24C2"/>
    <w:rsid w:val="008A3069"/>
    <w:rsid w:val="008A395F"/>
    <w:rsid w:val="008A78F2"/>
    <w:rsid w:val="008B0C97"/>
    <w:rsid w:val="008B10E4"/>
    <w:rsid w:val="008D0468"/>
    <w:rsid w:val="008D1D11"/>
    <w:rsid w:val="008E229C"/>
    <w:rsid w:val="008E525C"/>
    <w:rsid w:val="008F131F"/>
    <w:rsid w:val="008F6446"/>
    <w:rsid w:val="00902104"/>
    <w:rsid w:val="00903393"/>
    <w:rsid w:val="00907730"/>
    <w:rsid w:val="009077D6"/>
    <w:rsid w:val="009123C9"/>
    <w:rsid w:val="00917C54"/>
    <w:rsid w:val="00917E1B"/>
    <w:rsid w:val="009215A2"/>
    <w:rsid w:val="00921623"/>
    <w:rsid w:val="00922BC4"/>
    <w:rsid w:val="009232FC"/>
    <w:rsid w:val="009257EC"/>
    <w:rsid w:val="009306D6"/>
    <w:rsid w:val="00931DEF"/>
    <w:rsid w:val="00935F0E"/>
    <w:rsid w:val="00937F76"/>
    <w:rsid w:val="009410EC"/>
    <w:rsid w:val="00943977"/>
    <w:rsid w:val="009533EF"/>
    <w:rsid w:val="00956FD6"/>
    <w:rsid w:val="00957C94"/>
    <w:rsid w:val="00961A37"/>
    <w:rsid w:val="00966849"/>
    <w:rsid w:val="00967882"/>
    <w:rsid w:val="00970DDD"/>
    <w:rsid w:val="00973A9B"/>
    <w:rsid w:val="00974665"/>
    <w:rsid w:val="00982061"/>
    <w:rsid w:val="00982120"/>
    <w:rsid w:val="009822B4"/>
    <w:rsid w:val="00990D56"/>
    <w:rsid w:val="009941D2"/>
    <w:rsid w:val="0099481D"/>
    <w:rsid w:val="009A56B0"/>
    <w:rsid w:val="009A6271"/>
    <w:rsid w:val="009A638F"/>
    <w:rsid w:val="009B4ACD"/>
    <w:rsid w:val="009B72E3"/>
    <w:rsid w:val="009C0865"/>
    <w:rsid w:val="009C2282"/>
    <w:rsid w:val="009C3959"/>
    <w:rsid w:val="009C4B21"/>
    <w:rsid w:val="009D1F45"/>
    <w:rsid w:val="009D5D11"/>
    <w:rsid w:val="009D5D91"/>
    <w:rsid w:val="009E2630"/>
    <w:rsid w:val="009E39B0"/>
    <w:rsid w:val="009E554B"/>
    <w:rsid w:val="009E7535"/>
    <w:rsid w:val="009E7707"/>
    <w:rsid w:val="009E7E37"/>
    <w:rsid w:val="009F136A"/>
    <w:rsid w:val="00A04ED3"/>
    <w:rsid w:val="00A06D46"/>
    <w:rsid w:val="00A077C2"/>
    <w:rsid w:val="00A1052B"/>
    <w:rsid w:val="00A118B7"/>
    <w:rsid w:val="00A17454"/>
    <w:rsid w:val="00A2172B"/>
    <w:rsid w:val="00A23141"/>
    <w:rsid w:val="00A26F85"/>
    <w:rsid w:val="00A278A4"/>
    <w:rsid w:val="00A32E89"/>
    <w:rsid w:val="00A357EE"/>
    <w:rsid w:val="00A47E43"/>
    <w:rsid w:val="00A52F89"/>
    <w:rsid w:val="00A55A92"/>
    <w:rsid w:val="00A5713C"/>
    <w:rsid w:val="00A64363"/>
    <w:rsid w:val="00A66123"/>
    <w:rsid w:val="00A66C85"/>
    <w:rsid w:val="00A673FA"/>
    <w:rsid w:val="00A67828"/>
    <w:rsid w:val="00A710A0"/>
    <w:rsid w:val="00A75A29"/>
    <w:rsid w:val="00A7708B"/>
    <w:rsid w:val="00A77197"/>
    <w:rsid w:val="00A77B7D"/>
    <w:rsid w:val="00A81C20"/>
    <w:rsid w:val="00A860DC"/>
    <w:rsid w:val="00A90739"/>
    <w:rsid w:val="00A914E2"/>
    <w:rsid w:val="00A92B7E"/>
    <w:rsid w:val="00A9443C"/>
    <w:rsid w:val="00A94ED9"/>
    <w:rsid w:val="00A965A6"/>
    <w:rsid w:val="00A96FF6"/>
    <w:rsid w:val="00AA0252"/>
    <w:rsid w:val="00AA2824"/>
    <w:rsid w:val="00AB10FD"/>
    <w:rsid w:val="00AB16E1"/>
    <w:rsid w:val="00AB16E7"/>
    <w:rsid w:val="00AB7478"/>
    <w:rsid w:val="00AB76B1"/>
    <w:rsid w:val="00AC0DE1"/>
    <w:rsid w:val="00AC125A"/>
    <w:rsid w:val="00AC425F"/>
    <w:rsid w:val="00AC76CE"/>
    <w:rsid w:val="00AE5D4D"/>
    <w:rsid w:val="00AF4B09"/>
    <w:rsid w:val="00B028B1"/>
    <w:rsid w:val="00B03331"/>
    <w:rsid w:val="00B038B4"/>
    <w:rsid w:val="00B05E79"/>
    <w:rsid w:val="00B06A74"/>
    <w:rsid w:val="00B125FC"/>
    <w:rsid w:val="00B1339B"/>
    <w:rsid w:val="00B23DD0"/>
    <w:rsid w:val="00B24652"/>
    <w:rsid w:val="00B264A2"/>
    <w:rsid w:val="00B31818"/>
    <w:rsid w:val="00B323F0"/>
    <w:rsid w:val="00B32B4A"/>
    <w:rsid w:val="00B36BF2"/>
    <w:rsid w:val="00B42DFD"/>
    <w:rsid w:val="00B450C6"/>
    <w:rsid w:val="00B52CFE"/>
    <w:rsid w:val="00B5394E"/>
    <w:rsid w:val="00B54BA8"/>
    <w:rsid w:val="00B74876"/>
    <w:rsid w:val="00B75126"/>
    <w:rsid w:val="00B77447"/>
    <w:rsid w:val="00B8157D"/>
    <w:rsid w:val="00B86980"/>
    <w:rsid w:val="00B9414A"/>
    <w:rsid w:val="00B946EB"/>
    <w:rsid w:val="00B95B09"/>
    <w:rsid w:val="00B96FEF"/>
    <w:rsid w:val="00BA0A6C"/>
    <w:rsid w:val="00BA567E"/>
    <w:rsid w:val="00BA642B"/>
    <w:rsid w:val="00BB759C"/>
    <w:rsid w:val="00BC0C76"/>
    <w:rsid w:val="00BC1680"/>
    <w:rsid w:val="00BC2D61"/>
    <w:rsid w:val="00BC777E"/>
    <w:rsid w:val="00BD05D6"/>
    <w:rsid w:val="00BD262F"/>
    <w:rsid w:val="00BD490C"/>
    <w:rsid w:val="00BE07F3"/>
    <w:rsid w:val="00BE20BC"/>
    <w:rsid w:val="00BE2AB9"/>
    <w:rsid w:val="00BE5281"/>
    <w:rsid w:val="00BE6C40"/>
    <w:rsid w:val="00BF4CED"/>
    <w:rsid w:val="00BF4E6C"/>
    <w:rsid w:val="00BF6F58"/>
    <w:rsid w:val="00C03FEB"/>
    <w:rsid w:val="00C0662F"/>
    <w:rsid w:val="00C15D7A"/>
    <w:rsid w:val="00C16982"/>
    <w:rsid w:val="00C26A03"/>
    <w:rsid w:val="00C27657"/>
    <w:rsid w:val="00C30AE5"/>
    <w:rsid w:val="00C311EB"/>
    <w:rsid w:val="00C314BE"/>
    <w:rsid w:val="00C32C07"/>
    <w:rsid w:val="00C33957"/>
    <w:rsid w:val="00C356A4"/>
    <w:rsid w:val="00C37687"/>
    <w:rsid w:val="00C403A3"/>
    <w:rsid w:val="00C43027"/>
    <w:rsid w:val="00C45D66"/>
    <w:rsid w:val="00C5084F"/>
    <w:rsid w:val="00C5229B"/>
    <w:rsid w:val="00C631FB"/>
    <w:rsid w:val="00C652E1"/>
    <w:rsid w:val="00C76F57"/>
    <w:rsid w:val="00C77A2D"/>
    <w:rsid w:val="00C83D2D"/>
    <w:rsid w:val="00C866F3"/>
    <w:rsid w:val="00C9165E"/>
    <w:rsid w:val="00C91B61"/>
    <w:rsid w:val="00C92CBC"/>
    <w:rsid w:val="00C930E7"/>
    <w:rsid w:val="00C951B4"/>
    <w:rsid w:val="00CA6675"/>
    <w:rsid w:val="00CA7A36"/>
    <w:rsid w:val="00CA7ACC"/>
    <w:rsid w:val="00CA7D63"/>
    <w:rsid w:val="00CB1281"/>
    <w:rsid w:val="00CC61BB"/>
    <w:rsid w:val="00CD1B76"/>
    <w:rsid w:val="00CD3521"/>
    <w:rsid w:val="00CD4025"/>
    <w:rsid w:val="00CD578A"/>
    <w:rsid w:val="00CD581E"/>
    <w:rsid w:val="00CE19F3"/>
    <w:rsid w:val="00CE3327"/>
    <w:rsid w:val="00CF54F7"/>
    <w:rsid w:val="00CF55CF"/>
    <w:rsid w:val="00D01C8E"/>
    <w:rsid w:val="00D06674"/>
    <w:rsid w:val="00D07DDA"/>
    <w:rsid w:val="00D25CAF"/>
    <w:rsid w:val="00D3003D"/>
    <w:rsid w:val="00D31B7D"/>
    <w:rsid w:val="00D33929"/>
    <w:rsid w:val="00D354E3"/>
    <w:rsid w:val="00D43CDF"/>
    <w:rsid w:val="00D44AAB"/>
    <w:rsid w:val="00D46454"/>
    <w:rsid w:val="00D52E48"/>
    <w:rsid w:val="00D53311"/>
    <w:rsid w:val="00D55BAF"/>
    <w:rsid w:val="00D61ACF"/>
    <w:rsid w:val="00D61B74"/>
    <w:rsid w:val="00D67205"/>
    <w:rsid w:val="00D67960"/>
    <w:rsid w:val="00D70F87"/>
    <w:rsid w:val="00D71CE3"/>
    <w:rsid w:val="00D727DA"/>
    <w:rsid w:val="00D77097"/>
    <w:rsid w:val="00D804C5"/>
    <w:rsid w:val="00D860FB"/>
    <w:rsid w:val="00D92B0B"/>
    <w:rsid w:val="00DA156A"/>
    <w:rsid w:val="00DA1936"/>
    <w:rsid w:val="00DA49C2"/>
    <w:rsid w:val="00DC3850"/>
    <w:rsid w:val="00DD37BC"/>
    <w:rsid w:val="00DD41D9"/>
    <w:rsid w:val="00DD51F8"/>
    <w:rsid w:val="00DD5226"/>
    <w:rsid w:val="00DE0BCA"/>
    <w:rsid w:val="00DE30DC"/>
    <w:rsid w:val="00DE4C86"/>
    <w:rsid w:val="00DE5B54"/>
    <w:rsid w:val="00DE723F"/>
    <w:rsid w:val="00DF20D2"/>
    <w:rsid w:val="00DF5E06"/>
    <w:rsid w:val="00DF5F41"/>
    <w:rsid w:val="00DF7CD7"/>
    <w:rsid w:val="00E0265D"/>
    <w:rsid w:val="00E03B31"/>
    <w:rsid w:val="00E05D87"/>
    <w:rsid w:val="00E068F0"/>
    <w:rsid w:val="00E23C9F"/>
    <w:rsid w:val="00E31E61"/>
    <w:rsid w:val="00E37DC4"/>
    <w:rsid w:val="00E4659F"/>
    <w:rsid w:val="00E46A91"/>
    <w:rsid w:val="00E572BE"/>
    <w:rsid w:val="00E619D4"/>
    <w:rsid w:val="00E64D24"/>
    <w:rsid w:val="00E66A9F"/>
    <w:rsid w:val="00E72730"/>
    <w:rsid w:val="00E73F77"/>
    <w:rsid w:val="00E75136"/>
    <w:rsid w:val="00E805A4"/>
    <w:rsid w:val="00E80784"/>
    <w:rsid w:val="00E83988"/>
    <w:rsid w:val="00E83FB1"/>
    <w:rsid w:val="00E91548"/>
    <w:rsid w:val="00E9574E"/>
    <w:rsid w:val="00E95E14"/>
    <w:rsid w:val="00E97FF7"/>
    <w:rsid w:val="00EA006F"/>
    <w:rsid w:val="00EA1DAC"/>
    <w:rsid w:val="00EB157C"/>
    <w:rsid w:val="00EB373B"/>
    <w:rsid w:val="00EB3E8F"/>
    <w:rsid w:val="00EB3EFF"/>
    <w:rsid w:val="00EB443B"/>
    <w:rsid w:val="00EB588C"/>
    <w:rsid w:val="00EC0377"/>
    <w:rsid w:val="00EC3DD8"/>
    <w:rsid w:val="00EC5706"/>
    <w:rsid w:val="00EC62AB"/>
    <w:rsid w:val="00EE22F5"/>
    <w:rsid w:val="00EE67EC"/>
    <w:rsid w:val="00EE6CAE"/>
    <w:rsid w:val="00EF02C2"/>
    <w:rsid w:val="00EF2E95"/>
    <w:rsid w:val="00EF4D37"/>
    <w:rsid w:val="00EF5437"/>
    <w:rsid w:val="00EF6C9B"/>
    <w:rsid w:val="00EF6E9D"/>
    <w:rsid w:val="00EF7A09"/>
    <w:rsid w:val="00F02217"/>
    <w:rsid w:val="00F03F26"/>
    <w:rsid w:val="00F160ED"/>
    <w:rsid w:val="00F20D87"/>
    <w:rsid w:val="00F229B3"/>
    <w:rsid w:val="00F251A0"/>
    <w:rsid w:val="00F35966"/>
    <w:rsid w:val="00F42123"/>
    <w:rsid w:val="00F47E9E"/>
    <w:rsid w:val="00F533BC"/>
    <w:rsid w:val="00F537C8"/>
    <w:rsid w:val="00F5756D"/>
    <w:rsid w:val="00F64647"/>
    <w:rsid w:val="00F66251"/>
    <w:rsid w:val="00F67759"/>
    <w:rsid w:val="00F77A10"/>
    <w:rsid w:val="00F80D49"/>
    <w:rsid w:val="00F82348"/>
    <w:rsid w:val="00F945EB"/>
    <w:rsid w:val="00F9586A"/>
    <w:rsid w:val="00F97BF2"/>
    <w:rsid w:val="00FA5895"/>
    <w:rsid w:val="00FB48DB"/>
    <w:rsid w:val="00FC2C88"/>
    <w:rsid w:val="00FC4F4D"/>
    <w:rsid w:val="00FC67D8"/>
    <w:rsid w:val="00FC7AA0"/>
    <w:rsid w:val="00FD01E8"/>
    <w:rsid w:val="00FD2109"/>
    <w:rsid w:val="00FD2537"/>
    <w:rsid w:val="00FD28E5"/>
    <w:rsid w:val="00FD2A68"/>
    <w:rsid w:val="00FD3FDA"/>
    <w:rsid w:val="00FD4922"/>
    <w:rsid w:val="00FD70DA"/>
    <w:rsid w:val="00FE3FAC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72AB9"/>
    <w:pPr>
      <w:jc w:val="both"/>
    </w:pPr>
    <w:rPr>
      <w:sz w:val="26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477E3"/>
    <w:pPr>
      <w:keepNext/>
      <w:jc w:val="left"/>
      <w:outlineLvl w:val="0"/>
    </w:pPr>
    <w:rPr>
      <w:rFonts w:ascii="Cambria" w:hAnsi="Cambria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477E3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477E3"/>
    <w:pPr>
      <w:keepNext/>
      <w:jc w:val="left"/>
      <w:outlineLvl w:val="2"/>
    </w:pPr>
    <w:rPr>
      <w:rFonts w:ascii="Cambria" w:hAnsi="Cambria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5477E3"/>
    <w:pPr>
      <w:keepNext/>
      <w:jc w:val="left"/>
      <w:outlineLvl w:val="3"/>
    </w:pPr>
    <w:rPr>
      <w:rFonts w:ascii="Calibri" w:hAnsi="Calibri"/>
      <w:b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477E3"/>
    <w:pPr>
      <w:keepNext/>
      <w:outlineLvl w:val="4"/>
    </w:pPr>
    <w:rPr>
      <w:rFonts w:ascii="Calibri" w:hAnsi="Calibri"/>
      <w:b/>
      <w:i/>
    </w:rPr>
  </w:style>
  <w:style w:type="paragraph" w:styleId="Nadpis6">
    <w:name w:val="heading 6"/>
    <w:basedOn w:val="Normln"/>
    <w:next w:val="Normln"/>
    <w:link w:val="Nadpis6Char"/>
    <w:uiPriority w:val="99"/>
    <w:qFormat/>
    <w:rsid w:val="005477E3"/>
    <w:pPr>
      <w:keepNext/>
      <w:ind w:left="290" w:hanging="290"/>
      <w:outlineLvl w:val="5"/>
    </w:pPr>
    <w:rPr>
      <w:rFonts w:ascii="Calibri" w:hAnsi="Calibri"/>
      <w:b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5477E3"/>
    <w:pPr>
      <w:keepNext/>
      <w:jc w:val="center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5477E3"/>
    <w:pPr>
      <w:keepNext/>
      <w:outlineLvl w:val="7"/>
    </w:pPr>
    <w:rPr>
      <w:rFonts w:ascii="Calibri" w:hAnsi="Calibri"/>
      <w:i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5477E3"/>
    <w:pPr>
      <w:keepNext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70584"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70584"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70584"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370584"/>
    <w:rPr>
      <w:rFonts w:ascii="Calibri" w:hAnsi="Calibri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370584"/>
    <w:rPr>
      <w:rFonts w:ascii="Calibri" w:hAnsi="Calibri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370584"/>
    <w:rPr>
      <w:rFonts w:ascii="Calibri" w:hAnsi="Calibri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370584"/>
    <w:rPr>
      <w:rFonts w:ascii="Calibri" w:hAnsi="Calibri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70584"/>
    <w:rPr>
      <w:rFonts w:ascii="Calibri" w:hAnsi="Calibri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370584"/>
    <w:rPr>
      <w:rFonts w:ascii="Cambria" w:hAnsi="Cambria"/>
    </w:rPr>
  </w:style>
  <w:style w:type="paragraph" w:styleId="Nzev">
    <w:name w:val="Title"/>
    <w:basedOn w:val="Normln"/>
    <w:link w:val="NzevChar"/>
    <w:uiPriority w:val="99"/>
    <w:qFormat/>
    <w:rsid w:val="005477E3"/>
    <w:pPr>
      <w:jc w:val="center"/>
    </w:pPr>
    <w:rPr>
      <w:rFonts w:ascii="Cambria" w:hAnsi="Cambria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70584"/>
    <w:rPr>
      <w:rFonts w:ascii="Cambria" w:hAnsi="Cambria"/>
      <w:b/>
      <w:kern w:val="28"/>
      <w:sz w:val="32"/>
    </w:rPr>
  </w:style>
  <w:style w:type="paragraph" w:styleId="Zkladntext">
    <w:name w:val="Body Text"/>
    <w:basedOn w:val="Normln"/>
    <w:link w:val="ZkladntextChar"/>
    <w:uiPriority w:val="99"/>
    <w:rsid w:val="005477E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26D0F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477E3"/>
    <w:pPr>
      <w:ind w:left="180" w:hanging="180"/>
      <w:jc w:val="left"/>
    </w:pPr>
    <w:rPr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70584"/>
    <w:rPr>
      <w:sz w:val="16"/>
    </w:rPr>
  </w:style>
  <w:style w:type="paragraph" w:styleId="Zkladntext3">
    <w:name w:val="Body Text 3"/>
    <w:basedOn w:val="Normln"/>
    <w:link w:val="Zkladntext3Char"/>
    <w:uiPriority w:val="99"/>
    <w:rsid w:val="005477E3"/>
    <w:pPr>
      <w:jc w:val="left"/>
    </w:pPr>
    <w:rPr>
      <w:b/>
      <w:sz w:val="24"/>
      <w:u w:val="single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83988"/>
    <w:rPr>
      <w:b/>
      <w:sz w:val="24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5477E3"/>
    <w:pPr>
      <w:ind w:left="360"/>
    </w:pPr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70584"/>
    <w:rPr>
      <w:sz w:val="20"/>
    </w:rPr>
  </w:style>
  <w:style w:type="paragraph" w:styleId="Zpat">
    <w:name w:val="footer"/>
    <w:basedOn w:val="Normln"/>
    <w:link w:val="ZpatChar"/>
    <w:uiPriority w:val="99"/>
    <w:rsid w:val="005477E3"/>
    <w:pPr>
      <w:tabs>
        <w:tab w:val="center" w:pos="4536"/>
        <w:tab w:val="right" w:pos="9072"/>
      </w:tabs>
      <w:jc w:val="left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E83988"/>
    <w:rPr>
      <w:sz w:val="24"/>
    </w:rPr>
  </w:style>
  <w:style w:type="paragraph" w:styleId="Zkladntext2">
    <w:name w:val="Body Text 2"/>
    <w:basedOn w:val="Normln"/>
    <w:link w:val="Zkladntext2Char"/>
    <w:uiPriority w:val="99"/>
    <w:rsid w:val="005477E3"/>
    <w:pPr>
      <w:jc w:val="left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70584"/>
    <w:rPr>
      <w:sz w:val="20"/>
    </w:rPr>
  </w:style>
  <w:style w:type="paragraph" w:customStyle="1" w:styleId="zkladn">
    <w:name w:val="základní"/>
    <w:basedOn w:val="Textvbloku"/>
    <w:uiPriority w:val="99"/>
    <w:rsid w:val="005477E3"/>
    <w:pPr>
      <w:spacing w:after="120"/>
      <w:ind w:left="0" w:right="0"/>
    </w:pPr>
    <w:rPr>
      <w:rFonts w:ascii="Arial" w:hAnsi="Arial"/>
      <w:b w:val="0"/>
      <w:color w:val="auto"/>
      <w:sz w:val="22"/>
      <w:szCs w:val="20"/>
      <w:lang w:eastAsia="en-US"/>
    </w:rPr>
  </w:style>
  <w:style w:type="paragraph" w:styleId="Textvbloku">
    <w:name w:val="Block Text"/>
    <w:basedOn w:val="Normln"/>
    <w:uiPriority w:val="99"/>
    <w:rsid w:val="005477E3"/>
    <w:pPr>
      <w:ind w:left="426" w:right="708"/>
    </w:pPr>
    <w:rPr>
      <w:b/>
      <w:color w:val="000000"/>
      <w:sz w:val="24"/>
      <w:szCs w:val="40"/>
    </w:rPr>
  </w:style>
  <w:style w:type="paragraph" w:styleId="Zkladntextodsazen2">
    <w:name w:val="Body Text Indent 2"/>
    <w:basedOn w:val="Normln"/>
    <w:link w:val="Zkladntextodsazen2Char"/>
    <w:uiPriority w:val="99"/>
    <w:rsid w:val="005477E3"/>
    <w:pPr>
      <w:ind w:left="290"/>
      <w:jc w:val="left"/>
    </w:pPr>
    <w:rPr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70584"/>
    <w:rPr>
      <w:sz w:val="20"/>
    </w:rPr>
  </w:style>
  <w:style w:type="character" w:styleId="slostrnky">
    <w:name w:val="page number"/>
    <w:basedOn w:val="Standardnpsmoodstavce"/>
    <w:uiPriority w:val="99"/>
    <w:rsid w:val="005477E3"/>
    <w:rPr>
      <w:rFonts w:cs="Times New Roman"/>
    </w:rPr>
  </w:style>
  <w:style w:type="paragraph" w:styleId="Zhlav">
    <w:name w:val="header"/>
    <w:basedOn w:val="Normln"/>
    <w:link w:val="ZhlavChar"/>
    <w:uiPriority w:val="99"/>
    <w:rsid w:val="005477E3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70584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572AB9"/>
    <w:rPr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72AB9"/>
  </w:style>
  <w:style w:type="paragraph" w:styleId="Rozloendokumentu">
    <w:name w:val="Document Map"/>
    <w:basedOn w:val="Normln"/>
    <w:link w:val="RozloendokumentuChar"/>
    <w:uiPriority w:val="99"/>
    <w:semiHidden/>
    <w:rsid w:val="00C92CBC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70584"/>
    <w:rPr>
      <w:sz w:val="2"/>
    </w:rPr>
  </w:style>
  <w:style w:type="paragraph" w:styleId="Odstavecseseznamem">
    <w:name w:val="List Paragraph"/>
    <w:basedOn w:val="Normln"/>
    <w:uiPriority w:val="99"/>
    <w:qFormat/>
    <w:rsid w:val="00E83988"/>
    <w:pPr>
      <w:ind w:left="720"/>
      <w:contextualSpacing/>
    </w:pPr>
  </w:style>
  <w:style w:type="character" w:styleId="Hypertextovodkaz">
    <w:name w:val="Hyperlink"/>
    <w:basedOn w:val="Standardnpsmoodstavce"/>
    <w:uiPriority w:val="99"/>
    <w:locked/>
    <w:rsid w:val="00270C1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locked/>
    <w:rsid w:val="007536B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7536B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536B0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7536B0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536B0"/>
    <w:rPr>
      <w:b/>
      <w:sz w:val="20"/>
    </w:rPr>
  </w:style>
  <w:style w:type="table" w:styleId="Mkatabulky">
    <w:name w:val="Table Grid"/>
    <w:basedOn w:val="Normlntabulka"/>
    <w:uiPriority w:val="99"/>
    <w:rsid w:val="005423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6B5824"/>
    <w:rPr>
      <w:rFonts w:ascii="Calibri" w:hAnsi="Calibri"/>
      <w:lang w:eastAsia="en-US"/>
    </w:rPr>
  </w:style>
  <w:style w:type="paragraph" w:styleId="Revize">
    <w:name w:val="Revision"/>
    <w:hidden/>
    <w:uiPriority w:val="99"/>
    <w:semiHidden/>
    <w:rsid w:val="004629F2"/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58AA-1D88-4E9A-BD3E-FE8BF65D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3745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zadávací dokumentace k otevřenému řízení - § 27 zákona</vt:lpstr>
    </vt:vector>
  </TitlesOfParts>
  <Company>MF ČR</Company>
  <LinksUpToDate>false</LinksUpToDate>
  <CharactersWithSpaces>25793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zadávací dokumentace k otevřenému řízení - § 27 zákona</dc:title>
  <dc:creator>JUDr. Miluše Stloukalová</dc:creator>
  <cp:lastModifiedBy>Borská Helena Ing.</cp:lastModifiedBy>
  <cp:revision>7</cp:revision>
  <cp:lastPrinted>2015-11-26T15:23:00Z</cp:lastPrinted>
  <dcterms:created xsi:type="dcterms:W3CDTF">2015-11-26T15:19:00Z</dcterms:created>
  <dcterms:modified xsi:type="dcterms:W3CDTF">2015-12-07T17:51:00Z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poznámka">
    <vt:lpwstr/>
  </property>
  <property fmtid="{D5CDD505-2E9C-101B-9397-08002B2CF9AE}" pid="4" name="_DCDateCreated">
    <vt:lpwstr>2014-02-19T12:11:00Z</vt:lpwstr>
  </property>
  <property fmtid="{D5CDD505-2E9C-101B-9397-08002B2CF9AE}" pid="5" name="ContentTypeId">
    <vt:lpwstr>0x01010067F6911759377A489158637EE57A7A06</vt:lpwstr>
  </property>
</Properties>
</file>