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6929"/>
      </w:tblGrid>
      <w:tr w:rsidR="003218B8" w:rsidRPr="00197300" w14:paraId="05256FE0" w14:textId="77777777" w:rsidTr="001304C6">
        <w:trPr>
          <w:jc w:val="center"/>
        </w:trPr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14:paraId="56E75E9C" w14:textId="42731F12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25416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825416" w:rsidRPr="00FE2577" w14:paraId="2CE1D977" w14:textId="77777777" w:rsidTr="001304C6">
        <w:trPr>
          <w:jc w:val="center"/>
        </w:trPr>
        <w:tc>
          <w:tcPr>
            <w:tcW w:w="2709" w:type="dxa"/>
            <w:vAlign w:val="center"/>
          </w:tcPr>
          <w:p w14:paraId="01F412E8" w14:textId="5E221519" w:rsidR="00825416" w:rsidRPr="00E22483" w:rsidRDefault="00825416" w:rsidP="0082541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9" w:type="dxa"/>
            <w:vAlign w:val="center"/>
          </w:tcPr>
          <w:p w14:paraId="0B85F3AD" w14:textId="380CD59C" w:rsidR="00825416" w:rsidRPr="00FE2577" w:rsidRDefault="00825416" w:rsidP="0082541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24A7D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A ODBORNÁ PODPORA BEZPEČNOSTNÍCH TECHNOLOGIÍ SECURITY OPERATION CENTRA</w:t>
            </w:r>
          </w:p>
        </w:tc>
      </w:tr>
      <w:tr w:rsidR="00825416" w:rsidRPr="00FE2577" w14:paraId="533B86C4" w14:textId="77777777" w:rsidTr="001304C6">
        <w:trPr>
          <w:jc w:val="center"/>
        </w:trPr>
        <w:tc>
          <w:tcPr>
            <w:tcW w:w="2709" w:type="dxa"/>
            <w:vAlign w:val="center"/>
          </w:tcPr>
          <w:p w14:paraId="1D06A057" w14:textId="752C7127" w:rsidR="00825416" w:rsidRDefault="00825416" w:rsidP="0082541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9" w:type="dxa"/>
            <w:vAlign w:val="center"/>
          </w:tcPr>
          <w:p w14:paraId="2241D956" w14:textId="45B76663" w:rsidR="00825416" w:rsidRPr="00197300" w:rsidRDefault="00825416" w:rsidP="0082541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D86020">
              <w:rPr>
                <w:szCs w:val="18"/>
              </w:rPr>
              <w:t>5058</w:t>
            </w:r>
          </w:p>
        </w:tc>
      </w:tr>
      <w:tr w:rsidR="000F3AD0" w:rsidRPr="00FE2577" w14:paraId="13F3C6C2" w14:textId="77777777" w:rsidTr="001304C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1304C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1304C6">
        <w:trPr>
          <w:jc w:val="center"/>
        </w:trPr>
        <w:tc>
          <w:tcPr>
            <w:tcW w:w="2709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9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1304C6">
        <w:trPr>
          <w:jc w:val="center"/>
        </w:trPr>
        <w:tc>
          <w:tcPr>
            <w:tcW w:w="2709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9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1304C6">
        <w:trPr>
          <w:jc w:val="center"/>
        </w:trPr>
        <w:tc>
          <w:tcPr>
            <w:tcW w:w="2709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9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1304C6">
        <w:trPr>
          <w:jc w:val="center"/>
        </w:trPr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1304C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t>Dodavatel tímto ve věci Veřejná zakázka prohlašuje, že:</w:t>
      </w:r>
    </w:p>
    <w:p w14:paraId="123BBE38" w14:textId="77777777" w:rsidR="00EA58BB" w:rsidRDefault="00EA58BB" w:rsidP="00C1254A">
      <w:pPr>
        <w:pStyle w:val="Odstavecseseznamem"/>
        <w:numPr>
          <w:ilvl w:val="0"/>
          <w:numId w:val="18"/>
        </w:numPr>
        <w:spacing w:before="60" w:after="60" w:line="276" w:lineRule="auto"/>
        <w:ind w:left="426" w:hanging="426"/>
        <w:rPr>
          <w:szCs w:val="18"/>
          <w:lang w:eastAsia="cs-CZ"/>
        </w:rPr>
      </w:pPr>
      <w:r>
        <w:rPr>
          <w:szCs w:val="18"/>
          <w:lang w:eastAsia="cs-CZ"/>
        </w:rPr>
        <w:t>zde neexistuje střet zájmů dle § 4b zákona č. </w:t>
      </w:r>
      <w:r>
        <w:rPr>
          <w:szCs w:val="18"/>
        </w:rPr>
        <w:t xml:space="preserve"> </w:t>
      </w:r>
      <w:r>
        <w:rPr>
          <w:szCs w:val="18"/>
          <w:lang w:eastAsia="cs-CZ"/>
        </w:rPr>
        <w:t>159/2006 Sb., o střetu zájmů, ve znění pozdějších předpisů, tj.:</w:t>
      </w:r>
    </w:p>
    <w:p w14:paraId="18FD2AA3" w14:textId="77777777" w:rsidR="00EA58BB" w:rsidRDefault="00EA58BB" w:rsidP="00EA58BB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43595CD9" w14:textId="77777777" w:rsidR="00EA58BB" w:rsidRDefault="00EA58BB" w:rsidP="00EA58BB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64BBC0F" w14:textId="77777777" w:rsidR="00EA58BB" w:rsidRDefault="00EA58BB" w:rsidP="00C1254A">
      <w:pPr>
        <w:pStyle w:val="Odstavecseseznamem"/>
        <w:numPr>
          <w:ilvl w:val="0"/>
          <w:numId w:val="18"/>
        </w:numPr>
        <w:spacing w:before="60" w:after="60" w:line="276" w:lineRule="auto"/>
        <w:ind w:left="426" w:hanging="426"/>
        <w:rPr>
          <w:szCs w:val="18"/>
        </w:rPr>
      </w:pPr>
      <w:bookmarkStart w:id="0" w:name="_Hlk99367255"/>
      <w:r>
        <w:rPr>
          <w:szCs w:val="18"/>
        </w:rPr>
        <w:t xml:space="preserve">on ani jeho </w:t>
      </w:r>
      <w:r>
        <w:rPr>
          <w:szCs w:val="18"/>
          <w:lang w:eastAsia="cs-CZ"/>
        </w:rPr>
        <w:t>poddodavatelé</w:t>
      </w:r>
      <w:r>
        <w:rPr>
          <w:szCs w:val="18"/>
        </w:rPr>
        <w:t xml:space="preserve"> nejsou osobami, na které dopadají mezinárodní sankce podle zákona č. 69/2006 Sb., upravujícího provádění mezinárodních sankcí (dále jen „ZPMS“), na základě, kterých Zadavatel nesmí zadat Veřejnou zakázku nebo zpřístupnit finanční prostředky za plnění Veřejné zakázky</w:t>
      </w:r>
      <w:r>
        <w:rPr>
          <w:rStyle w:val="Odkaznavysvtlivky"/>
          <w:szCs w:val="18"/>
        </w:rPr>
        <w:endnoteReference w:id="1"/>
      </w:r>
      <w:r>
        <w:rPr>
          <w:szCs w:val="18"/>
        </w:rPr>
        <w:t>.</w:t>
      </w:r>
    </w:p>
    <w:p w14:paraId="327A7360" w14:textId="77777777" w:rsidR="00EA58BB" w:rsidRDefault="00EA58BB" w:rsidP="00C1254A">
      <w:pPr>
        <w:keepLines/>
        <w:spacing w:before="60" w:after="60" w:line="276" w:lineRule="auto"/>
        <w:ind w:left="425"/>
        <w:rPr>
          <w:szCs w:val="18"/>
        </w:rPr>
      </w:pPr>
      <w:r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 základě, kterých Zadavatel nesmí zadat Veřejnou zakázku nebo zpřístupnit finanční prostředky za plnění smlouvy v rámci Veřejné zakázky.</w:t>
      </w:r>
    </w:p>
    <w:p w14:paraId="1EA9013E" w14:textId="77777777" w:rsidR="00EA58BB" w:rsidRDefault="00EA58BB" w:rsidP="00C1254A">
      <w:pPr>
        <w:pStyle w:val="Odstavecseseznamem"/>
        <w:numPr>
          <w:ilvl w:val="0"/>
          <w:numId w:val="18"/>
        </w:numPr>
        <w:spacing w:before="60" w:after="60" w:line="276" w:lineRule="auto"/>
        <w:ind w:left="426" w:hanging="426"/>
        <w:rPr>
          <w:szCs w:val="18"/>
        </w:rPr>
      </w:pPr>
      <w:r>
        <w:rPr>
          <w:szCs w:val="18"/>
        </w:rPr>
        <w:t xml:space="preserve">v souladu s varováním Národního úřadu pro kybernetickou a informační bezpečnost, vydaným podle § 12 odst. 1 zákona č. 181/2014 Sb., o kybernetické bezpečnosti a o změně souvisejících zákonů, ve znění pozdějších předpisů, ze dne 21. 3. 2022, sp. zn. 350–401/2022, č. j. 3381/2022-NÚKIB-E/350, nemá významný vztah k Ruské federaci, tj.: </w:t>
      </w:r>
    </w:p>
    <w:p w14:paraId="54A1796B" w14:textId="77777777" w:rsidR="00EA58BB" w:rsidRDefault="00EA58BB" w:rsidP="00EA58BB">
      <w:pPr>
        <w:pStyle w:val="Odstavecseseznamem"/>
        <w:numPr>
          <w:ilvl w:val="0"/>
          <w:numId w:val="19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 xml:space="preserve">nemá sídlo v Ruské federaci; </w:t>
      </w:r>
    </w:p>
    <w:p w14:paraId="51BBEC2A" w14:textId="77777777" w:rsidR="00EA58BB" w:rsidRDefault="00EA58BB" w:rsidP="00EA58BB">
      <w:pPr>
        <w:pStyle w:val="Odstavecseseznamem"/>
        <w:numPr>
          <w:ilvl w:val="0"/>
          <w:numId w:val="19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není závislý na dodávkách z území Ruské federace;</w:t>
      </w:r>
    </w:p>
    <w:p w14:paraId="315FEF7C" w14:textId="77777777" w:rsidR="00EA58BB" w:rsidRDefault="00EA58BB" w:rsidP="00EA58BB">
      <w:pPr>
        <w:pStyle w:val="Odstavecseseznamem"/>
        <w:numPr>
          <w:ilvl w:val="0"/>
          <w:numId w:val="19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487334EC" w14:textId="77777777" w:rsidR="00EA58BB" w:rsidRDefault="00EA58BB" w:rsidP="00EA58BB">
      <w:pPr>
        <w:pStyle w:val="Odstavecseseznamem"/>
        <w:numPr>
          <w:ilvl w:val="0"/>
          <w:numId w:val="19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lastRenderedPageBreak/>
        <w:t>ICT produkt nebo služba podstatná pro funkčnost spravovaného či provozovaného informačního či komunikačního systému v rámci Veřejné zakázky nemá svůj vývoj či výrobu lokalizované v Ruské federaci;</w:t>
      </w:r>
    </w:p>
    <w:p w14:paraId="06C22984" w14:textId="77777777" w:rsidR="00EA58BB" w:rsidRDefault="00EA58BB" w:rsidP="00EA58BB">
      <w:pPr>
        <w:pStyle w:val="Odstavecseseznamem"/>
        <w:numPr>
          <w:ilvl w:val="0"/>
          <w:numId w:val="19"/>
        </w:numPr>
        <w:spacing w:before="60" w:after="60" w:line="276" w:lineRule="auto"/>
        <w:ind w:left="851" w:hanging="425"/>
        <w:rPr>
          <w:szCs w:val="18"/>
        </w:rPr>
      </w:pPr>
      <w:r>
        <w:rPr>
          <w:szCs w:val="18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dat, nepoužívají ICT služby či produkty závislé na dodavatelích s významným vztahem k Ruské federaci.</w:t>
      </w:r>
    </w:p>
    <w:bookmarkEnd w:id="0"/>
    <w:p w14:paraId="61BF5005" w14:textId="77777777" w:rsidR="00EA58BB" w:rsidRDefault="00EA58BB" w:rsidP="00C1254A">
      <w:pPr>
        <w:pStyle w:val="Odstavecseseznamem"/>
        <w:numPr>
          <w:ilvl w:val="0"/>
          <w:numId w:val="18"/>
        </w:numPr>
        <w:spacing w:before="60" w:after="60" w:line="276" w:lineRule="auto"/>
        <w:ind w:left="426" w:hanging="426"/>
        <w:rPr>
          <w:szCs w:val="18"/>
        </w:rPr>
      </w:pPr>
      <w:r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 znění pozdějších předpisů, ze dne 8. 3. 2023, sp. zn. 350–303/2023, č. j. 2236/2023</w:t>
      </w:r>
      <w:r>
        <w:rPr>
          <w:szCs w:val="18"/>
        </w:rPr>
        <w:noBreakHyphen/>
        <w:t>NÚKIB-E/350, nemá nainstalován a nepoužívá aplikaci TikTok na zařízeních přistupujících k informačním a komunikačním systémům kritické informační infrastruktury, informačním systémům základní služby a významným informačním systémům Zadavatele.</w:t>
      </w:r>
    </w:p>
    <w:p w14:paraId="036DA9F6" w14:textId="77777777" w:rsidR="00EA58BB" w:rsidRPr="003D10BD" w:rsidRDefault="00EA58BB" w:rsidP="00EA58BB">
      <w:pPr>
        <w:keepNext/>
        <w:keepLines/>
        <w:spacing w:before="360" w:after="24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 xml:space="preserve">odavatel nesplňuje některou z výše uvedených podmínek, je tato skutečnost důvodem pro vyloučení </w:t>
      </w:r>
      <w:r>
        <w:rPr>
          <w:b/>
          <w:bCs/>
          <w:szCs w:val="18"/>
        </w:rPr>
        <w:t>Dodavatele z Veřejné zakázky</w:t>
      </w:r>
      <w:r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D86020">
      <w:headerReference w:type="default" r:id="rId12"/>
      <w:footerReference w:type="default" r:id="rId13"/>
      <w:pgSz w:w="11906" w:h="16838" w:code="9"/>
      <w:pgMar w:top="1701" w:right="1134" w:bottom="1134" w:left="1134" w:header="45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D9EB" w14:textId="77777777" w:rsidR="00400223" w:rsidRDefault="00400223" w:rsidP="003A4756">
      <w:r>
        <w:separator/>
      </w:r>
    </w:p>
  </w:endnote>
  <w:endnote w:type="continuationSeparator" w:id="0">
    <w:p w14:paraId="0CCB5738" w14:textId="77777777" w:rsidR="00400223" w:rsidRDefault="00400223" w:rsidP="003A4756">
      <w:r>
        <w:continuationSeparator/>
      </w:r>
    </w:p>
  </w:endnote>
  <w:endnote w:id="1">
    <w:p w14:paraId="211DE330" w14:textId="77777777" w:rsidR="00EA58BB" w:rsidRDefault="00EA58BB" w:rsidP="00EA58BB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i/>
          <w:iCs/>
          <w:sz w:val="16"/>
          <w:szCs w:val="16"/>
        </w:rPr>
        <w:t>N</w:t>
      </w:r>
      <w:r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2060"/>
      </w:rPr>
      <w:id w:val="-387582601"/>
      <w:docPartObj>
        <w:docPartGallery w:val="Page Numbers (Bottom of Page)"/>
        <w:docPartUnique/>
      </w:docPartObj>
    </w:sdtPr>
    <w:sdtContent>
      <w:sdt>
        <w:sdtPr>
          <w:rPr>
            <w:color w:val="00206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6A4F72E" w14:textId="6BAEAE59" w:rsidR="00310F0A" w:rsidRPr="00D86020" w:rsidRDefault="00EA58BB" w:rsidP="00D86020">
            <w:pPr>
              <w:pStyle w:val="Zpat"/>
              <w:jc w:val="left"/>
              <w:rPr>
                <w:color w:val="002060"/>
              </w:rPr>
            </w:pPr>
            <w:r w:rsidRPr="00D86020">
              <w:rPr>
                <w:color w:val="002060"/>
                <w:sz w:val="24"/>
                <w:szCs w:val="24"/>
              </w:rPr>
              <w:fldChar w:fldCharType="begin"/>
            </w:r>
            <w:r w:rsidRPr="00D86020">
              <w:rPr>
                <w:color w:val="002060"/>
              </w:rPr>
              <w:instrText>PAGE</w:instrText>
            </w:r>
            <w:r w:rsidRPr="00D86020">
              <w:rPr>
                <w:color w:val="002060"/>
                <w:sz w:val="24"/>
                <w:szCs w:val="24"/>
              </w:rPr>
              <w:fldChar w:fldCharType="separate"/>
            </w:r>
            <w:r w:rsidRPr="00D86020">
              <w:rPr>
                <w:color w:val="002060"/>
              </w:rPr>
              <w:t>2</w:t>
            </w:r>
            <w:r w:rsidRPr="00D86020">
              <w:rPr>
                <w:color w:val="002060"/>
                <w:sz w:val="24"/>
                <w:szCs w:val="24"/>
              </w:rPr>
              <w:fldChar w:fldCharType="end"/>
            </w:r>
            <w:r w:rsidR="00D86020" w:rsidRPr="00D86020">
              <w:rPr>
                <w:color w:val="002060"/>
              </w:rPr>
              <w:t>/</w:t>
            </w:r>
            <w:r w:rsidRPr="00D86020">
              <w:rPr>
                <w:color w:val="002060"/>
                <w:sz w:val="24"/>
                <w:szCs w:val="24"/>
              </w:rPr>
              <w:fldChar w:fldCharType="begin"/>
            </w:r>
            <w:r w:rsidRPr="00D86020">
              <w:rPr>
                <w:color w:val="002060"/>
              </w:rPr>
              <w:instrText>NUMPAGES</w:instrText>
            </w:r>
            <w:r w:rsidRPr="00D86020">
              <w:rPr>
                <w:color w:val="002060"/>
                <w:sz w:val="24"/>
                <w:szCs w:val="24"/>
              </w:rPr>
              <w:fldChar w:fldCharType="separate"/>
            </w:r>
            <w:r w:rsidRPr="00D86020">
              <w:rPr>
                <w:color w:val="002060"/>
              </w:rPr>
              <w:t>2</w:t>
            </w:r>
            <w:r w:rsidRPr="00D86020">
              <w:rPr>
                <w:color w:val="00206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B9FB" w14:textId="77777777" w:rsidR="00400223" w:rsidRDefault="00400223" w:rsidP="003A4756">
      <w:r>
        <w:separator/>
      </w:r>
    </w:p>
  </w:footnote>
  <w:footnote w:type="continuationSeparator" w:id="0">
    <w:p w14:paraId="33772468" w14:textId="77777777" w:rsidR="00400223" w:rsidRDefault="00400223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02239E0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611566917" name="Obrázek 611566917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 w:numId="18" w16cid:durableId="19320060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464029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28C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4C6"/>
    <w:rsid w:val="001309ED"/>
    <w:rsid w:val="001371B9"/>
    <w:rsid w:val="00137397"/>
    <w:rsid w:val="00137C36"/>
    <w:rsid w:val="001434E6"/>
    <w:rsid w:val="00146664"/>
    <w:rsid w:val="001512BB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78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0223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C2F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0722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5416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2485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86020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58BB"/>
    <w:rsid w:val="00EA64A3"/>
    <w:rsid w:val="00EA74AC"/>
    <w:rsid w:val="00EC603E"/>
    <w:rsid w:val="00EC7792"/>
    <w:rsid w:val="00ED07C4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E75C23-7772-414A-88D7-544BFBAEA2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19</cp:revision>
  <cp:lastPrinted>2022-05-06T14:21:00Z</cp:lastPrinted>
  <dcterms:created xsi:type="dcterms:W3CDTF">2023-07-13T10:07:00Z</dcterms:created>
  <dcterms:modified xsi:type="dcterms:W3CDTF">2025-07-14T13:22:00Z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