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341FC7C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971C52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D37081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67F1ACC" w:rsidR="00D37081" w:rsidRPr="00EF46B1" w:rsidRDefault="00D37081" w:rsidP="00D3708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A1F7FB5" w:rsidR="00D37081" w:rsidRPr="00EF46B1" w:rsidRDefault="00D37081" w:rsidP="00D3708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9C29E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technologie </w:t>
            </w:r>
            <w:r w:rsidR="000A0E0A" w:rsidRPr="009C29E2">
              <w:rPr>
                <w:rFonts w:cs="Calibri"/>
                <w:b/>
                <w:bCs/>
                <w:color w:val="004666"/>
                <w:sz w:val="28"/>
                <w:szCs w:val="28"/>
              </w:rPr>
              <w:t>loadbalancingu</w:t>
            </w:r>
          </w:p>
        </w:tc>
      </w:tr>
      <w:tr w:rsidR="00D37081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1EAC992F" w:rsidR="00D37081" w:rsidRPr="00EF46B1" w:rsidRDefault="00D37081" w:rsidP="00D3708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BCB6022" w:rsidR="00D37081" w:rsidRPr="00EF46B1" w:rsidRDefault="00D37081" w:rsidP="00D3708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3347B">
              <w:rPr>
                <w:szCs w:val="18"/>
              </w:rPr>
              <w:t>VZ202</w:t>
            </w:r>
            <w:r>
              <w:rPr>
                <w:szCs w:val="18"/>
              </w:rPr>
              <w:t>6026</w:t>
            </w:r>
            <w:r w:rsidRPr="00C3347B">
              <w:rPr>
                <w:szCs w:val="18"/>
              </w:rPr>
              <w:t>(VZ2024015-0</w:t>
            </w:r>
            <w:r>
              <w:rPr>
                <w:szCs w:val="18"/>
              </w:rPr>
              <w:t>4</w:t>
            </w:r>
            <w:r w:rsidRPr="00C3347B">
              <w:rPr>
                <w:szCs w:val="18"/>
              </w:rPr>
              <w:t>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B76D" w14:textId="77777777" w:rsidR="00BD47A1" w:rsidRDefault="00BD47A1" w:rsidP="003A4756">
      <w:r>
        <w:separator/>
      </w:r>
    </w:p>
  </w:endnote>
  <w:endnote w:type="continuationSeparator" w:id="0">
    <w:p w14:paraId="1F69DEF3" w14:textId="77777777" w:rsidR="00BD47A1" w:rsidRDefault="00BD47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0527A1" w:rsidRPr="00740E07" w14:paraId="0DBA15F5" w14:textId="77777777" w:rsidTr="00F4187C">
      <w:tc>
        <w:tcPr>
          <w:tcW w:w="2113" w:type="pct"/>
        </w:tcPr>
        <w:p w14:paraId="6D0F9A4A" w14:textId="509E50DF" w:rsidR="000527A1" w:rsidRPr="00501365" w:rsidRDefault="000527A1" w:rsidP="000527A1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0A9EEB6B" w14:textId="77777777" w:rsidR="000527A1" w:rsidRPr="00740E07" w:rsidRDefault="000527A1" w:rsidP="000527A1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911BDBD" wp14:editId="48A8DEC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177D123" wp14:editId="3C9EF8D1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7744" w14:textId="77777777" w:rsidR="00BD47A1" w:rsidRDefault="00BD47A1" w:rsidP="003A4756">
      <w:r>
        <w:separator/>
      </w:r>
    </w:p>
  </w:footnote>
  <w:footnote w:type="continuationSeparator" w:id="0">
    <w:p w14:paraId="2982B1FF" w14:textId="77777777" w:rsidR="00BD47A1" w:rsidRDefault="00BD47A1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3781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20B3"/>
    <w:rsid w:val="00075A44"/>
    <w:rsid w:val="00075FF9"/>
    <w:rsid w:val="000808FF"/>
    <w:rsid w:val="00087871"/>
    <w:rsid w:val="00087ABB"/>
    <w:rsid w:val="00090FB3"/>
    <w:rsid w:val="0009421E"/>
    <w:rsid w:val="000A0E0A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7B6F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5D1A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206"/>
    <w:rsid w:val="006533D6"/>
    <w:rsid w:val="00653425"/>
    <w:rsid w:val="00660ADF"/>
    <w:rsid w:val="00661A4C"/>
    <w:rsid w:val="00663D12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57D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1C52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A535A"/>
    <w:rsid w:val="00BB21E2"/>
    <w:rsid w:val="00BB4280"/>
    <w:rsid w:val="00BB4286"/>
    <w:rsid w:val="00BC1630"/>
    <w:rsid w:val="00BC17D1"/>
    <w:rsid w:val="00BC1B1E"/>
    <w:rsid w:val="00BC5D87"/>
    <w:rsid w:val="00BD328E"/>
    <w:rsid w:val="00BD47A1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081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A6643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5119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591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6A879-1D6B-463F-BD84-4457F5DC9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2256</Characters>
  <Application>Microsoft Office Word</Application>
  <DocSecurity>0</DocSecurity>
  <Lines>86</Lines>
  <Paragraphs>43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SPCSS</dc:creator>
  <cp:lastModifiedBy>Drábek Jiří</cp:lastModifiedBy>
  <cp:revision>43</cp:revision>
  <cp:lastPrinted>2022-05-06T14:21:00Z</cp:lastPrinted>
  <dcterms:created xsi:type="dcterms:W3CDTF">2023-07-13T11:58:00Z</dcterms:created>
  <dcterms:modified xsi:type="dcterms:W3CDTF">2026-03-05T14:15:00Z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