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09AA1" w14:textId="77777777" w:rsidR="00847349" w:rsidRPr="00666B4C" w:rsidRDefault="000F5176" w:rsidP="00750ADF">
      <w:pPr>
        <w:jc w:val="center"/>
        <w:rPr>
          <w:b/>
          <w:sz w:val="22"/>
          <w:szCs w:val="22"/>
        </w:rPr>
      </w:pPr>
      <w:bookmarkStart w:id="0" w:name="_GoBack"/>
      <w:bookmarkEnd w:id="0"/>
      <w:r w:rsidRPr="00666B4C">
        <w:rPr>
          <w:b/>
          <w:sz w:val="22"/>
          <w:szCs w:val="22"/>
        </w:rPr>
        <w:t>SMLOUVA O POSKYTOVÁNÍ SLUŽEB</w:t>
      </w:r>
    </w:p>
    <w:p w14:paraId="0BD8FEEA" w14:textId="0A9B8202" w:rsidR="00847349" w:rsidRPr="00847349" w:rsidRDefault="00847349" w:rsidP="00750ADF">
      <w:pPr>
        <w:jc w:val="center"/>
      </w:pPr>
      <w:r w:rsidRPr="00847349">
        <w:t xml:space="preserve">evidovaná u </w:t>
      </w:r>
      <w:r w:rsidR="00556EB4">
        <w:t>O</w:t>
      </w:r>
      <w:r w:rsidRPr="00847349">
        <w:t xml:space="preserve">bjednatele pod č.: </w:t>
      </w:r>
      <w:r w:rsidR="00750ADF" w:rsidRPr="00750ADF">
        <w:t>[</w:t>
      </w:r>
      <w:r w:rsidR="009A6E24">
        <w:rPr>
          <w:highlight w:val="green"/>
        </w:rPr>
        <w:t>DOPLNÍ ZADAVATEL</w:t>
      </w:r>
      <w:r w:rsidR="00750ADF" w:rsidRPr="00750ADF">
        <w:t>]</w:t>
      </w:r>
      <w:r w:rsidRPr="00847349">
        <w:br/>
        <w:t>(dále jen „</w:t>
      </w:r>
      <w:r w:rsidRPr="00847349">
        <w:rPr>
          <w:b/>
        </w:rPr>
        <w:t>smlouva</w:t>
      </w:r>
      <w:r w:rsidRPr="00847349">
        <w:t>“)</w:t>
      </w:r>
    </w:p>
    <w:p w14:paraId="213051C7" w14:textId="77777777" w:rsidR="008F33CE" w:rsidRDefault="008F33CE" w:rsidP="009125AD">
      <w:pPr>
        <w:contextualSpacing/>
        <w:rPr>
          <w:b/>
        </w:rPr>
      </w:pPr>
    </w:p>
    <w:p w14:paraId="55BE0A12" w14:textId="77777777" w:rsidR="008F33CE" w:rsidRDefault="008F33CE" w:rsidP="009125AD">
      <w:pPr>
        <w:contextualSpacing/>
        <w:rPr>
          <w:b/>
        </w:rPr>
      </w:pPr>
    </w:p>
    <w:p w14:paraId="1EB8041E" w14:textId="77777777" w:rsidR="00847349" w:rsidRPr="00750ADF" w:rsidRDefault="00847349" w:rsidP="009125AD">
      <w:pPr>
        <w:contextualSpacing/>
        <w:rPr>
          <w:b/>
        </w:rPr>
      </w:pPr>
      <w:r w:rsidRPr="00750ADF">
        <w:rPr>
          <w:b/>
        </w:rPr>
        <w:t>Smluvní strany:</w:t>
      </w:r>
    </w:p>
    <w:p w14:paraId="1482B3B7" w14:textId="77777777" w:rsidR="00847349" w:rsidRPr="00750ADF" w:rsidRDefault="00847349" w:rsidP="009125AD">
      <w:pPr>
        <w:contextualSpacing/>
        <w:rPr>
          <w:b/>
        </w:rPr>
      </w:pPr>
      <w:r w:rsidRPr="00750ADF">
        <w:rPr>
          <w:b/>
        </w:rPr>
        <w:t>Poskytovatel:</w:t>
      </w:r>
    </w:p>
    <w:p w14:paraId="75352B86" w14:textId="094E3739" w:rsidR="00847349" w:rsidRPr="00297AE0" w:rsidRDefault="00847349" w:rsidP="009125AD">
      <w:pPr>
        <w:contextualSpacing/>
      </w:pPr>
      <w:r w:rsidRPr="00297AE0">
        <w:rPr>
          <w:highlight w:val="yellow"/>
        </w:rPr>
        <w:t xml:space="preserve">[DOPLNÍ </w:t>
      </w:r>
      <w:r w:rsidR="008F33CE">
        <w:rPr>
          <w:highlight w:val="yellow"/>
        </w:rPr>
        <w:t>DODAVATEL</w:t>
      </w:r>
      <w:r w:rsidRPr="00297AE0">
        <w:rPr>
          <w:highlight w:val="yellow"/>
        </w:rPr>
        <w:t>]</w:t>
      </w:r>
    </w:p>
    <w:p w14:paraId="13D3AECA" w14:textId="209BA74F" w:rsidR="00847349" w:rsidRPr="00847349" w:rsidRDefault="00556EB4" w:rsidP="009125AD">
      <w:pPr>
        <w:contextualSpacing/>
        <w:rPr>
          <w:b/>
        </w:rPr>
      </w:pPr>
      <w:r>
        <w:t>z</w:t>
      </w:r>
      <w:r w:rsidR="00847349" w:rsidRPr="00847349">
        <w:t xml:space="preserve">apsaný/á v obchodním rejstříku vedeném </w:t>
      </w:r>
      <w:r w:rsidR="00847349" w:rsidRPr="00847349">
        <w:rPr>
          <w:highlight w:val="yellow"/>
        </w:rPr>
        <w:t xml:space="preserve">[DOPLNÍ </w:t>
      </w:r>
      <w:r w:rsidR="008F33CE">
        <w:rPr>
          <w:highlight w:val="yellow"/>
        </w:rPr>
        <w:t>DODAVATEL</w:t>
      </w:r>
      <w:r w:rsidR="00847349" w:rsidRPr="00847349">
        <w:rPr>
          <w:highlight w:val="yellow"/>
        </w:rPr>
        <w:t>]</w:t>
      </w:r>
      <w:r w:rsidR="00847349" w:rsidRPr="00847349">
        <w:t xml:space="preserve"> v </w:t>
      </w:r>
      <w:r w:rsidR="00847349" w:rsidRPr="00847349">
        <w:rPr>
          <w:highlight w:val="yellow"/>
        </w:rPr>
        <w:t xml:space="preserve">[DOPLNÍ </w:t>
      </w:r>
      <w:r w:rsidR="008F33CE">
        <w:rPr>
          <w:highlight w:val="yellow"/>
        </w:rPr>
        <w:t>DODAVATEL</w:t>
      </w:r>
      <w:r w:rsidR="00847349" w:rsidRPr="00847349">
        <w:rPr>
          <w:highlight w:val="yellow"/>
        </w:rPr>
        <w:t>]</w:t>
      </w:r>
      <w:r w:rsidR="00847349" w:rsidRPr="00847349">
        <w:t xml:space="preserve"> pod sp. zn.</w:t>
      </w:r>
      <w:r w:rsidR="00847349" w:rsidRPr="00847349">
        <w:rPr>
          <w:b/>
        </w:rPr>
        <w:t xml:space="preserve"> </w:t>
      </w:r>
      <w:r w:rsidR="00847349" w:rsidRPr="00847349">
        <w:rPr>
          <w:highlight w:val="yellow"/>
        </w:rPr>
        <w:t xml:space="preserve">[DOPLNÍ </w:t>
      </w:r>
      <w:r w:rsidR="008F33CE">
        <w:rPr>
          <w:highlight w:val="yellow"/>
        </w:rPr>
        <w:t>DODAVATEL</w:t>
      </w:r>
      <w:r w:rsidR="00847349" w:rsidRPr="00847349">
        <w:rPr>
          <w:highlight w:val="yellow"/>
        </w:rPr>
        <w:t>]</w:t>
      </w:r>
    </w:p>
    <w:p w14:paraId="3AE53FA5" w14:textId="0E6E446D" w:rsidR="00847349" w:rsidRPr="00847349" w:rsidRDefault="00847349" w:rsidP="00750ADF">
      <w:pPr>
        <w:tabs>
          <w:tab w:val="left" w:pos="2127"/>
        </w:tabs>
        <w:contextualSpacing/>
        <w:rPr>
          <w:rFonts w:cs="Tahoma"/>
        </w:rPr>
      </w:pPr>
      <w:r w:rsidRPr="00847349">
        <w:rPr>
          <w:rFonts w:cs="Tahoma"/>
        </w:rPr>
        <w:t>se sídlem:</w:t>
      </w:r>
      <w:r w:rsidRPr="00847349">
        <w:rPr>
          <w:rFonts w:cs="Tahoma"/>
        </w:rPr>
        <w:tab/>
      </w:r>
      <w:r w:rsidRPr="00847349">
        <w:rPr>
          <w:highlight w:val="yellow"/>
        </w:rPr>
        <w:t xml:space="preserve">[DOPLNÍ </w:t>
      </w:r>
      <w:r w:rsidR="008F33CE">
        <w:rPr>
          <w:highlight w:val="yellow"/>
        </w:rPr>
        <w:t>DODAVATEL</w:t>
      </w:r>
      <w:r w:rsidRPr="00847349">
        <w:rPr>
          <w:highlight w:val="yellow"/>
        </w:rPr>
        <w:t>]</w:t>
      </w:r>
    </w:p>
    <w:p w14:paraId="07C762A1" w14:textId="6E23E551" w:rsidR="00847349" w:rsidRPr="00847349" w:rsidRDefault="00847349" w:rsidP="00750ADF">
      <w:pPr>
        <w:tabs>
          <w:tab w:val="left" w:pos="2127"/>
        </w:tabs>
        <w:contextualSpacing/>
        <w:rPr>
          <w:rFonts w:cs="Tahoma"/>
        </w:rPr>
      </w:pPr>
      <w:r w:rsidRPr="00847349">
        <w:rPr>
          <w:rFonts w:cs="Tahoma"/>
        </w:rPr>
        <w:t>zastoupen</w:t>
      </w:r>
      <w:r w:rsidR="00666B4C">
        <w:rPr>
          <w:rFonts w:cs="Tahoma"/>
        </w:rPr>
        <w:t>ý</w:t>
      </w:r>
      <w:r w:rsidRPr="00847349">
        <w:rPr>
          <w:rFonts w:cs="Tahoma"/>
        </w:rPr>
        <w:t>/</w:t>
      </w:r>
      <w:r w:rsidR="00666B4C">
        <w:rPr>
          <w:rFonts w:cs="Tahoma"/>
        </w:rPr>
        <w:t>á</w:t>
      </w:r>
      <w:r w:rsidRPr="00847349">
        <w:rPr>
          <w:rFonts w:cs="Tahoma"/>
        </w:rPr>
        <w:t>:</w:t>
      </w:r>
      <w:r w:rsidRPr="00847349">
        <w:rPr>
          <w:rFonts w:cs="Tahoma"/>
        </w:rPr>
        <w:tab/>
      </w:r>
      <w:r w:rsidRPr="00847349">
        <w:rPr>
          <w:highlight w:val="yellow"/>
        </w:rPr>
        <w:t xml:space="preserve">[DOPLNÍ </w:t>
      </w:r>
      <w:r w:rsidR="008F33CE">
        <w:rPr>
          <w:highlight w:val="yellow"/>
        </w:rPr>
        <w:t>DODAVATEL</w:t>
      </w:r>
      <w:r w:rsidRPr="00847349">
        <w:rPr>
          <w:highlight w:val="yellow"/>
        </w:rPr>
        <w:t>]</w:t>
      </w:r>
    </w:p>
    <w:p w14:paraId="071F6B1F" w14:textId="3E2AB2F5" w:rsidR="00847349" w:rsidRPr="00847349" w:rsidRDefault="00847349" w:rsidP="00750ADF">
      <w:pPr>
        <w:tabs>
          <w:tab w:val="left" w:pos="2127"/>
        </w:tabs>
        <w:contextualSpacing/>
        <w:rPr>
          <w:rFonts w:cs="Tahoma"/>
        </w:rPr>
      </w:pPr>
      <w:r w:rsidRPr="00847349">
        <w:rPr>
          <w:rFonts w:cs="Tahoma"/>
        </w:rPr>
        <w:t>IČO:</w:t>
      </w:r>
      <w:r w:rsidRPr="00847349">
        <w:rPr>
          <w:rFonts w:cs="Tahoma"/>
        </w:rPr>
        <w:tab/>
      </w:r>
      <w:r w:rsidRPr="00847349">
        <w:rPr>
          <w:highlight w:val="yellow"/>
        </w:rPr>
        <w:t xml:space="preserve">[DOPLNÍ </w:t>
      </w:r>
      <w:r w:rsidR="008F33CE">
        <w:rPr>
          <w:highlight w:val="yellow"/>
        </w:rPr>
        <w:t>DODAVATEL</w:t>
      </w:r>
      <w:r w:rsidRPr="00847349">
        <w:rPr>
          <w:highlight w:val="yellow"/>
        </w:rPr>
        <w:t>]</w:t>
      </w:r>
    </w:p>
    <w:p w14:paraId="5B5D3351" w14:textId="07202EC9" w:rsidR="00847349" w:rsidRPr="00847349" w:rsidRDefault="00847349" w:rsidP="00750ADF">
      <w:pPr>
        <w:tabs>
          <w:tab w:val="left" w:pos="2127"/>
        </w:tabs>
        <w:contextualSpacing/>
      </w:pPr>
      <w:r w:rsidRPr="00847349">
        <w:rPr>
          <w:rFonts w:cs="Tahoma"/>
        </w:rPr>
        <w:t>DIČ:</w:t>
      </w:r>
      <w:r w:rsidRPr="00847349">
        <w:rPr>
          <w:rFonts w:cs="Tahoma"/>
        </w:rPr>
        <w:tab/>
      </w:r>
      <w:r w:rsidRPr="00847349">
        <w:rPr>
          <w:highlight w:val="yellow"/>
        </w:rPr>
        <w:t xml:space="preserve">[DOPLNÍ </w:t>
      </w:r>
      <w:r w:rsidR="008F33CE">
        <w:rPr>
          <w:highlight w:val="yellow"/>
        </w:rPr>
        <w:t>DODAVATEL</w:t>
      </w:r>
      <w:r w:rsidRPr="00847349">
        <w:rPr>
          <w:highlight w:val="yellow"/>
        </w:rPr>
        <w:t>]</w:t>
      </w:r>
    </w:p>
    <w:p w14:paraId="218686F7" w14:textId="78AF76F5" w:rsidR="00847349" w:rsidRPr="00847349" w:rsidRDefault="00847349" w:rsidP="00750ADF">
      <w:pPr>
        <w:tabs>
          <w:tab w:val="left" w:pos="2127"/>
        </w:tabs>
        <w:contextualSpacing/>
      </w:pPr>
      <w:r w:rsidRPr="00847349">
        <w:t>ID datové schránky:</w:t>
      </w:r>
      <w:r w:rsidRPr="00847349">
        <w:tab/>
      </w:r>
      <w:r w:rsidRPr="00847349">
        <w:rPr>
          <w:highlight w:val="yellow"/>
        </w:rPr>
        <w:t xml:space="preserve">[DOPLNÍ </w:t>
      </w:r>
      <w:r w:rsidR="008F33CE">
        <w:rPr>
          <w:highlight w:val="yellow"/>
        </w:rPr>
        <w:t>DODAVATEL</w:t>
      </w:r>
      <w:r w:rsidRPr="00847349">
        <w:rPr>
          <w:highlight w:val="yellow"/>
        </w:rPr>
        <w:t>]</w:t>
      </w:r>
    </w:p>
    <w:p w14:paraId="40F471B8" w14:textId="7E73A011" w:rsidR="00847349" w:rsidRPr="00847349" w:rsidRDefault="00847349" w:rsidP="00750ADF">
      <w:pPr>
        <w:tabs>
          <w:tab w:val="left" w:pos="2127"/>
        </w:tabs>
        <w:contextualSpacing/>
      </w:pPr>
      <w:r w:rsidRPr="00847349">
        <w:t>Bankovní spojení:</w:t>
      </w:r>
      <w:r w:rsidRPr="00847349">
        <w:tab/>
      </w:r>
      <w:r w:rsidRPr="00847349">
        <w:rPr>
          <w:highlight w:val="yellow"/>
        </w:rPr>
        <w:t xml:space="preserve">[DOPLNÍ </w:t>
      </w:r>
      <w:r w:rsidR="008F33CE">
        <w:rPr>
          <w:highlight w:val="yellow"/>
        </w:rPr>
        <w:t>DODAVATEL</w:t>
      </w:r>
      <w:r w:rsidRPr="00847349">
        <w:rPr>
          <w:highlight w:val="yellow"/>
        </w:rPr>
        <w:t>]</w:t>
      </w:r>
    </w:p>
    <w:p w14:paraId="7CBB7E53" w14:textId="34D0B12D" w:rsidR="00847349" w:rsidRPr="00847349" w:rsidRDefault="00847349" w:rsidP="00750ADF">
      <w:pPr>
        <w:tabs>
          <w:tab w:val="left" w:pos="2127"/>
        </w:tabs>
        <w:contextualSpacing/>
      </w:pPr>
      <w:r w:rsidRPr="00847349">
        <w:rPr>
          <w:rFonts w:cs="Tahoma"/>
        </w:rPr>
        <w:t>Číslo účtu:</w:t>
      </w:r>
      <w:r w:rsidRPr="00847349">
        <w:rPr>
          <w:rFonts w:cs="Tahoma"/>
        </w:rPr>
        <w:tab/>
      </w:r>
      <w:r w:rsidRPr="00847349">
        <w:rPr>
          <w:highlight w:val="yellow"/>
        </w:rPr>
        <w:t xml:space="preserve">[DOPLNÍ </w:t>
      </w:r>
      <w:r w:rsidR="008F33CE">
        <w:rPr>
          <w:highlight w:val="yellow"/>
        </w:rPr>
        <w:t>DODAVATEL</w:t>
      </w:r>
      <w:r w:rsidRPr="00847349">
        <w:rPr>
          <w:highlight w:val="yellow"/>
        </w:rPr>
        <w:t>]</w:t>
      </w:r>
    </w:p>
    <w:p w14:paraId="3FEA383A" w14:textId="77777777" w:rsidR="00847349" w:rsidRPr="00847349" w:rsidRDefault="00847349" w:rsidP="009125AD">
      <w:pPr>
        <w:contextualSpacing/>
      </w:pPr>
      <w:r w:rsidRPr="00847349">
        <w:t>(dále jen „</w:t>
      </w:r>
      <w:r w:rsidR="00FA1446">
        <w:rPr>
          <w:b/>
        </w:rPr>
        <w:t>P</w:t>
      </w:r>
      <w:r w:rsidRPr="00847349">
        <w:rPr>
          <w:b/>
        </w:rPr>
        <w:t>oskytovatel</w:t>
      </w:r>
      <w:r w:rsidRPr="00847349">
        <w:t>“)</w:t>
      </w:r>
    </w:p>
    <w:p w14:paraId="177BEF80" w14:textId="77777777" w:rsidR="00847349" w:rsidRPr="00847349" w:rsidRDefault="00847349" w:rsidP="009125AD">
      <w:pPr>
        <w:contextualSpacing/>
      </w:pPr>
    </w:p>
    <w:p w14:paraId="089FC098" w14:textId="77777777" w:rsidR="00847349" w:rsidRPr="00847349" w:rsidRDefault="00847349" w:rsidP="009125AD">
      <w:pPr>
        <w:contextualSpacing/>
      </w:pPr>
      <w:r w:rsidRPr="00847349">
        <w:t>a</w:t>
      </w:r>
    </w:p>
    <w:p w14:paraId="73AC3872" w14:textId="77777777" w:rsidR="00847349" w:rsidRPr="00847349" w:rsidRDefault="00847349" w:rsidP="009125AD">
      <w:pPr>
        <w:contextualSpacing/>
      </w:pPr>
    </w:p>
    <w:p w14:paraId="30FE5438" w14:textId="77777777" w:rsidR="00847349" w:rsidRPr="00750ADF" w:rsidRDefault="00847349" w:rsidP="00750ADF">
      <w:pPr>
        <w:contextualSpacing/>
        <w:jc w:val="left"/>
        <w:rPr>
          <w:b/>
        </w:rPr>
      </w:pPr>
      <w:r w:rsidRPr="00750ADF">
        <w:rPr>
          <w:b/>
        </w:rPr>
        <w:t>Objednatel:</w:t>
      </w:r>
    </w:p>
    <w:p w14:paraId="27F1A3EA" w14:textId="77777777" w:rsidR="00847349" w:rsidRPr="00847349" w:rsidRDefault="00847349" w:rsidP="00750ADF">
      <w:pPr>
        <w:tabs>
          <w:tab w:val="left" w:pos="2127"/>
        </w:tabs>
        <w:contextualSpacing/>
        <w:jc w:val="left"/>
      </w:pPr>
      <w:r w:rsidRPr="00847349">
        <w:rPr>
          <w:b/>
        </w:rPr>
        <w:t>Státní pokladna Centrum sdílených služeb, s. p.</w:t>
      </w:r>
      <w:r w:rsidRPr="00847349">
        <w:br/>
        <w:t>zapsaný v obchodním rejstříku vedeném Městským soudem v Praze pod sp. zn. A 76922</w:t>
      </w:r>
      <w:r w:rsidRPr="00847349">
        <w:br/>
        <w:t>se sídlem:</w:t>
      </w:r>
      <w:r w:rsidRPr="00847349">
        <w:tab/>
        <w:t>Na Vápence 915/14, 130 00 Praha 3 – Žižkov</w:t>
      </w:r>
    </w:p>
    <w:p w14:paraId="7C2A0AFE" w14:textId="77777777" w:rsidR="00847349" w:rsidRPr="00847349" w:rsidRDefault="00847349" w:rsidP="00750ADF">
      <w:pPr>
        <w:tabs>
          <w:tab w:val="left" w:pos="2127"/>
        </w:tabs>
        <w:contextualSpacing/>
        <w:jc w:val="left"/>
      </w:pPr>
      <w:r w:rsidRPr="00847349">
        <w:t>zastoupený:</w:t>
      </w:r>
      <w:r w:rsidRPr="00847349">
        <w:tab/>
        <w:t>Ing. Vladimírem Dzurillou, generálním ředitelem</w:t>
      </w:r>
      <w:r w:rsidRPr="00847349">
        <w:br/>
        <w:t>IČO:</w:t>
      </w:r>
      <w:r w:rsidRPr="00847349">
        <w:tab/>
        <w:t>03630919</w:t>
      </w:r>
      <w:r w:rsidRPr="00847349">
        <w:br/>
        <w:t>DIČ:</w:t>
      </w:r>
      <w:r w:rsidRPr="00847349">
        <w:tab/>
        <w:t>CZ03630919</w:t>
      </w:r>
      <w:r w:rsidRPr="00847349">
        <w:br/>
        <w:t xml:space="preserve">ID datové schránky: </w:t>
      </w:r>
      <w:r w:rsidRPr="00847349">
        <w:tab/>
        <w:t>ag5uunk</w:t>
      </w:r>
    </w:p>
    <w:p w14:paraId="73F49AF2" w14:textId="77777777" w:rsidR="00847349" w:rsidRPr="00847349" w:rsidRDefault="00847349" w:rsidP="00750ADF">
      <w:pPr>
        <w:tabs>
          <w:tab w:val="left" w:pos="2127"/>
        </w:tabs>
        <w:contextualSpacing/>
        <w:jc w:val="left"/>
      </w:pPr>
      <w:r w:rsidRPr="00847349">
        <w:t>Bankovní spojení:</w:t>
      </w:r>
      <w:r w:rsidRPr="00847349">
        <w:tab/>
        <w:t>Česká spořitelna, a. s.</w:t>
      </w:r>
      <w:r w:rsidRPr="00847349">
        <w:br/>
        <w:t>Číslo účtu:</w:t>
      </w:r>
      <w:r w:rsidRPr="00847349">
        <w:tab/>
        <w:t>6303942/0800</w:t>
      </w:r>
      <w:r w:rsidRPr="00847349">
        <w:tab/>
      </w:r>
    </w:p>
    <w:p w14:paraId="09E92CAE" w14:textId="77777777" w:rsidR="00847349" w:rsidRPr="00847349" w:rsidRDefault="00847349" w:rsidP="00750ADF">
      <w:pPr>
        <w:tabs>
          <w:tab w:val="left" w:pos="2127"/>
        </w:tabs>
        <w:contextualSpacing/>
      </w:pPr>
      <w:r w:rsidRPr="00847349">
        <w:t xml:space="preserve"> (dále jen „</w:t>
      </w:r>
      <w:r w:rsidR="00FA1446">
        <w:rPr>
          <w:b/>
        </w:rPr>
        <w:t>O</w:t>
      </w:r>
      <w:r w:rsidRPr="00847349">
        <w:rPr>
          <w:b/>
        </w:rPr>
        <w:t>bjednatel</w:t>
      </w:r>
      <w:r w:rsidRPr="00847349">
        <w:t>“)</w:t>
      </w:r>
    </w:p>
    <w:p w14:paraId="5163BEF1" w14:textId="77777777" w:rsidR="00847349" w:rsidRPr="00847349" w:rsidRDefault="00847349" w:rsidP="009125AD"/>
    <w:p w14:paraId="7AA0F213" w14:textId="77777777" w:rsidR="00847349" w:rsidRPr="00FA1446" w:rsidRDefault="00847349" w:rsidP="00750ADF">
      <w:pPr>
        <w:jc w:val="center"/>
      </w:pPr>
      <w:r w:rsidRPr="00FA1446">
        <w:t>uzavírají v souladu s ustanovením § 1746 odst. 2 zákona č. 89/2012 Sb., občanský zákoník, ve</w:t>
      </w:r>
      <w:r w:rsidR="009125AD">
        <w:t> </w:t>
      </w:r>
      <w:r w:rsidRPr="00FA1446">
        <w:t>znění pozdějších předpisů (dále jen „</w:t>
      </w:r>
      <w:r w:rsidR="00FA1446">
        <w:rPr>
          <w:b/>
        </w:rPr>
        <w:t>O</w:t>
      </w:r>
      <w:r w:rsidRPr="00FA1446">
        <w:rPr>
          <w:b/>
        </w:rPr>
        <w:t xml:space="preserve">bčanský zákoník“) </w:t>
      </w:r>
      <w:r w:rsidRPr="00FA1446">
        <w:t>tuto</w:t>
      </w:r>
    </w:p>
    <w:p w14:paraId="0B73AA88" w14:textId="77777777" w:rsidR="00847349" w:rsidRPr="00750ADF" w:rsidRDefault="00847349" w:rsidP="00750ADF">
      <w:pPr>
        <w:jc w:val="center"/>
        <w:rPr>
          <w:b/>
        </w:rPr>
      </w:pPr>
      <w:r w:rsidRPr="00750ADF">
        <w:rPr>
          <w:b/>
        </w:rPr>
        <w:t>Smlouvu o poskytování služeb</w:t>
      </w:r>
    </w:p>
    <w:p w14:paraId="6F61DEF9" w14:textId="667799EF" w:rsidR="008F33CE" w:rsidRDefault="008F33CE">
      <w:pPr>
        <w:spacing w:before="0" w:after="200" w:line="276" w:lineRule="auto"/>
        <w:jc w:val="left"/>
      </w:pPr>
      <w:r>
        <w:br w:type="page"/>
      </w:r>
    </w:p>
    <w:p w14:paraId="18B3DFCF" w14:textId="77777777" w:rsidR="00FA1446" w:rsidRPr="009125AD" w:rsidRDefault="00FA1446" w:rsidP="009125AD">
      <w:pPr>
        <w:rPr>
          <w:b/>
        </w:rPr>
      </w:pPr>
      <w:r w:rsidRPr="009125AD">
        <w:rPr>
          <w:b/>
        </w:rPr>
        <w:lastRenderedPageBreak/>
        <w:t>Preambule</w:t>
      </w:r>
    </w:p>
    <w:p w14:paraId="479DCAA9" w14:textId="4639D85D" w:rsidR="00847349" w:rsidRPr="009125AD" w:rsidRDefault="00FA1446" w:rsidP="009125AD">
      <w:r w:rsidRPr="009125AD">
        <w:t xml:space="preserve">Tato smlouva byla uzavřena na základě výsledku zadávacího řízení </w:t>
      </w:r>
      <w:r w:rsidR="00610EFD">
        <w:t xml:space="preserve">ve </w:t>
      </w:r>
      <w:r w:rsidR="00610EFD" w:rsidRPr="00610EFD">
        <w:t>zjednodušeném</w:t>
      </w:r>
      <w:r w:rsidR="00EE005F" w:rsidRPr="008F33CE">
        <w:t xml:space="preserve"> podlimitní</w:t>
      </w:r>
      <w:r w:rsidR="00610EFD" w:rsidRPr="008F33CE">
        <w:t xml:space="preserve">m </w:t>
      </w:r>
      <w:r w:rsidR="00EE005F" w:rsidRPr="008F33CE">
        <w:t>řízení</w:t>
      </w:r>
      <w:r w:rsidR="00EE005F" w:rsidRPr="00610EFD">
        <w:t xml:space="preserve"> </w:t>
      </w:r>
      <w:r w:rsidRPr="008F33CE">
        <w:t>s názvem „Služby podpory provozu XML akcelerátoru“ (dále jen "</w:t>
      </w:r>
      <w:r w:rsidRPr="008F33CE">
        <w:rPr>
          <w:b/>
        </w:rPr>
        <w:t>Veřejná zakázka</w:t>
      </w:r>
      <w:r w:rsidRPr="008F33CE">
        <w:t>"),</w:t>
      </w:r>
      <w:r w:rsidRPr="009125AD">
        <w:t xml:space="preserve"> zadávanou Objednatelem jako zadavatelem ve smyslu zák. č. 134/2016 Sb., o zadávání veřejných zakázek (dále jen „</w:t>
      </w:r>
      <w:r w:rsidRPr="008F33CE">
        <w:rPr>
          <w:b/>
        </w:rPr>
        <w:t>ZZVZ</w:t>
      </w:r>
      <w:r w:rsidRPr="009125AD">
        <w:t>“), neboť nabídka Poskytovatele podaná v rámci zadávacího řízení na</w:t>
      </w:r>
      <w:r w:rsidR="009125AD" w:rsidRPr="009125AD">
        <w:t> </w:t>
      </w:r>
      <w:r w:rsidRPr="009125AD">
        <w:t>veřejnou zakázku byla Objednatelem vyhodnocena jako ekonomicky nejvýhodnější.</w:t>
      </w:r>
    </w:p>
    <w:p w14:paraId="0B7493A8" w14:textId="77777777" w:rsidR="00847349" w:rsidRPr="00396255" w:rsidRDefault="00847349" w:rsidP="00541979">
      <w:pPr>
        <w:pStyle w:val="Nadpis1"/>
      </w:pPr>
      <w:r w:rsidRPr="009125AD">
        <w:t>Předmět</w:t>
      </w:r>
      <w:r w:rsidRPr="00396255">
        <w:t xml:space="preserve"> a Účel smlouvy</w:t>
      </w:r>
    </w:p>
    <w:p w14:paraId="12515AD7" w14:textId="3ABFDFD2" w:rsidR="00847349" w:rsidRPr="009125AD" w:rsidRDefault="00847349" w:rsidP="00DB6F5F">
      <w:pPr>
        <w:pStyle w:val="Nadpis2"/>
      </w:pPr>
      <w:r w:rsidRPr="009125AD">
        <w:t xml:space="preserve">Účelem </w:t>
      </w:r>
      <w:r w:rsidRPr="00DB6F5F">
        <w:t>této</w:t>
      </w:r>
      <w:r w:rsidRPr="009125AD">
        <w:t xml:space="preserve"> smlouvy je úprava vzájemných práv a povinností účastníků této smlouvy pro</w:t>
      </w:r>
      <w:r w:rsidR="009125AD" w:rsidRPr="009125AD">
        <w:t> </w:t>
      </w:r>
      <w:r w:rsidRPr="009125AD">
        <w:t>účely dodávek níže specifikovaných služeb uskutečňovaných ze strany Poskytovatele ve</w:t>
      </w:r>
      <w:r w:rsidR="009125AD" w:rsidRPr="009125AD">
        <w:t> </w:t>
      </w:r>
      <w:r w:rsidRPr="009125AD">
        <w:t xml:space="preserve">prospěch Objednatele vedoucích k zajištění služeb </w:t>
      </w:r>
      <w:r w:rsidR="00FA1446" w:rsidRPr="009125AD">
        <w:t>podpory provozu XML akcelerátorů IBM Datapower použitých v rámci provozních služeb Objednatele pro jeho koncové zákazníky (dále jen „</w:t>
      </w:r>
      <w:r w:rsidR="00FA1446" w:rsidRPr="00D849FE">
        <w:rPr>
          <w:b/>
        </w:rPr>
        <w:t>Služby</w:t>
      </w:r>
      <w:r w:rsidR="00FA1446" w:rsidRPr="009125AD">
        <w:t>“).</w:t>
      </w:r>
    </w:p>
    <w:p w14:paraId="5616B688" w14:textId="77777777" w:rsidR="00FA1446" w:rsidRPr="00FA1446" w:rsidRDefault="00FA1446" w:rsidP="00DB6F5F">
      <w:pPr>
        <w:pStyle w:val="Nadpis2"/>
      </w:pPr>
      <w:r w:rsidRPr="009125AD">
        <w:t>Služby</w:t>
      </w:r>
      <w:r w:rsidRPr="00FA1446">
        <w:t xml:space="preserve"> </w:t>
      </w:r>
      <w:r w:rsidR="00297AE0">
        <w:t xml:space="preserve">Poskytovatele </w:t>
      </w:r>
      <w:r w:rsidRPr="00FA1446">
        <w:t>se skládají ze dvou částí:</w:t>
      </w:r>
    </w:p>
    <w:p w14:paraId="406563BC" w14:textId="77777777" w:rsidR="00FA1446" w:rsidRPr="00DB6F5F" w:rsidRDefault="00FA1446" w:rsidP="00DB6F5F">
      <w:pPr>
        <w:pStyle w:val="Nadpis3"/>
      </w:pPr>
      <w:r w:rsidRPr="00DB6F5F">
        <w:t>Pohotovost pro řešení incidentů a závad pro závady kategorie A a B v režimu 7x24</w:t>
      </w:r>
      <w:r w:rsidR="00ED0B3D" w:rsidRPr="00DB6F5F">
        <w:t xml:space="preserve"> (dále jen „</w:t>
      </w:r>
      <w:r w:rsidR="00983B69" w:rsidRPr="00D849FE">
        <w:rPr>
          <w:b/>
        </w:rPr>
        <w:t>Nepřetržitá pohotovost</w:t>
      </w:r>
      <w:r w:rsidR="00983B69" w:rsidRPr="00DB6F5F">
        <w:t>“)</w:t>
      </w:r>
      <w:r w:rsidR="00297AE0" w:rsidRPr="00DB6F5F">
        <w:t>,</w:t>
      </w:r>
    </w:p>
    <w:p w14:paraId="0CB00575" w14:textId="0AD73470" w:rsidR="00FA1446" w:rsidRPr="00DB6F5F" w:rsidRDefault="00FA1446" w:rsidP="00DB6F5F">
      <w:pPr>
        <w:pStyle w:val="Nadpis3"/>
      </w:pPr>
      <w:r w:rsidRPr="00DB6F5F">
        <w:t xml:space="preserve">Služby řešení incidentů, závad a </w:t>
      </w:r>
      <w:r w:rsidR="00297AE0" w:rsidRPr="00DB6F5F">
        <w:t>požadavků v rozsahu 80 člověkohodin</w:t>
      </w:r>
      <w:r w:rsidR="00983B69" w:rsidRPr="00DB6F5F">
        <w:t xml:space="preserve"> měsíčně (dále jen „</w:t>
      </w:r>
      <w:r w:rsidR="002070C3" w:rsidRPr="00D849FE">
        <w:rPr>
          <w:b/>
        </w:rPr>
        <w:t>Prováděné činnosti</w:t>
      </w:r>
      <w:r w:rsidR="00983B69" w:rsidRPr="00DB6F5F">
        <w:t>“)</w:t>
      </w:r>
      <w:r w:rsidR="00297AE0" w:rsidRPr="00DB6F5F">
        <w:t>.</w:t>
      </w:r>
    </w:p>
    <w:p w14:paraId="57CE0B08" w14:textId="77777777" w:rsidR="00847349" w:rsidRPr="00FA1446" w:rsidRDefault="00C27942" w:rsidP="00DB6F5F">
      <w:pPr>
        <w:pStyle w:val="Nadpis2"/>
      </w:pPr>
      <w:r>
        <w:t xml:space="preserve">Podrobná specifikace </w:t>
      </w:r>
      <w:r w:rsidR="00ED0B3D">
        <w:t>poskytovaných služeb a rozsah s</w:t>
      </w:r>
      <w:r>
        <w:t xml:space="preserve">lužeb </w:t>
      </w:r>
      <w:r w:rsidR="00ED0B3D">
        <w:t xml:space="preserve">je uveden v </w:t>
      </w:r>
      <w:r w:rsidR="00ED0B3D" w:rsidRPr="009125AD">
        <w:rPr>
          <w:b/>
          <w:u w:val="single"/>
        </w:rPr>
        <w:t>příloze</w:t>
      </w:r>
      <w:r w:rsidR="00847349" w:rsidRPr="009125AD">
        <w:rPr>
          <w:b/>
          <w:u w:val="single"/>
        </w:rPr>
        <w:t xml:space="preserve"> č. 1</w:t>
      </w:r>
      <w:r w:rsidR="00847349" w:rsidRPr="00FA1446">
        <w:t xml:space="preserve"> této smlouvy, která je její nedílnou součástí. </w:t>
      </w:r>
    </w:p>
    <w:p w14:paraId="168A0E39" w14:textId="77777777" w:rsidR="00847349" w:rsidRPr="00FA1446" w:rsidRDefault="00847349" w:rsidP="00DB6F5F">
      <w:pPr>
        <w:pStyle w:val="Nadpis2"/>
      </w:pPr>
      <w:r w:rsidRPr="00FA1446">
        <w:t xml:space="preserve">Objednatel se zavazuje za </w:t>
      </w:r>
      <w:r w:rsidR="00297AE0">
        <w:t>poskytnuté Služby</w:t>
      </w:r>
      <w:r w:rsidRPr="00FA1446">
        <w:t xml:space="preserve"> zaplatit Poskytovateli v souladu se všemi podmínkami smlouvy sjednanou cenu dle smlouvy.</w:t>
      </w:r>
    </w:p>
    <w:p w14:paraId="49504BCA" w14:textId="77777777" w:rsidR="00847349" w:rsidRPr="00FA1446" w:rsidRDefault="00847349" w:rsidP="00541979">
      <w:pPr>
        <w:pStyle w:val="Nadpis1"/>
      </w:pPr>
      <w:r w:rsidRPr="00FA1446">
        <w:t xml:space="preserve">Doba a </w:t>
      </w:r>
      <w:r w:rsidRPr="009125AD">
        <w:t>místo</w:t>
      </w:r>
      <w:r w:rsidRPr="00FA1446">
        <w:t xml:space="preserve"> plnění</w:t>
      </w:r>
    </w:p>
    <w:p w14:paraId="28786F3B" w14:textId="0C2EC927" w:rsidR="00983B69" w:rsidRDefault="00847349" w:rsidP="00DB6F5F">
      <w:pPr>
        <w:pStyle w:val="Nadpis2"/>
      </w:pPr>
      <w:r w:rsidRPr="00FA1446">
        <w:t>Tato smlou</w:t>
      </w:r>
      <w:r w:rsidR="00983B69">
        <w:t>va se uzavírá na dobu určitou</w:t>
      </w:r>
      <w:r w:rsidR="00297AE0">
        <w:t>. Služba N</w:t>
      </w:r>
      <w:r w:rsidR="00983B69">
        <w:t>epřetržité pohoto</w:t>
      </w:r>
      <w:r w:rsidR="00E66648">
        <w:t>vosti bude poskytována v délce 24</w:t>
      </w:r>
      <w:r w:rsidR="00983B69">
        <w:t xml:space="preserve"> měsíců ode dne</w:t>
      </w:r>
      <w:r w:rsidR="009F28A7">
        <w:t xml:space="preserve"> účinnosti smlouvy.</w:t>
      </w:r>
      <w:r w:rsidR="002070C3">
        <w:t xml:space="preserve"> Prováděné činnosti</w:t>
      </w:r>
      <w:r w:rsidR="009F28A7">
        <w:t xml:space="preserve"> budou poskytovány na dobu do</w:t>
      </w:r>
      <w:r w:rsidR="009125AD">
        <w:t> </w:t>
      </w:r>
      <w:r w:rsidR="009F28A7">
        <w:t xml:space="preserve">vyčerpání </w:t>
      </w:r>
      <w:r w:rsidR="00983B69">
        <w:t>celkového maxim</w:t>
      </w:r>
      <w:r w:rsidR="00E66648">
        <w:t>álního limitu 96</w:t>
      </w:r>
      <w:r w:rsidR="00983B69">
        <w:t>0 člověkohodin</w:t>
      </w:r>
      <w:r w:rsidR="001A0ADC">
        <w:t>,</w:t>
      </w:r>
      <w:r w:rsidR="00E66648">
        <w:t xml:space="preserve"> nejdéle však 30</w:t>
      </w:r>
      <w:r w:rsidR="00DC5127">
        <w:t xml:space="preserve"> měsíců ode dne účinnosti smlouvy. </w:t>
      </w:r>
    </w:p>
    <w:p w14:paraId="2F500506" w14:textId="0B97D7B0" w:rsidR="005442C8" w:rsidRPr="00297AE0" w:rsidRDefault="009F28A7" w:rsidP="00DB6F5F">
      <w:pPr>
        <w:pStyle w:val="Nadpis2"/>
      </w:pPr>
      <w:r w:rsidRPr="009F28A7">
        <w:t>Místem plnění předmětu veř</w:t>
      </w:r>
      <w:r w:rsidR="00297AE0">
        <w:t>ejné zakázky bude sídlo Objednatele</w:t>
      </w:r>
      <w:r w:rsidRPr="009F28A7">
        <w:t xml:space="preserve">, tj. Státní pokladna Centrum sdílených služeb, s. p., Na Vápence 915/14, 130 00 Praha 3. Plnění je možné poskytovat i formou vzdáleného přístupu. </w:t>
      </w:r>
      <w:r w:rsidR="0030307B">
        <w:t>Objednatel se zavazuje zřídit vzdálený přístup ode dne účinnosti této Smlouvy.</w:t>
      </w:r>
    </w:p>
    <w:p w14:paraId="2BDD81CF" w14:textId="77777777" w:rsidR="00847349" w:rsidRPr="00FA1446" w:rsidRDefault="00847349" w:rsidP="00541979">
      <w:pPr>
        <w:pStyle w:val="Nadpis1"/>
      </w:pPr>
      <w:r w:rsidRPr="009125AD">
        <w:lastRenderedPageBreak/>
        <w:t>Cena</w:t>
      </w:r>
    </w:p>
    <w:p w14:paraId="6BC9B8BD" w14:textId="64AB6C4E" w:rsidR="00847349" w:rsidRDefault="00847349" w:rsidP="00DB6F5F">
      <w:pPr>
        <w:pStyle w:val="Nadpis2"/>
      </w:pPr>
      <w:r w:rsidRPr="00FA1446">
        <w:t>Cena plnění je složena z měsíční pau</w:t>
      </w:r>
      <w:r w:rsidR="009F28A7">
        <w:t>šální ceny za poskytování služ</w:t>
      </w:r>
      <w:r w:rsidR="00556EB4">
        <w:t>by Nepřetržité pohot</w:t>
      </w:r>
      <w:r w:rsidR="009F28A7">
        <w:t xml:space="preserve">ovosti a </w:t>
      </w:r>
      <w:r w:rsidR="00556EB4">
        <w:t xml:space="preserve">ceny za skutečně </w:t>
      </w:r>
      <w:r w:rsidR="00297AE0">
        <w:t xml:space="preserve">poskytnuté </w:t>
      </w:r>
      <w:r w:rsidR="002070C3">
        <w:t>Prováděné činnosti</w:t>
      </w:r>
      <w:r w:rsidR="00297AE0">
        <w:t xml:space="preserve"> v počtu odpracovaných člověkohodin</w:t>
      </w:r>
      <w:r w:rsidR="00556EB4">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
        <w:gridCol w:w="2832"/>
        <w:gridCol w:w="1843"/>
        <w:gridCol w:w="1887"/>
        <w:gridCol w:w="1962"/>
      </w:tblGrid>
      <w:tr w:rsidR="00750ADF" w:rsidRPr="009125AD" w14:paraId="7444F7DE" w14:textId="77777777" w:rsidTr="00750ADF">
        <w:trPr>
          <w:jc w:val="center"/>
        </w:trPr>
        <w:tc>
          <w:tcPr>
            <w:tcW w:w="594" w:type="dxa"/>
            <w:shd w:val="clear" w:color="000000" w:fill="D9D9D9"/>
            <w:noWrap/>
            <w:vAlign w:val="center"/>
            <w:hideMark/>
          </w:tcPr>
          <w:p w14:paraId="34C122FF" w14:textId="77777777" w:rsidR="009F28A7" w:rsidRPr="009125AD" w:rsidRDefault="009125AD" w:rsidP="00750ADF">
            <w:pPr>
              <w:spacing w:line="240" w:lineRule="auto"/>
              <w:jc w:val="center"/>
              <w:rPr>
                <w:b/>
                <w:lang w:eastAsia="cs-CZ"/>
              </w:rPr>
            </w:pPr>
            <w:r>
              <w:rPr>
                <w:b/>
                <w:lang w:eastAsia="cs-CZ"/>
              </w:rPr>
              <w:t>Ozn.</w:t>
            </w:r>
          </w:p>
        </w:tc>
        <w:tc>
          <w:tcPr>
            <w:tcW w:w="2832" w:type="dxa"/>
            <w:shd w:val="clear" w:color="000000" w:fill="D9D9D9"/>
            <w:noWrap/>
            <w:vAlign w:val="center"/>
            <w:hideMark/>
          </w:tcPr>
          <w:p w14:paraId="70685FAF" w14:textId="77777777" w:rsidR="009F28A7" w:rsidRPr="009125AD" w:rsidRDefault="009F28A7" w:rsidP="00750ADF">
            <w:pPr>
              <w:spacing w:line="240" w:lineRule="auto"/>
              <w:jc w:val="center"/>
              <w:rPr>
                <w:b/>
                <w:lang w:eastAsia="cs-CZ"/>
              </w:rPr>
            </w:pPr>
            <w:r w:rsidRPr="009125AD">
              <w:rPr>
                <w:b/>
                <w:lang w:eastAsia="cs-CZ"/>
              </w:rPr>
              <w:t>Název</w:t>
            </w:r>
          </w:p>
        </w:tc>
        <w:tc>
          <w:tcPr>
            <w:tcW w:w="1843" w:type="dxa"/>
            <w:shd w:val="clear" w:color="000000" w:fill="D9D9D9"/>
            <w:noWrap/>
            <w:vAlign w:val="center"/>
            <w:hideMark/>
          </w:tcPr>
          <w:p w14:paraId="6F2BAE9D" w14:textId="77777777" w:rsidR="009F28A7" w:rsidRPr="009125AD" w:rsidRDefault="009F28A7" w:rsidP="00750ADF">
            <w:pPr>
              <w:spacing w:line="240" w:lineRule="auto"/>
              <w:jc w:val="center"/>
              <w:rPr>
                <w:b/>
                <w:lang w:eastAsia="cs-CZ"/>
              </w:rPr>
            </w:pPr>
            <w:r w:rsidRPr="009125AD">
              <w:rPr>
                <w:b/>
                <w:lang w:eastAsia="cs-CZ"/>
              </w:rPr>
              <w:t>Počet</w:t>
            </w:r>
          </w:p>
        </w:tc>
        <w:tc>
          <w:tcPr>
            <w:tcW w:w="1843" w:type="dxa"/>
            <w:shd w:val="clear" w:color="000000" w:fill="D9D9D9"/>
            <w:vAlign w:val="center"/>
          </w:tcPr>
          <w:p w14:paraId="79D6A88E" w14:textId="77777777" w:rsidR="005442C8" w:rsidRPr="009125AD" w:rsidRDefault="005442C8" w:rsidP="00750ADF">
            <w:pPr>
              <w:spacing w:line="240" w:lineRule="auto"/>
              <w:jc w:val="center"/>
              <w:rPr>
                <w:b/>
                <w:lang w:eastAsia="cs-CZ"/>
              </w:rPr>
            </w:pPr>
            <w:r w:rsidRPr="009125AD">
              <w:rPr>
                <w:b/>
                <w:lang w:eastAsia="cs-CZ"/>
              </w:rPr>
              <w:t xml:space="preserve">Jednotková </w:t>
            </w:r>
            <w:r w:rsidR="009F28A7" w:rsidRPr="009125AD">
              <w:rPr>
                <w:b/>
                <w:lang w:eastAsia="cs-CZ"/>
              </w:rPr>
              <w:t>cena</w:t>
            </w:r>
          </w:p>
          <w:p w14:paraId="3B0D429A" w14:textId="77777777" w:rsidR="009F28A7" w:rsidRPr="009125AD" w:rsidRDefault="009F28A7" w:rsidP="00750ADF">
            <w:pPr>
              <w:spacing w:line="240" w:lineRule="auto"/>
              <w:jc w:val="center"/>
              <w:rPr>
                <w:b/>
                <w:lang w:eastAsia="cs-CZ"/>
              </w:rPr>
            </w:pPr>
            <w:r w:rsidRPr="009125AD">
              <w:rPr>
                <w:b/>
                <w:lang w:eastAsia="cs-CZ"/>
              </w:rPr>
              <w:t>v Kč bez DPH</w:t>
            </w:r>
          </w:p>
          <w:p w14:paraId="06C0E0E5" w14:textId="77777777" w:rsidR="009125AD" w:rsidRDefault="005442C8" w:rsidP="00750ADF">
            <w:pPr>
              <w:spacing w:line="240" w:lineRule="auto"/>
              <w:jc w:val="center"/>
              <w:rPr>
                <w:b/>
                <w:lang w:eastAsia="cs-CZ"/>
              </w:rPr>
            </w:pPr>
            <w:r w:rsidRPr="009125AD">
              <w:rPr>
                <w:b/>
                <w:lang w:eastAsia="cs-CZ"/>
              </w:rPr>
              <w:t>(</w:t>
            </w:r>
            <w:r w:rsidR="00297AE0" w:rsidRPr="009125AD">
              <w:rPr>
                <w:b/>
                <w:lang w:eastAsia="cs-CZ"/>
              </w:rPr>
              <w:t>1</w:t>
            </w:r>
            <w:r w:rsidR="009125AD">
              <w:rPr>
                <w:b/>
                <w:lang w:eastAsia="cs-CZ"/>
              </w:rPr>
              <w:t> </w:t>
            </w:r>
            <w:r w:rsidRPr="009125AD">
              <w:rPr>
                <w:b/>
                <w:lang w:eastAsia="cs-CZ"/>
              </w:rPr>
              <w:t>měsíc/</w:t>
            </w:r>
          </w:p>
          <w:p w14:paraId="30806797" w14:textId="17660D38" w:rsidR="005442C8" w:rsidRPr="009125AD" w:rsidRDefault="00297AE0" w:rsidP="00750ADF">
            <w:pPr>
              <w:spacing w:line="240" w:lineRule="auto"/>
              <w:jc w:val="center"/>
              <w:rPr>
                <w:b/>
                <w:lang w:eastAsia="cs-CZ"/>
              </w:rPr>
            </w:pPr>
            <w:r w:rsidRPr="009125AD">
              <w:rPr>
                <w:b/>
                <w:lang w:eastAsia="cs-CZ"/>
              </w:rPr>
              <w:t>1</w:t>
            </w:r>
            <w:r w:rsidR="009125AD">
              <w:rPr>
                <w:b/>
                <w:lang w:eastAsia="cs-CZ"/>
              </w:rPr>
              <w:t> člověkohodin</w:t>
            </w:r>
            <w:r w:rsidR="00C0614F">
              <w:rPr>
                <w:b/>
                <w:lang w:eastAsia="cs-CZ"/>
              </w:rPr>
              <w:t>a</w:t>
            </w:r>
            <w:r w:rsidR="005442C8" w:rsidRPr="009125AD">
              <w:rPr>
                <w:b/>
                <w:lang w:eastAsia="cs-CZ"/>
              </w:rPr>
              <w:t>)</w:t>
            </w:r>
          </w:p>
        </w:tc>
        <w:tc>
          <w:tcPr>
            <w:tcW w:w="2008" w:type="dxa"/>
            <w:shd w:val="clear" w:color="000000" w:fill="D9D9D9"/>
            <w:vAlign w:val="center"/>
          </w:tcPr>
          <w:p w14:paraId="4912E0C0" w14:textId="77777777" w:rsidR="009F28A7" w:rsidRPr="009125AD" w:rsidRDefault="009125AD" w:rsidP="00750ADF">
            <w:pPr>
              <w:spacing w:line="240" w:lineRule="auto"/>
              <w:jc w:val="center"/>
              <w:rPr>
                <w:b/>
                <w:lang w:eastAsia="cs-CZ"/>
              </w:rPr>
            </w:pPr>
            <w:r w:rsidRPr="009125AD">
              <w:rPr>
                <w:b/>
                <w:lang w:eastAsia="cs-CZ"/>
              </w:rPr>
              <w:t>Celková cena</w:t>
            </w:r>
            <w:r w:rsidR="009F28A7" w:rsidRPr="009125AD">
              <w:rPr>
                <w:b/>
                <w:lang w:eastAsia="cs-CZ"/>
              </w:rPr>
              <w:t xml:space="preserve"> v Kč bez DPH</w:t>
            </w:r>
          </w:p>
        </w:tc>
      </w:tr>
      <w:tr w:rsidR="00750ADF" w:rsidRPr="009F28A7" w14:paraId="34F81566" w14:textId="77777777" w:rsidTr="00750ADF">
        <w:trPr>
          <w:jc w:val="center"/>
        </w:trPr>
        <w:tc>
          <w:tcPr>
            <w:tcW w:w="594" w:type="dxa"/>
            <w:shd w:val="clear" w:color="auto" w:fill="auto"/>
            <w:noWrap/>
            <w:vAlign w:val="center"/>
            <w:hideMark/>
          </w:tcPr>
          <w:p w14:paraId="14E602DA" w14:textId="77777777" w:rsidR="009F28A7" w:rsidRPr="009F28A7" w:rsidRDefault="009F28A7" w:rsidP="00750ADF">
            <w:pPr>
              <w:spacing w:line="240" w:lineRule="auto"/>
              <w:jc w:val="center"/>
            </w:pPr>
            <w:r w:rsidRPr="009F28A7">
              <w:t>1</w:t>
            </w:r>
          </w:p>
        </w:tc>
        <w:tc>
          <w:tcPr>
            <w:tcW w:w="2832" w:type="dxa"/>
            <w:shd w:val="clear" w:color="auto" w:fill="auto"/>
            <w:noWrap/>
            <w:vAlign w:val="center"/>
            <w:hideMark/>
          </w:tcPr>
          <w:p w14:paraId="57081AC5" w14:textId="314CDB06" w:rsidR="009F28A7" w:rsidRPr="009F28A7" w:rsidRDefault="005442C8" w:rsidP="00750ADF">
            <w:pPr>
              <w:spacing w:line="240" w:lineRule="auto"/>
              <w:jc w:val="left"/>
            </w:pPr>
            <w:r w:rsidRPr="005442C8">
              <w:t>Nepřetržitá p</w:t>
            </w:r>
            <w:r w:rsidR="009F28A7" w:rsidRPr="009F28A7">
              <w:t>ohotovost</w:t>
            </w:r>
            <w:r w:rsidRPr="005442C8">
              <w:t xml:space="preserve"> </w:t>
            </w:r>
            <w:r w:rsidR="001D0D1A">
              <w:t>7x24</w:t>
            </w:r>
          </w:p>
        </w:tc>
        <w:tc>
          <w:tcPr>
            <w:tcW w:w="1843" w:type="dxa"/>
            <w:shd w:val="clear" w:color="auto" w:fill="auto"/>
            <w:noWrap/>
            <w:vAlign w:val="center"/>
            <w:hideMark/>
          </w:tcPr>
          <w:p w14:paraId="6CF7CC88" w14:textId="4D67A988" w:rsidR="009F28A7" w:rsidRPr="009F28A7" w:rsidRDefault="00116477" w:rsidP="00750ADF">
            <w:pPr>
              <w:spacing w:line="240" w:lineRule="auto"/>
              <w:jc w:val="center"/>
              <w:rPr>
                <w:lang w:eastAsia="cs-CZ"/>
              </w:rPr>
            </w:pPr>
            <w:r>
              <w:rPr>
                <w:lang w:eastAsia="cs-CZ"/>
              </w:rPr>
              <w:t>24</w:t>
            </w:r>
            <w:r w:rsidR="009F28A7" w:rsidRPr="009F28A7">
              <w:rPr>
                <w:lang w:eastAsia="cs-CZ"/>
              </w:rPr>
              <w:t xml:space="preserve"> měsíců</w:t>
            </w:r>
          </w:p>
        </w:tc>
        <w:tc>
          <w:tcPr>
            <w:tcW w:w="1843" w:type="dxa"/>
            <w:shd w:val="clear" w:color="auto" w:fill="auto"/>
            <w:noWrap/>
            <w:vAlign w:val="center"/>
          </w:tcPr>
          <w:p w14:paraId="796E7CDB" w14:textId="342E38C9" w:rsidR="009F28A7" w:rsidRPr="009F28A7" w:rsidRDefault="009F28A7" w:rsidP="00750ADF">
            <w:pPr>
              <w:spacing w:line="240" w:lineRule="auto"/>
              <w:jc w:val="center"/>
              <w:rPr>
                <w:highlight w:val="yellow"/>
                <w:lang w:eastAsia="cs-CZ"/>
              </w:rPr>
            </w:pPr>
            <w:r w:rsidRPr="009F28A7">
              <w:rPr>
                <w:highlight w:val="yellow"/>
                <w:lang w:eastAsia="cs-CZ"/>
              </w:rPr>
              <w:t xml:space="preserve">[doplní </w:t>
            </w:r>
            <w:r w:rsidR="008F33CE">
              <w:rPr>
                <w:highlight w:val="yellow"/>
                <w:lang w:eastAsia="cs-CZ"/>
              </w:rPr>
              <w:t>dodavatel</w:t>
            </w:r>
            <w:r w:rsidRPr="009F28A7">
              <w:rPr>
                <w:highlight w:val="yellow"/>
                <w:lang w:eastAsia="cs-CZ"/>
              </w:rPr>
              <w:t>]</w:t>
            </w:r>
          </w:p>
        </w:tc>
        <w:tc>
          <w:tcPr>
            <w:tcW w:w="2008" w:type="dxa"/>
            <w:vAlign w:val="center"/>
          </w:tcPr>
          <w:p w14:paraId="1EB8DCB7" w14:textId="6C45380E" w:rsidR="009F28A7" w:rsidRPr="009F28A7" w:rsidRDefault="009F28A7" w:rsidP="00750ADF">
            <w:pPr>
              <w:spacing w:line="240" w:lineRule="auto"/>
              <w:jc w:val="center"/>
              <w:rPr>
                <w:highlight w:val="yellow"/>
              </w:rPr>
            </w:pPr>
            <w:r w:rsidRPr="009F28A7">
              <w:rPr>
                <w:highlight w:val="yellow"/>
                <w:lang w:eastAsia="cs-CZ"/>
              </w:rPr>
              <w:t xml:space="preserve">[doplní </w:t>
            </w:r>
            <w:r w:rsidR="008F33CE">
              <w:rPr>
                <w:highlight w:val="yellow"/>
                <w:lang w:eastAsia="cs-CZ"/>
              </w:rPr>
              <w:t>dodavatel</w:t>
            </w:r>
            <w:r w:rsidRPr="009F28A7">
              <w:rPr>
                <w:highlight w:val="yellow"/>
                <w:lang w:eastAsia="cs-CZ"/>
              </w:rPr>
              <w:t>]</w:t>
            </w:r>
          </w:p>
        </w:tc>
      </w:tr>
      <w:tr w:rsidR="00750ADF" w:rsidRPr="009F28A7" w14:paraId="6842D6A1" w14:textId="77777777" w:rsidTr="00750ADF">
        <w:trPr>
          <w:jc w:val="center"/>
        </w:trPr>
        <w:tc>
          <w:tcPr>
            <w:tcW w:w="594" w:type="dxa"/>
            <w:shd w:val="clear" w:color="auto" w:fill="auto"/>
            <w:noWrap/>
            <w:vAlign w:val="center"/>
          </w:tcPr>
          <w:p w14:paraId="2C59B762" w14:textId="77777777" w:rsidR="009F28A7" w:rsidRPr="009F28A7" w:rsidRDefault="009F28A7" w:rsidP="00750ADF">
            <w:pPr>
              <w:spacing w:line="240" w:lineRule="auto"/>
              <w:jc w:val="center"/>
            </w:pPr>
            <w:r w:rsidRPr="009F28A7">
              <w:t>2</w:t>
            </w:r>
          </w:p>
        </w:tc>
        <w:tc>
          <w:tcPr>
            <w:tcW w:w="2832" w:type="dxa"/>
            <w:shd w:val="clear" w:color="auto" w:fill="auto"/>
            <w:noWrap/>
            <w:vAlign w:val="center"/>
          </w:tcPr>
          <w:p w14:paraId="08DCEF77" w14:textId="0D59770A" w:rsidR="009F28A7" w:rsidRPr="009F28A7" w:rsidRDefault="002070C3" w:rsidP="00750ADF">
            <w:pPr>
              <w:spacing w:line="240" w:lineRule="auto"/>
              <w:jc w:val="left"/>
              <w:rPr>
                <w:color w:val="000000"/>
              </w:rPr>
            </w:pPr>
            <w:r>
              <w:t>Prováděné činnosti</w:t>
            </w:r>
            <w:r w:rsidR="009F28A7" w:rsidRPr="009F28A7">
              <w:t xml:space="preserve"> </w:t>
            </w:r>
            <w:r w:rsidR="005442C8">
              <w:t>-</w:t>
            </w:r>
            <w:r w:rsidR="00047F01">
              <w:t xml:space="preserve"> </w:t>
            </w:r>
            <w:r w:rsidR="009F28A7" w:rsidRPr="009F28A7">
              <w:t>řešení incidentů, závad a požadavků</w:t>
            </w:r>
          </w:p>
        </w:tc>
        <w:tc>
          <w:tcPr>
            <w:tcW w:w="1843" w:type="dxa"/>
            <w:shd w:val="clear" w:color="auto" w:fill="auto"/>
            <w:noWrap/>
            <w:vAlign w:val="center"/>
          </w:tcPr>
          <w:p w14:paraId="1EDB58F0" w14:textId="1CDFB826" w:rsidR="009F28A7" w:rsidRPr="009F28A7" w:rsidRDefault="00116477" w:rsidP="00750ADF">
            <w:pPr>
              <w:spacing w:line="240" w:lineRule="auto"/>
              <w:jc w:val="center"/>
              <w:rPr>
                <w:lang w:eastAsia="cs-CZ"/>
              </w:rPr>
            </w:pPr>
            <w:r>
              <w:rPr>
                <w:lang w:eastAsia="cs-CZ"/>
              </w:rPr>
              <w:t>960</w:t>
            </w:r>
            <w:r w:rsidR="009F28A7" w:rsidRPr="009F28A7">
              <w:rPr>
                <w:lang w:eastAsia="cs-CZ"/>
              </w:rPr>
              <w:t xml:space="preserve"> člověkohodin</w:t>
            </w:r>
          </w:p>
        </w:tc>
        <w:tc>
          <w:tcPr>
            <w:tcW w:w="1843" w:type="dxa"/>
            <w:shd w:val="clear" w:color="auto" w:fill="auto"/>
            <w:noWrap/>
            <w:vAlign w:val="center"/>
          </w:tcPr>
          <w:p w14:paraId="5FEFA536" w14:textId="36846467" w:rsidR="009F28A7" w:rsidRPr="009F28A7" w:rsidRDefault="009F28A7" w:rsidP="00750ADF">
            <w:pPr>
              <w:spacing w:line="240" w:lineRule="auto"/>
              <w:jc w:val="center"/>
              <w:rPr>
                <w:highlight w:val="yellow"/>
                <w:lang w:eastAsia="cs-CZ"/>
              </w:rPr>
            </w:pPr>
            <w:r w:rsidRPr="009F28A7">
              <w:rPr>
                <w:highlight w:val="yellow"/>
                <w:lang w:eastAsia="cs-CZ"/>
              </w:rPr>
              <w:t xml:space="preserve">[doplní </w:t>
            </w:r>
            <w:r w:rsidR="008F33CE">
              <w:rPr>
                <w:highlight w:val="yellow"/>
                <w:lang w:eastAsia="cs-CZ"/>
              </w:rPr>
              <w:t>dodavatel</w:t>
            </w:r>
            <w:r w:rsidRPr="009F28A7">
              <w:rPr>
                <w:highlight w:val="yellow"/>
                <w:lang w:eastAsia="cs-CZ"/>
              </w:rPr>
              <w:t>]</w:t>
            </w:r>
          </w:p>
        </w:tc>
        <w:tc>
          <w:tcPr>
            <w:tcW w:w="2008" w:type="dxa"/>
            <w:vAlign w:val="center"/>
          </w:tcPr>
          <w:p w14:paraId="07A1E109" w14:textId="100C8BE0" w:rsidR="009F28A7" w:rsidRPr="009F28A7" w:rsidRDefault="009F28A7" w:rsidP="00750ADF">
            <w:pPr>
              <w:spacing w:line="240" w:lineRule="auto"/>
              <w:jc w:val="center"/>
              <w:rPr>
                <w:highlight w:val="yellow"/>
                <w:lang w:eastAsia="cs-CZ"/>
              </w:rPr>
            </w:pPr>
            <w:r w:rsidRPr="009F28A7">
              <w:rPr>
                <w:highlight w:val="yellow"/>
                <w:lang w:eastAsia="cs-CZ"/>
              </w:rPr>
              <w:t xml:space="preserve">[doplní </w:t>
            </w:r>
            <w:r w:rsidR="008F33CE">
              <w:rPr>
                <w:highlight w:val="yellow"/>
                <w:lang w:eastAsia="cs-CZ"/>
              </w:rPr>
              <w:t>dodavatel</w:t>
            </w:r>
            <w:r w:rsidRPr="009F28A7">
              <w:rPr>
                <w:highlight w:val="yellow"/>
                <w:lang w:eastAsia="cs-CZ"/>
              </w:rPr>
              <w:t>]</w:t>
            </w:r>
          </w:p>
        </w:tc>
      </w:tr>
      <w:tr w:rsidR="009F28A7" w:rsidRPr="009125AD" w14:paraId="00CB4736" w14:textId="77777777" w:rsidTr="00750ADF">
        <w:trPr>
          <w:jc w:val="center"/>
        </w:trPr>
        <w:tc>
          <w:tcPr>
            <w:tcW w:w="7112" w:type="dxa"/>
            <w:gridSpan w:val="4"/>
            <w:shd w:val="clear" w:color="auto" w:fill="D9D9D9" w:themeFill="background1" w:themeFillShade="D9"/>
            <w:noWrap/>
            <w:vAlign w:val="center"/>
          </w:tcPr>
          <w:p w14:paraId="6730DFD0" w14:textId="77777777" w:rsidR="009F28A7" w:rsidRPr="009125AD" w:rsidRDefault="005442C8" w:rsidP="00750ADF">
            <w:pPr>
              <w:spacing w:line="240" w:lineRule="auto"/>
              <w:rPr>
                <w:b/>
                <w:lang w:eastAsia="cs-CZ"/>
              </w:rPr>
            </w:pPr>
            <w:r w:rsidRPr="009125AD">
              <w:rPr>
                <w:b/>
                <w:lang w:eastAsia="cs-CZ"/>
              </w:rPr>
              <w:t xml:space="preserve">Celková cena </w:t>
            </w:r>
            <w:r w:rsidR="009F28A7" w:rsidRPr="009125AD">
              <w:rPr>
                <w:b/>
                <w:lang w:eastAsia="cs-CZ"/>
              </w:rPr>
              <w:t>v Kč bez DPH</w:t>
            </w:r>
          </w:p>
        </w:tc>
        <w:tc>
          <w:tcPr>
            <w:tcW w:w="2008" w:type="dxa"/>
            <w:vAlign w:val="center"/>
          </w:tcPr>
          <w:p w14:paraId="59071C08" w14:textId="4C5EDCA7" w:rsidR="009F28A7" w:rsidRPr="009125AD" w:rsidRDefault="009F28A7" w:rsidP="00750ADF">
            <w:pPr>
              <w:spacing w:line="240" w:lineRule="auto"/>
              <w:jc w:val="center"/>
              <w:rPr>
                <w:b/>
                <w:lang w:eastAsia="cs-CZ"/>
              </w:rPr>
            </w:pPr>
            <w:r w:rsidRPr="009125AD">
              <w:rPr>
                <w:b/>
                <w:lang w:eastAsia="cs-CZ"/>
              </w:rPr>
              <w:t>[</w:t>
            </w:r>
            <w:r w:rsidRPr="009125AD">
              <w:rPr>
                <w:b/>
                <w:highlight w:val="yellow"/>
                <w:lang w:eastAsia="cs-CZ"/>
              </w:rPr>
              <w:t xml:space="preserve">doplní </w:t>
            </w:r>
            <w:r w:rsidR="008F33CE">
              <w:rPr>
                <w:b/>
                <w:highlight w:val="yellow"/>
                <w:lang w:eastAsia="cs-CZ"/>
              </w:rPr>
              <w:t>dodavatel</w:t>
            </w:r>
            <w:r w:rsidRPr="009125AD">
              <w:rPr>
                <w:b/>
                <w:highlight w:val="yellow"/>
                <w:lang w:eastAsia="cs-CZ"/>
              </w:rPr>
              <w:t>]</w:t>
            </w:r>
          </w:p>
        </w:tc>
      </w:tr>
    </w:tbl>
    <w:p w14:paraId="1177901A" w14:textId="77777777" w:rsidR="009F28A7" w:rsidRPr="00FA1446" w:rsidRDefault="009F28A7" w:rsidP="009125AD"/>
    <w:p w14:paraId="32DFF2BD" w14:textId="77777777" w:rsidR="00847349" w:rsidRPr="00FA1446" w:rsidRDefault="00297AE0" w:rsidP="00DB6F5F">
      <w:pPr>
        <w:pStyle w:val="Nadpis2"/>
      </w:pPr>
      <w:r>
        <w:t>Ceny zahrnují</w:t>
      </w:r>
      <w:r w:rsidR="00847349" w:rsidRPr="00FA1446">
        <w:t xml:space="preserve"> veškeré náklady, které Poskytovateli v souvislosti s plněním jeho závazků ze</w:t>
      </w:r>
      <w:r w:rsidR="00750ADF">
        <w:t> </w:t>
      </w:r>
      <w:r w:rsidR="00847349" w:rsidRPr="00FA1446">
        <w:t>sml</w:t>
      </w:r>
      <w:r>
        <w:t xml:space="preserve">ouvy vznikly nebo vzniknou. Cena </w:t>
      </w:r>
      <w:r w:rsidR="00847349" w:rsidRPr="00FA1446">
        <w:t>je stanovena jako cena konečná, pevná a</w:t>
      </w:r>
      <w:r w:rsidR="00750ADF">
        <w:t> </w:t>
      </w:r>
      <w:r w:rsidR="00847349" w:rsidRPr="00FA1446">
        <w:t xml:space="preserve">nepřekročitelná. </w:t>
      </w:r>
    </w:p>
    <w:p w14:paraId="547011F7" w14:textId="77777777" w:rsidR="005442C8" w:rsidRPr="005442C8" w:rsidRDefault="005442C8" w:rsidP="00DB6F5F">
      <w:pPr>
        <w:pStyle w:val="Nadpis2"/>
      </w:pPr>
      <w:r w:rsidRPr="005442C8">
        <w:t>Cena nezahrnuje DPH. Režim DPH bude uplatněn souladu se zákonem č. 235/2004 Sb., o</w:t>
      </w:r>
      <w:r w:rsidR="00750ADF">
        <w:t> </w:t>
      </w:r>
      <w:r w:rsidRPr="005442C8">
        <w:t>DPH, v platném znění (dále jen „</w:t>
      </w:r>
      <w:r w:rsidRPr="009125AD">
        <w:rPr>
          <w:b/>
        </w:rPr>
        <w:t>ZDPH</w:t>
      </w:r>
      <w:r w:rsidRPr="005442C8">
        <w:t>“).</w:t>
      </w:r>
    </w:p>
    <w:p w14:paraId="6A6E15FE" w14:textId="77777777" w:rsidR="00847349" w:rsidRPr="00FA1446" w:rsidRDefault="00847349" w:rsidP="00541979">
      <w:pPr>
        <w:pStyle w:val="Nadpis1"/>
      </w:pPr>
      <w:r w:rsidRPr="00FA1446">
        <w:t xml:space="preserve">Platební </w:t>
      </w:r>
      <w:r w:rsidRPr="00750ADF">
        <w:t>podmínky</w:t>
      </w:r>
    </w:p>
    <w:p w14:paraId="1C4EB0F4" w14:textId="77777777" w:rsidR="00556EB4" w:rsidRDefault="00D53014" w:rsidP="00DB6F5F">
      <w:pPr>
        <w:pStyle w:val="Nadpis2"/>
        <w:rPr>
          <w:lang w:eastAsia="cs-CZ"/>
        </w:rPr>
      </w:pPr>
      <w:r>
        <w:rPr>
          <w:lang w:eastAsia="cs-CZ"/>
        </w:rPr>
        <w:t>Fakturace bude probíhat měsíčně</w:t>
      </w:r>
      <w:r w:rsidR="00556EB4" w:rsidRPr="00556EB4">
        <w:rPr>
          <w:lang w:eastAsia="cs-CZ"/>
        </w:rPr>
        <w:t xml:space="preserve"> na základě Objednatelem schválené Měsíční zprávy o</w:t>
      </w:r>
      <w:r w:rsidR="00750ADF">
        <w:rPr>
          <w:lang w:eastAsia="cs-CZ"/>
        </w:rPr>
        <w:t> </w:t>
      </w:r>
      <w:r w:rsidR="00556EB4" w:rsidRPr="00556EB4">
        <w:rPr>
          <w:lang w:eastAsia="cs-CZ"/>
        </w:rPr>
        <w:t>rozsahu a kvalitě poskytované služby</w:t>
      </w:r>
      <w:r>
        <w:rPr>
          <w:lang w:eastAsia="cs-CZ"/>
        </w:rPr>
        <w:t xml:space="preserve"> prostřednictvím Akceptačního protokolu.</w:t>
      </w:r>
    </w:p>
    <w:p w14:paraId="11E747E7" w14:textId="77777777" w:rsidR="005442C8" w:rsidRPr="00D53014" w:rsidRDefault="005442C8" w:rsidP="00DB6F5F">
      <w:pPr>
        <w:pStyle w:val="Nadpis2"/>
        <w:rPr>
          <w:lang w:eastAsia="cs-CZ"/>
        </w:rPr>
      </w:pPr>
      <w:r w:rsidRPr="00556EB4">
        <w:rPr>
          <w:lang w:eastAsia="cs-CZ"/>
        </w:rPr>
        <w:t xml:space="preserve">Cenu </w:t>
      </w:r>
      <w:r w:rsidR="00D53014">
        <w:rPr>
          <w:lang w:eastAsia="cs-CZ"/>
        </w:rPr>
        <w:t>se Objednatel zavazuje uhradit Poskytovate</w:t>
      </w:r>
      <w:r w:rsidRPr="00556EB4">
        <w:rPr>
          <w:lang w:eastAsia="cs-CZ"/>
        </w:rPr>
        <w:t>li bezhotovostním převodem na účet, na</w:t>
      </w:r>
      <w:r w:rsidR="00750ADF">
        <w:rPr>
          <w:lang w:eastAsia="cs-CZ"/>
        </w:rPr>
        <w:t> </w:t>
      </w:r>
      <w:r w:rsidRPr="00556EB4">
        <w:rPr>
          <w:lang w:eastAsia="cs-CZ"/>
        </w:rPr>
        <w:t xml:space="preserve">základě faktury – řádného </w:t>
      </w:r>
      <w:r w:rsidRPr="00D53014">
        <w:rPr>
          <w:lang w:eastAsia="cs-CZ"/>
        </w:rPr>
        <w:t xml:space="preserve">daňového dokladu, který je </w:t>
      </w:r>
      <w:r w:rsidR="00D53014" w:rsidRPr="00D53014">
        <w:rPr>
          <w:lang w:eastAsia="cs-CZ"/>
        </w:rPr>
        <w:t>Poskytovatel</w:t>
      </w:r>
      <w:r w:rsidRPr="00D53014">
        <w:rPr>
          <w:lang w:eastAsia="cs-CZ"/>
        </w:rPr>
        <w:t xml:space="preserve"> povinen vystavit nejpozději do 30 dnů od data podpisu Akceptačního protokolu</w:t>
      </w:r>
      <w:r w:rsidR="00D53014" w:rsidRPr="00D53014">
        <w:rPr>
          <w:lang w:eastAsia="cs-CZ"/>
        </w:rPr>
        <w:t>.</w:t>
      </w:r>
      <w:r w:rsidRPr="00D53014">
        <w:rPr>
          <w:lang w:eastAsia="cs-CZ"/>
        </w:rPr>
        <w:t xml:space="preserve"> </w:t>
      </w:r>
    </w:p>
    <w:p w14:paraId="70BE126D" w14:textId="77777777" w:rsidR="005442C8" w:rsidRPr="005442C8" w:rsidRDefault="005442C8" w:rsidP="00DB6F5F">
      <w:pPr>
        <w:pStyle w:val="Nadpis2"/>
        <w:rPr>
          <w:lang w:eastAsia="cs-CZ"/>
        </w:rPr>
      </w:pPr>
      <w:r w:rsidRPr="005442C8">
        <w:rPr>
          <w:lang w:eastAsia="cs-CZ"/>
        </w:rPr>
        <w:t xml:space="preserve">Veškeré platby budou prováděny na základě vystavené faktury, kterou se </w:t>
      </w:r>
      <w:r w:rsidR="00D53014">
        <w:rPr>
          <w:lang w:eastAsia="cs-CZ"/>
        </w:rPr>
        <w:t>Poskytovatel</w:t>
      </w:r>
      <w:r w:rsidRPr="005442C8">
        <w:rPr>
          <w:lang w:eastAsia="cs-CZ"/>
        </w:rPr>
        <w:t xml:space="preserve"> zavazuje odeslat Objednateli, a to elektronicky na e-mailovou adresu: epodatelna@spcss.cz nebo prostřednictvím datové schránky Objednatele. Faktura musí mít náležitosti účetního a</w:t>
      </w:r>
      <w:r w:rsidR="00750ADF">
        <w:rPr>
          <w:lang w:eastAsia="cs-CZ"/>
        </w:rPr>
        <w:t> </w:t>
      </w:r>
      <w:r w:rsidRPr="005442C8">
        <w:rPr>
          <w:lang w:eastAsia="cs-CZ"/>
        </w:rPr>
        <w:t>daňového dokladu a musí obsahovat zejména náležitosti stanovené v ustanovení § 29 ZDPH a v ustanovení § 435 Občanského zákoníku, číslo účtu, na který má být platba provedena a registrační číslo této smlouv</w:t>
      </w:r>
      <w:r w:rsidR="00D53014">
        <w:rPr>
          <w:lang w:eastAsia="cs-CZ"/>
        </w:rPr>
        <w:t>y a potvrzený Akceptační protokol</w:t>
      </w:r>
      <w:r w:rsidRPr="005442C8">
        <w:rPr>
          <w:lang w:eastAsia="cs-CZ"/>
        </w:rPr>
        <w:t xml:space="preserve">, jinak je Objednatel oprávněn vrátit </w:t>
      </w:r>
      <w:r w:rsidR="00D53014">
        <w:rPr>
          <w:lang w:eastAsia="cs-CZ"/>
        </w:rPr>
        <w:t>Poskytovateli</w:t>
      </w:r>
      <w:r w:rsidRPr="005442C8">
        <w:rPr>
          <w:lang w:eastAsia="cs-CZ"/>
        </w:rPr>
        <w:t xml:space="preserve"> fakturu k opravě či doplnění, přičemž do doručení opravené faktury neběží lhůta splatnosti. Splatnost faktur je 30 dní ode dne doručení faktury Objednateli. </w:t>
      </w:r>
    </w:p>
    <w:p w14:paraId="46D5D190" w14:textId="77777777" w:rsidR="005442C8" w:rsidRPr="005442C8" w:rsidRDefault="005442C8" w:rsidP="00DB6F5F">
      <w:pPr>
        <w:pStyle w:val="Nadpis2"/>
        <w:rPr>
          <w:lang w:eastAsia="cs-CZ"/>
        </w:rPr>
      </w:pPr>
      <w:r w:rsidRPr="005442C8">
        <w:rPr>
          <w:lang w:eastAsia="cs-CZ"/>
        </w:rPr>
        <w:t>Objednatel neposkytuje zálohy.</w:t>
      </w:r>
    </w:p>
    <w:p w14:paraId="13D565CB" w14:textId="77777777" w:rsidR="005442C8" w:rsidRPr="005442C8" w:rsidRDefault="00D53014" w:rsidP="00DB6F5F">
      <w:pPr>
        <w:pStyle w:val="Nadpis2"/>
        <w:rPr>
          <w:lang w:eastAsia="cs-CZ"/>
        </w:rPr>
      </w:pPr>
      <w:r>
        <w:rPr>
          <w:lang w:eastAsia="cs-CZ"/>
        </w:rPr>
        <w:t>Poskytovatel</w:t>
      </w:r>
      <w:r w:rsidR="005442C8" w:rsidRPr="005442C8">
        <w:rPr>
          <w:lang w:eastAsia="cs-CZ"/>
        </w:rPr>
        <w:t xml:space="preserve"> se zavazuje, že bankovní účet jím určený pro zaplacení závazku </w:t>
      </w:r>
      <w:r>
        <w:rPr>
          <w:lang w:eastAsia="cs-CZ"/>
        </w:rPr>
        <w:t>Objednatele na základě této s</w:t>
      </w:r>
      <w:r w:rsidR="005442C8" w:rsidRPr="005442C8">
        <w:rPr>
          <w:lang w:eastAsia="cs-CZ"/>
        </w:rPr>
        <w:t xml:space="preserve">mlouvy bude zveřejněn způsobem umožňující dálkový přístup ve smyslu </w:t>
      </w:r>
      <w:r w:rsidR="005442C8" w:rsidRPr="005442C8">
        <w:rPr>
          <w:lang w:eastAsia="cs-CZ"/>
        </w:rPr>
        <w:lastRenderedPageBreak/>
        <w:t>§</w:t>
      </w:r>
      <w:r w:rsidR="005C4CF3">
        <w:rPr>
          <w:lang w:eastAsia="cs-CZ"/>
        </w:rPr>
        <w:t> </w:t>
      </w:r>
      <w:r w:rsidR="005442C8" w:rsidRPr="005442C8">
        <w:rPr>
          <w:lang w:eastAsia="cs-CZ"/>
        </w:rPr>
        <w:t xml:space="preserve">96 odst. 2 ZDPH, v opačném případě je </w:t>
      </w:r>
      <w:r>
        <w:rPr>
          <w:lang w:eastAsia="cs-CZ"/>
        </w:rPr>
        <w:t>Poskytovatel</w:t>
      </w:r>
      <w:r w:rsidR="005442C8" w:rsidRPr="005442C8">
        <w:rPr>
          <w:lang w:eastAsia="cs-CZ"/>
        </w:rPr>
        <w:t xml:space="preserve"> povinen sdělit Objednateli jiný bankovní účet řádně zveřejněný ve smyslu § 96 ZDPH.</w:t>
      </w:r>
    </w:p>
    <w:p w14:paraId="7CAEE679" w14:textId="77777777" w:rsidR="005442C8" w:rsidRPr="005442C8" w:rsidRDefault="005442C8" w:rsidP="00DB6F5F">
      <w:pPr>
        <w:pStyle w:val="Nadpis2"/>
        <w:rPr>
          <w:lang w:eastAsia="cs-CZ"/>
        </w:rPr>
      </w:pPr>
      <w:r w:rsidRPr="005442C8">
        <w:rPr>
          <w:lang w:eastAsia="cs-CZ"/>
        </w:rPr>
        <w:t xml:space="preserve">Pokud Objednateli vznikne podle § 109 ZDPH ručení za nezaplacenou DPH z přijatého zdanitelného plnění od </w:t>
      </w:r>
      <w:r w:rsidR="00D53014">
        <w:rPr>
          <w:lang w:eastAsia="cs-CZ"/>
        </w:rPr>
        <w:t>Poskytovatele</w:t>
      </w:r>
      <w:r w:rsidRPr="005442C8">
        <w:rPr>
          <w:lang w:eastAsia="cs-CZ"/>
        </w:rPr>
        <w:t xml:space="preserve">, nebo se Objednatel důvodně domnívá, že tyto skutečnosti nastaly nebo mohly nastat, má Objednatel právo bez souhlasu </w:t>
      </w:r>
      <w:r w:rsidR="00D53014">
        <w:rPr>
          <w:lang w:eastAsia="cs-CZ"/>
        </w:rPr>
        <w:t>Poskytova</w:t>
      </w:r>
      <w:r w:rsidRPr="005442C8">
        <w:rPr>
          <w:lang w:eastAsia="cs-CZ"/>
        </w:rPr>
        <w:t xml:space="preserve">tele uplatnit postup zvláštního způsobu zajištění daně, tzn., že je Objednatel oprávněn odvést částku DPH podle faktury - daňového dokladu vystavené </w:t>
      </w:r>
      <w:r w:rsidR="00D53014">
        <w:rPr>
          <w:lang w:eastAsia="cs-CZ"/>
        </w:rPr>
        <w:t>Poskytova</w:t>
      </w:r>
      <w:r w:rsidRPr="005442C8">
        <w:rPr>
          <w:lang w:eastAsia="cs-CZ"/>
        </w:rPr>
        <w:t>telem přímo příslušnému finančnímu úřadu, a to v návaznosti na § 109 a § 109a ZDPH.</w:t>
      </w:r>
    </w:p>
    <w:p w14:paraId="5CCCA5F8" w14:textId="77777777" w:rsidR="005442C8" w:rsidRPr="005442C8" w:rsidRDefault="005442C8" w:rsidP="00DB6F5F">
      <w:pPr>
        <w:pStyle w:val="Nadpis2"/>
        <w:rPr>
          <w:lang w:eastAsia="cs-CZ"/>
        </w:rPr>
      </w:pPr>
      <w:r w:rsidRPr="005442C8">
        <w:rPr>
          <w:lang w:eastAsia="cs-CZ"/>
        </w:rPr>
        <w:t xml:space="preserve">Úhradou DPH na účet finančního úřadu se pohledávka </w:t>
      </w:r>
      <w:r w:rsidR="00D53014">
        <w:rPr>
          <w:lang w:eastAsia="cs-CZ"/>
        </w:rPr>
        <w:t>Poskytovatele</w:t>
      </w:r>
      <w:r w:rsidRPr="005442C8">
        <w:rPr>
          <w:lang w:eastAsia="cs-CZ"/>
        </w:rPr>
        <w:t xml:space="preserve"> vůči Objednateli v</w:t>
      </w:r>
      <w:r w:rsidR="005C4CF3">
        <w:rPr>
          <w:lang w:eastAsia="cs-CZ"/>
        </w:rPr>
        <w:t> </w:t>
      </w:r>
      <w:r w:rsidRPr="005442C8">
        <w:rPr>
          <w:lang w:eastAsia="cs-CZ"/>
        </w:rPr>
        <w:t xml:space="preserve">částce uhrazené DPH považuje bez ohledu na další ustanovení smlouvy za uhrazenou. Zároveň je Objednatel povinen </w:t>
      </w:r>
      <w:r w:rsidR="00D53014">
        <w:rPr>
          <w:lang w:eastAsia="cs-CZ"/>
        </w:rPr>
        <w:t>Poskytovatele</w:t>
      </w:r>
      <w:r w:rsidRPr="005442C8">
        <w:rPr>
          <w:lang w:eastAsia="cs-CZ"/>
        </w:rPr>
        <w:t xml:space="preserve"> o takové úhradě bezprostředně po jejím uskutečnění písemně informovat.</w:t>
      </w:r>
    </w:p>
    <w:p w14:paraId="3207F83B" w14:textId="77777777" w:rsidR="005442C8" w:rsidRPr="005442C8" w:rsidRDefault="00B576FE" w:rsidP="00DB6F5F">
      <w:pPr>
        <w:pStyle w:val="Nadpis2"/>
        <w:rPr>
          <w:lang w:eastAsia="cs-CZ"/>
        </w:rPr>
      </w:pPr>
      <w:r>
        <w:rPr>
          <w:lang w:eastAsia="cs-CZ"/>
        </w:rPr>
        <w:t>Poskytovatel</w:t>
      </w:r>
      <w:r w:rsidR="005442C8" w:rsidRPr="005442C8">
        <w:rPr>
          <w:lang w:eastAsia="cs-CZ"/>
        </w:rPr>
        <w:t xml:space="preserve"> je povinen bezprostředně, nejpozději do dvou pracovních dnů od zjištění insolvence nebo hrozby jejího vzniku, oznámit takovou skutečnost prokazatelně Objednateli - příjemci zdanitelného plnění s uvedením data, kdy taková skutečnost nastala. Porušení této povinnosti je smluvními stranami považováno za podstatné porušení této smlouvy.</w:t>
      </w:r>
    </w:p>
    <w:p w14:paraId="5B5382B7" w14:textId="77777777" w:rsidR="00847349" w:rsidRPr="00FA1446" w:rsidRDefault="00CA5A93" w:rsidP="00541979">
      <w:pPr>
        <w:pStyle w:val="Nadpis1"/>
      </w:pPr>
      <w:r>
        <w:t>ŘÍZENÍ</w:t>
      </w:r>
      <w:r w:rsidR="00847349" w:rsidRPr="00FA1446">
        <w:t xml:space="preserve"> </w:t>
      </w:r>
      <w:r w:rsidR="00847349" w:rsidRPr="005C4CF3">
        <w:t>služeb</w:t>
      </w:r>
    </w:p>
    <w:p w14:paraId="2DCA8544" w14:textId="77777777" w:rsidR="008E1469" w:rsidRPr="008E1469" w:rsidRDefault="008E1469" w:rsidP="00DB6F5F">
      <w:pPr>
        <w:pStyle w:val="Nadpis2"/>
      </w:pPr>
      <w:r w:rsidRPr="008E1469">
        <w:t xml:space="preserve">Řízení služeb (komunikace o incidentech, závadách, požadavcích a stavu jejich řešení) probíhá primárně v ServiceDesku </w:t>
      </w:r>
      <w:r>
        <w:t>Objednatele</w:t>
      </w:r>
      <w:r w:rsidRPr="008E1469">
        <w:t xml:space="preserve">. Poskytovatel zajistí přístupová oprávnění </w:t>
      </w:r>
      <w:r>
        <w:t xml:space="preserve">jeho </w:t>
      </w:r>
      <w:r w:rsidR="005C4CF3" w:rsidRPr="008E1469">
        <w:t>pra</w:t>
      </w:r>
      <w:r w:rsidR="005C4CF3">
        <w:t xml:space="preserve">covníků </w:t>
      </w:r>
      <w:r w:rsidR="005C4CF3" w:rsidRPr="008E1469">
        <w:t>do</w:t>
      </w:r>
      <w:r w:rsidRPr="008E1469">
        <w:t xml:space="preserve"> ServiceDesku </w:t>
      </w:r>
      <w:r>
        <w:t>Objednatele</w:t>
      </w:r>
      <w:r w:rsidRPr="008E1469">
        <w:t xml:space="preserve">. </w:t>
      </w:r>
    </w:p>
    <w:p w14:paraId="4D6752ED" w14:textId="4DA8594E" w:rsidR="008E1469" w:rsidRPr="008E1469" w:rsidRDefault="008E1469" w:rsidP="00DB6F5F">
      <w:pPr>
        <w:pStyle w:val="Nadpis2"/>
      </w:pPr>
      <w:r w:rsidRPr="008E1469">
        <w:t xml:space="preserve">Incidenty a závady kategorie A a B budou oznamovány </w:t>
      </w:r>
      <w:r w:rsidR="00381E42">
        <w:t xml:space="preserve">telefonicky a e-mailem </w:t>
      </w:r>
      <w:r w:rsidRPr="008E1469">
        <w:t xml:space="preserve">na Hotline </w:t>
      </w:r>
      <w:r>
        <w:t xml:space="preserve">Poskytovatele. Poskytovatel je povinen zajistit </w:t>
      </w:r>
      <w:r w:rsidRPr="008E1469">
        <w:t>Hotline ve formě</w:t>
      </w:r>
      <w:r w:rsidR="00556EB4">
        <w:t>:</w:t>
      </w:r>
    </w:p>
    <w:p w14:paraId="0FE5240B" w14:textId="6E43C90F" w:rsidR="008E1469" w:rsidRDefault="008E1469" w:rsidP="00DB6F5F">
      <w:pPr>
        <w:pStyle w:val="Nadpis3"/>
      </w:pPr>
      <w:r w:rsidRPr="008E1469">
        <w:t>jednotného telefonního čísla</w:t>
      </w:r>
      <w:r>
        <w:t>:</w:t>
      </w:r>
      <w:r w:rsidRPr="008E1469">
        <w:t xml:space="preserve"> </w:t>
      </w:r>
      <w:r w:rsidRPr="008E1469">
        <w:rPr>
          <w:highlight w:val="yellow"/>
        </w:rPr>
        <w:t xml:space="preserve">[doplní </w:t>
      </w:r>
      <w:r w:rsidR="008F33CE">
        <w:rPr>
          <w:highlight w:val="yellow"/>
        </w:rPr>
        <w:t>dodavatel</w:t>
      </w:r>
      <w:r w:rsidRPr="008E1469">
        <w:rPr>
          <w:highlight w:val="yellow"/>
        </w:rPr>
        <w:t>]</w:t>
      </w:r>
      <w:r w:rsidRPr="008E1469">
        <w:t xml:space="preserve"> nebo pravidelně aktualizovaného plánu směn a telefonních čísel na jednotlivé pracovníky podpory</w:t>
      </w:r>
      <w:r w:rsidR="00556EB4">
        <w:t>, který je Poskytovatel povinen z</w:t>
      </w:r>
      <w:r w:rsidR="00106E88">
        <w:t>aslat e-mailem kontaktní osobě O</w:t>
      </w:r>
      <w:r w:rsidR="00556EB4">
        <w:t>bjednatele ve věcech provozních a technických</w:t>
      </w:r>
      <w:r w:rsidR="00106E88">
        <w:t>,</w:t>
      </w:r>
    </w:p>
    <w:p w14:paraId="64A47A95" w14:textId="39852ED9" w:rsidR="008E1469" w:rsidRDefault="008E1469" w:rsidP="00DB6F5F">
      <w:pPr>
        <w:pStyle w:val="Nadpis3"/>
      </w:pPr>
      <w:r w:rsidRPr="008E1469">
        <w:t xml:space="preserve">jednotné e-mailové </w:t>
      </w:r>
      <w:r w:rsidR="005C4CF3" w:rsidRPr="008E1469">
        <w:t>adresy</w:t>
      </w:r>
      <w:r w:rsidR="005C4CF3">
        <w:t xml:space="preserve">: </w:t>
      </w:r>
      <w:r w:rsidR="005C4CF3" w:rsidRPr="005C4CF3">
        <w:rPr>
          <w:highlight w:val="yellow"/>
        </w:rPr>
        <w:t>[doplní</w:t>
      </w:r>
      <w:r w:rsidRPr="005C4CF3">
        <w:rPr>
          <w:highlight w:val="yellow"/>
        </w:rPr>
        <w:t xml:space="preserve"> </w:t>
      </w:r>
      <w:r w:rsidR="008F33CE">
        <w:rPr>
          <w:highlight w:val="yellow"/>
        </w:rPr>
        <w:t>dodavatel</w:t>
      </w:r>
      <w:r w:rsidRPr="005C4CF3">
        <w:rPr>
          <w:highlight w:val="yellow"/>
        </w:rPr>
        <w:t>]</w:t>
      </w:r>
      <w:r w:rsidR="00106E88" w:rsidRPr="005C4CF3">
        <w:rPr>
          <w:highlight w:val="yellow"/>
        </w:rPr>
        <w:t>.</w:t>
      </w:r>
    </w:p>
    <w:p w14:paraId="14FF9600" w14:textId="77777777" w:rsidR="008E1469" w:rsidRPr="00EA26B3" w:rsidRDefault="00EA26B3" w:rsidP="00DB6F5F">
      <w:pPr>
        <w:pStyle w:val="Nadpis2"/>
      </w:pPr>
      <w:r w:rsidRPr="00EA26B3">
        <w:t xml:space="preserve">Poskytovatel je povinen zajistit eskalační mechanismus pro případ nedostupnosti řešitele </w:t>
      </w:r>
      <w:r>
        <w:t>a</w:t>
      </w:r>
      <w:r w:rsidR="005C4CF3">
        <w:t> </w:t>
      </w:r>
      <w:r>
        <w:t xml:space="preserve">tento mechanismus zaslat e-mailem kontaktní osobě Objednatele </w:t>
      </w:r>
      <w:r w:rsidR="005C4CF3">
        <w:t>ve věcech provozních a </w:t>
      </w:r>
      <w:r w:rsidRPr="00EA26B3">
        <w:t>technických</w:t>
      </w:r>
      <w:r>
        <w:t>.</w:t>
      </w:r>
    </w:p>
    <w:p w14:paraId="2C2A38BF" w14:textId="77777777" w:rsidR="00847349" w:rsidRPr="00FA1446" w:rsidRDefault="00847349" w:rsidP="00541979">
      <w:pPr>
        <w:pStyle w:val="Nadpis1"/>
      </w:pPr>
      <w:r w:rsidRPr="00FA1446">
        <w:t>Předání, převzetí a akceptace</w:t>
      </w:r>
    </w:p>
    <w:p w14:paraId="6ACFBA72" w14:textId="77777777" w:rsidR="00847349" w:rsidRPr="00FA1446" w:rsidRDefault="00847349" w:rsidP="00DB6F5F">
      <w:pPr>
        <w:pStyle w:val="Nadpis2"/>
      </w:pPr>
      <w:r w:rsidRPr="00FA1446">
        <w:t xml:space="preserve">Hodnocení, kontrola plnění a akceptace úrovně </w:t>
      </w:r>
      <w:r w:rsidR="00DB277C">
        <w:t xml:space="preserve">a rozsahu </w:t>
      </w:r>
      <w:r w:rsidRPr="00FA1446">
        <w:t>poskytovaných služeb dle této smlouvy bude probíhat vždy za uplynulý kalendářní měsíc následujícím způsobem:</w:t>
      </w:r>
    </w:p>
    <w:p w14:paraId="3E30970F" w14:textId="77777777" w:rsidR="00EA26B3" w:rsidRPr="00EA26B3" w:rsidRDefault="00847349" w:rsidP="00DB6F5F">
      <w:pPr>
        <w:pStyle w:val="Nadpis3"/>
      </w:pPr>
      <w:r w:rsidRPr="005C4CF3">
        <w:lastRenderedPageBreak/>
        <w:t>Kontrolu plnění bude</w:t>
      </w:r>
      <w:r w:rsidRPr="00FA1446">
        <w:t xml:space="preserve"> provádět Objednatel na základě </w:t>
      </w:r>
      <w:r w:rsidR="00DB277C">
        <w:t>Měsíční zprávy o rozsahu a</w:t>
      </w:r>
      <w:r w:rsidR="005C4CF3">
        <w:t> </w:t>
      </w:r>
      <w:r w:rsidR="00DB277C">
        <w:t xml:space="preserve">kvalitě poskytované služby. </w:t>
      </w:r>
      <w:r w:rsidR="00106E88">
        <w:t>Poskytovatel zpracuje z</w:t>
      </w:r>
      <w:r w:rsidR="00EA26B3" w:rsidRPr="00EA26B3">
        <w:t xml:space="preserve">a uplynulý kalendářní </w:t>
      </w:r>
      <w:r w:rsidR="005C4CF3">
        <w:t xml:space="preserve">měsíc </w:t>
      </w:r>
      <w:r w:rsidR="005C4CF3" w:rsidRPr="00EA26B3">
        <w:t>Měsíční</w:t>
      </w:r>
      <w:r w:rsidR="00EA26B3" w:rsidRPr="00EA26B3">
        <w:t xml:space="preserve"> zprávu o rozsahu a k</w:t>
      </w:r>
      <w:r w:rsidR="00106E88">
        <w:t>valitě poskytované služby, která</w:t>
      </w:r>
      <w:r w:rsidR="00EA26B3" w:rsidRPr="00EA26B3">
        <w:t xml:space="preserve"> bude obsahovat:</w:t>
      </w:r>
    </w:p>
    <w:p w14:paraId="691FE6CD" w14:textId="77777777" w:rsidR="00EA26B3" w:rsidRPr="005C4CF3" w:rsidRDefault="00EA26B3" w:rsidP="00DB6F5F">
      <w:pPr>
        <w:pStyle w:val="Nadpis4"/>
      </w:pPr>
      <w:r w:rsidRPr="005C4CF3">
        <w:t>přehled řešených incidentů a závad</w:t>
      </w:r>
      <w:r w:rsidR="00556EB4" w:rsidRPr="005C4CF3">
        <w:t>,</w:t>
      </w:r>
    </w:p>
    <w:p w14:paraId="07E623D6" w14:textId="77777777" w:rsidR="00EA26B3" w:rsidRPr="005C4CF3" w:rsidRDefault="00EA26B3" w:rsidP="00DB6F5F">
      <w:pPr>
        <w:pStyle w:val="Nadpis4"/>
      </w:pPr>
      <w:r w:rsidRPr="005C4CF3">
        <w:t>přehled plnění SLA reakční doby</w:t>
      </w:r>
      <w:r w:rsidR="00556EB4" w:rsidRPr="005C4CF3">
        <w:t>,</w:t>
      </w:r>
    </w:p>
    <w:p w14:paraId="22F988A8" w14:textId="77777777" w:rsidR="00EA26B3" w:rsidRPr="005C4CF3" w:rsidRDefault="00EA26B3" w:rsidP="00DB6F5F">
      <w:pPr>
        <w:pStyle w:val="Nadpis4"/>
      </w:pPr>
      <w:r w:rsidRPr="005C4CF3">
        <w:t>přehled ostatních činností</w:t>
      </w:r>
      <w:r w:rsidR="00106E88" w:rsidRPr="005C4CF3">
        <w:t>,</w:t>
      </w:r>
    </w:p>
    <w:p w14:paraId="6A35153F" w14:textId="3C751A1A" w:rsidR="00381E42" w:rsidRPr="00381E42" w:rsidRDefault="00EA26B3" w:rsidP="00381E42">
      <w:pPr>
        <w:pStyle w:val="Nadpis4"/>
      </w:pPr>
      <w:r w:rsidRPr="005C4CF3">
        <w:t>přehled čerpání člověkohodin</w:t>
      </w:r>
      <w:r w:rsidR="00106E88" w:rsidRPr="005C4CF3">
        <w:t xml:space="preserve"> v rámci </w:t>
      </w:r>
      <w:r w:rsidR="002070C3">
        <w:t>Prováděných činností</w:t>
      </w:r>
      <w:r w:rsidR="00106E88" w:rsidRPr="005C4CF3">
        <w:t>.</w:t>
      </w:r>
      <w:r w:rsidR="00381E42">
        <w:t xml:space="preserve"> </w:t>
      </w:r>
    </w:p>
    <w:p w14:paraId="415A21CC" w14:textId="7004F306" w:rsidR="00381E42" w:rsidRDefault="00381E42" w:rsidP="00DB6F5F">
      <w:pPr>
        <w:pStyle w:val="Nadpis3"/>
      </w:pPr>
      <w:r>
        <w:t>Objednatel zašle k prvnímu pracovnímu dni</w:t>
      </w:r>
      <w:r w:rsidR="006575D2">
        <w:t xml:space="preserve"> každého kalendářního měsíce </w:t>
      </w:r>
      <w:r>
        <w:t xml:space="preserve">na email kontaktní osoby Poskytovatele </w:t>
      </w:r>
      <w:r w:rsidR="006575D2">
        <w:t>výpis incidentů a požadavků ze ServiceDesku Objednatele za minulý kalendářní měsíc.</w:t>
      </w:r>
    </w:p>
    <w:p w14:paraId="43DD16B1" w14:textId="39CF752A" w:rsidR="00847349" w:rsidRPr="005C4CF3" w:rsidRDefault="00847349" w:rsidP="00DB6F5F">
      <w:pPr>
        <w:pStyle w:val="Nadpis3"/>
      </w:pPr>
      <w:r w:rsidRPr="005C4CF3">
        <w:t xml:space="preserve">Kontaktní osoba Poskytovatele ve věcech provozních předloží kontaktní osobě Objednatele ve věcech provozních písemnou </w:t>
      </w:r>
      <w:r w:rsidR="00DB277C" w:rsidRPr="005C4CF3">
        <w:t xml:space="preserve">Měsíční zprávy o rozsahu a kvalitě poskytované služby </w:t>
      </w:r>
      <w:r w:rsidRPr="005C4CF3">
        <w:t>za příslušné období vždy nejpozději do 10. (desátého) pracovního dne následujícího kalendářního měsíce. Tato písemná zpráva bude odeslána prostřednictvím elektronické pošty na email kontaktní osoby Objednatele</w:t>
      </w:r>
      <w:r w:rsidR="003554A9" w:rsidRPr="005C4CF3">
        <w:t xml:space="preserve"> ve věcech provozních</w:t>
      </w:r>
      <w:r w:rsidR="00DB277C" w:rsidRPr="005C4CF3">
        <w:t xml:space="preserve">. </w:t>
      </w:r>
    </w:p>
    <w:p w14:paraId="13BC6A5B" w14:textId="77777777" w:rsidR="00847349" w:rsidRPr="005C4CF3" w:rsidRDefault="00847349" w:rsidP="00DB6F5F">
      <w:pPr>
        <w:pStyle w:val="Nadpis3"/>
      </w:pPr>
      <w:r w:rsidRPr="005C4CF3">
        <w:t xml:space="preserve">Kontaktní osoba Objednatele ve lhůtě </w:t>
      </w:r>
      <w:r w:rsidRPr="00D849FE">
        <w:t>3 (tří)</w:t>
      </w:r>
      <w:r w:rsidRPr="005C4CF3">
        <w:t xml:space="preserve"> pracovních dnů od předložení </w:t>
      </w:r>
      <w:r w:rsidR="00CA5A93" w:rsidRPr="005C4CF3">
        <w:t xml:space="preserve">Měsíční zprávy o rozsahu a kvalitě poskytované služby </w:t>
      </w:r>
      <w:r w:rsidRPr="005C4CF3">
        <w:t>zpracuje k této zprávě písemné stanovisko a předloží jej kontaktní osobě Poskytovatele</w:t>
      </w:r>
      <w:r w:rsidR="003554A9" w:rsidRPr="005C4CF3">
        <w:t xml:space="preserve"> ve věcech provozních</w:t>
      </w:r>
      <w:r w:rsidRPr="005C4CF3">
        <w:t xml:space="preserve">, kdy ji s ní následně projedná. Na základě tohoto jednání bude vyhotoven </w:t>
      </w:r>
      <w:r w:rsidR="003554A9" w:rsidRPr="005C4CF3">
        <w:t>A</w:t>
      </w:r>
      <w:r w:rsidRPr="005C4CF3">
        <w:t xml:space="preserve">kceptační protokol </w:t>
      </w:r>
      <w:r w:rsidR="003554A9" w:rsidRPr="005C4CF3">
        <w:t>a podepsán kontaktní osobou Objednatele ve věcech technických</w:t>
      </w:r>
      <w:r w:rsidRPr="005C4CF3">
        <w:t xml:space="preserve">. </w:t>
      </w:r>
      <w:r w:rsidR="003554A9" w:rsidRPr="005C4CF3">
        <w:t xml:space="preserve">Akceptační protokol je povinou přílohou faktury. </w:t>
      </w:r>
    </w:p>
    <w:p w14:paraId="3E48E7AC" w14:textId="77777777" w:rsidR="00847349" w:rsidRDefault="00847349" w:rsidP="00DB6F5F">
      <w:pPr>
        <w:pStyle w:val="Nadpis2"/>
      </w:pPr>
      <w:r w:rsidRPr="00FA1446">
        <w:t>Kontaktní osoby ve věcech provozních</w:t>
      </w:r>
      <w:r w:rsidR="001851D7">
        <w:t xml:space="preserve"> a technických</w:t>
      </w:r>
      <w:r w:rsidRPr="00FA1446">
        <w:t>:</w:t>
      </w:r>
    </w:p>
    <w:p w14:paraId="4093C683" w14:textId="77777777" w:rsidR="008F33CE" w:rsidRDefault="005C4CF3" w:rsidP="008F33CE">
      <w:pPr>
        <w:pStyle w:val="Nadpis3"/>
      </w:pPr>
      <w:r>
        <w:t xml:space="preserve">Za Objednatele: </w:t>
      </w:r>
      <w:r>
        <w:tab/>
      </w:r>
      <w:r w:rsidR="008F33CE">
        <w:t>Ing. Karel Neumann</w:t>
      </w:r>
    </w:p>
    <w:p w14:paraId="0DEC7752" w14:textId="1A759853" w:rsidR="005C4CF3" w:rsidRDefault="008F33CE" w:rsidP="005C4CF3">
      <w:pPr>
        <w:tabs>
          <w:tab w:val="left" w:pos="2552"/>
        </w:tabs>
        <w:ind w:left="709"/>
        <w:contextualSpacing/>
        <w:jc w:val="left"/>
      </w:pPr>
      <w:r>
        <w:tab/>
      </w:r>
      <w:r>
        <w:tab/>
      </w:r>
      <w:r>
        <w:tab/>
        <w:t>vedoucí odboru dohledového centra a správy aplikací</w:t>
      </w:r>
    </w:p>
    <w:p w14:paraId="43AA435B" w14:textId="2F807017" w:rsidR="00CA5A93" w:rsidRPr="00DB277C" w:rsidRDefault="005C4CF3" w:rsidP="005C4CF3">
      <w:pPr>
        <w:tabs>
          <w:tab w:val="left" w:pos="2552"/>
          <w:tab w:val="left" w:pos="3119"/>
        </w:tabs>
        <w:ind w:left="709"/>
        <w:contextualSpacing/>
        <w:jc w:val="left"/>
      </w:pPr>
      <w:r>
        <w:tab/>
      </w:r>
      <w:r w:rsidR="008F33CE">
        <w:tab/>
      </w:r>
      <w:r w:rsidR="008F33CE">
        <w:tab/>
      </w:r>
      <w:r w:rsidR="00CA5A93" w:rsidRPr="00DB277C">
        <w:t>tel</w:t>
      </w:r>
      <w:r>
        <w:t>efon</w:t>
      </w:r>
      <w:r w:rsidR="00CA5A93" w:rsidRPr="00DB277C">
        <w:t xml:space="preserve">: 225 515 </w:t>
      </w:r>
      <w:r w:rsidR="008F33CE">
        <w:t>64</w:t>
      </w:r>
      <w:r w:rsidR="00CA5A93" w:rsidRPr="00DB277C">
        <w:t xml:space="preserve">, e-mail: </w:t>
      </w:r>
      <w:r w:rsidR="008F33CE">
        <w:t>karel.neumann</w:t>
      </w:r>
      <w:r w:rsidR="00CA5A93" w:rsidRPr="00DB277C">
        <w:t>@</w:t>
      </w:r>
      <w:r w:rsidR="00CA5A93">
        <w:t>spcss</w:t>
      </w:r>
      <w:r w:rsidR="00CA5A93" w:rsidRPr="00DB277C">
        <w:t>.cz</w:t>
      </w:r>
    </w:p>
    <w:p w14:paraId="1AB71ECE" w14:textId="77777777" w:rsidR="00666B4C" w:rsidRDefault="00CA5A93" w:rsidP="008F33CE">
      <w:pPr>
        <w:pStyle w:val="Nadpis3"/>
      </w:pPr>
      <w:r w:rsidRPr="00DB277C">
        <w:t>Za Poskytovatele:</w:t>
      </w:r>
      <w:r w:rsidRPr="00DB277C">
        <w:tab/>
      </w:r>
      <w:r w:rsidRPr="00DB277C">
        <w:rPr>
          <w:highlight w:val="yellow"/>
        </w:rPr>
        <w:t xml:space="preserve">[doplní </w:t>
      </w:r>
      <w:r w:rsidR="008F33CE">
        <w:rPr>
          <w:highlight w:val="yellow"/>
        </w:rPr>
        <w:t>dodavatel</w:t>
      </w:r>
      <w:r w:rsidR="00666B4C">
        <w:t>]</w:t>
      </w:r>
    </w:p>
    <w:p w14:paraId="75E6C73B" w14:textId="5DF59702" w:rsidR="005C4CF3" w:rsidRDefault="00CA5A93" w:rsidP="00666B4C">
      <w:pPr>
        <w:pStyle w:val="Nadpis2"/>
        <w:numPr>
          <w:ilvl w:val="0"/>
          <w:numId w:val="0"/>
        </w:numPr>
        <w:ind w:left="3512" w:firstLine="28"/>
      </w:pPr>
      <w:r w:rsidRPr="00DB277C">
        <w:t>[</w:t>
      </w:r>
      <w:r w:rsidR="00666B4C" w:rsidRPr="00666B4C">
        <w:rPr>
          <w:highlight w:val="yellow"/>
        </w:rPr>
        <w:t xml:space="preserve">pozice - </w:t>
      </w:r>
      <w:r w:rsidRPr="00666B4C">
        <w:rPr>
          <w:highlight w:val="yellow"/>
        </w:rPr>
        <w:t xml:space="preserve">doplní </w:t>
      </w:r>
      <w:r w:rsidR="008F33CE" w:rsidRPr="00666B4C">
        <w:rPr>
          <w:highlight w:val="yellow"/>
        </w:rPr>
        <w:t>dodavatel</w:t>
      </w:r>
      <w:r w:rsidR="005C4CF3">
        <w:t>]</w:t>
      </w:r>
    </w:p>
    <w:p w14:paraId="5FF496F8" w14:textId="08B62883" w:rsidR="00847349" w:rsidRPr="00FA1446" w:rsidRDefault="005C4CF3" w:rsidP="00A01227">
      <w:pPr>
        <w:tabs>
          <w:tab w:val="left" w:pos="2552"/>
          <w:tab w:val="left" w:pos="3119"/>
        </w:tabs>
        <w:ind w:left="709"/>
        <w:contextualSpacing/>
        <w:jc w:val="left"/>
      </w:pPr>
      <w:r>
        <w:tab/>
      </w:r>
      <w:r w:rsidR="008F33CE">
        <w:tab/>
      </w:r>
      <w:r w:rsidR="008F33CE">
        <w:tab/>
      </w:r>
      <w:r w:rsidR="00CA5A93" w:rsidRPr="00DB277C">
        <w:t>tel</w:t>
      </w:r>
      <w:r>
        <w:t>efon</w:t>
      </w:r>
      <w:r w:rsidR="00CA5A93" w:rsidRPr="00DB277C">
        <w:t>: [</w:t>
      </w:r>
      <w:r w:rsidR="00CA5A93" w:rsidRPr="00DB277C">
        <w:rPr>
          <w:highlight w:val="yellow"/>
        </w:rPr>
        <w:t xml:space="preserve">doplní </w:t>
      </w:r>
      <w:r w:rsidR="008F33CE">
        <w:rPr>
          <w:highlight w:val="yellow"/>
        </w:rPr>
        <w:t>dodavatel</w:t>
      </w:r>
      <w:r w:rsidR="00CA5A93" w:rsidRPr="00DB277C">
        <w:t xml:space="preserve">], </w:t>
      </w:r>
      <w:r w:rsidR="00CA5A93">
        <w:t>e</w:t>
      </w:r>
      <w:r w:rsidR="008F33CE">
        <w:t>-mail:</w:t>
      </w:r>
      <w:r w:rsidR="00CA5A93" w:rsidRPr="00DB277C">
        <w:t>[</w:t>
      </w:r>
      <w:r w:rsidR="00CA5A93" w:rsidRPr="00DB277C">
        <w:rPr>
          <w:highlight w:val="yellow"/>
        </w:rPr>
        <w:t xml:space="preserve">doplní </w:t>
      </w:r>
      <w:r w:rsidR="008F33CE">
        <w:rPr>
          <w:highlight w:val="yellow"/>
        </w:rPr>
        <w:t>dodavatel</w:t>
      </w:r>
      <w:r w:rsidR="00CA5A93" w:rsidRPr="00DB277C">
        <w:t>]</w:t>
      </w:r>
      <w:r w:rsidR="00CA5A93" w:rsidRPr="00FA1446">
        <w:tab/>
      </w:r>
    </w:p>
    <w:p w14:paraId="4550A42D" w14:textId="77777777" w:rsidR="00847349" w:rsidRPr="00FA1446" w:rsidRDefault="00847349" w:rsidP="00541979">
      <w:pPr>
        <w:pStyle w:val="Nadpis1"/>
      </w:pPr>
      <w:r w:rsidRPr="001851D7">
        <w:t>Součinnost</w:t>
      </w:r>
      <w:r w:rsidRPr="00FA1446">
        <w:t xml:space="preserve"> a </w:t>
      </w:r>
      <w:r w:rsidRPr="00541979">
        <w:t>vzájemná</w:t>
      </w:r>
      <w:r w:rsidRPr="00FA1446">
        <w:t xml:space="preserve"> komunikace</w:t>
      </w:r>
    </w:p>
    <w:p w14:paraId="41B72465" w14:textId="77777777" w:rsidR="00847349" w:rsidRPr="00FA1446" w:rsidRDefault="00847349" w:rsidP="00DB6F5F">
      <w:pPr>
        <w:pStyle w:val="Nadpis2"/>
      </w:pPr>
      <w:r w:rsidRPr="00FA1446">
        <w:t>Smluvní strany se zavazují vzájemně spolupracovat a poskytovat si součinnost nezbytnou pro řádné plnění předmětu smlouvy. Smluvní strany jsou povinny informovat bezodkladně druhou smluvní stranu o veškerých skutečnostech, které jsou nebo mohou být důležité pro</w:t>
      </w:r>
      <w:r w:rsidR="00541979">
        <w:t> </w:t>
      </w:r>
      <w:r w:rsidRPr="00FA1446">
        <w:t>řádné plnění smlouvy.</w:t>
      </w:r>
    </w:p>
    <w:p w14:paraId="29FC0C90" w14:textId="6E2DE6AA" w:rsidR="00847349" w:rsidRPr="00FA1446" w:rsidRDefault="00847349" w:rsidP="00DB6F5F">
      <w:pPr>
        <w:pStyle w:val="Nadpis2"/>
      </w:pPr>
      <w:r w:rsidRPr="00FA1446">
        <w:t>Veškerá oznámení, tj. jakákoliv komunikace na základě smlouvy, bude probíhat v souladu s</w:t>
      </w:r>
      <w:r w:rsidR="00541979">
        <w:t> </w:t>
      </w:r>
      <w:r w:rsidRPr="00FA1446">
        <w:t xml:space="preserve">tímto článkem smlouvy. Jakékoli oznámení, žádost či jiné sdělení, jež má být učiněno či </w:t>
      </w:r>
      <w:r w:rsidRPr="00FA1446">
        <w:lastRenderedPageBreak/>
        <w:t>dáno smluvní straně dle smlouvy, bude učiněno či dáno písemně. Kromě jiných způsobů komunikace dohodnutých mezi stranami se za účinné považují osobní doručování, doručování doporučenou poštou, kurýrní službou, datovou schránkou či elektronickou poštou, a to na adresy smluvních stran uvedené v záhlav</w:t>
      </w:r>
      <w:r w:rsidR="00D849FE">
        <w:t>í smlouvy, v čl. VI. odst. 6.2</w:t>
      </w:r>
      <w:r w:rsidRPr="00FA1446">
        <w:t>, nebo na takové adresy, které si strany vzájemně písemně oznámí.</w:t>
      </w:r>
    </w:p>
    <w:p w14:paraId="457AA9EF" w14:textId="77777777" w:rsidR="00847349" w:rsidRPr="00FA1446" w:rsidRDefault="00847349" w:rsidP="00DB6F5F">
      <w:pPr>
        <w:pStyle w:val="Nadpis2"/>
      </w:pPr>
      <w:r w:rsidRPr="00FA1446">
        <w:t>Oznámení správně adresovaná se považují za doručená:</w:t>
      </w:r>
    </w:p>
    <w:p w14:paraId="0DD60374" w14:textId="77777777" w:rsidR="00847349" w:rsidRPr="00FA1446" w:rsidRDefault="00847349" w:rsidP="00DB6F5F">
      <w:pPr>
        <w:pStyle w:val="Nadpis3"/>
      </w:pPr>
      <w:r w:rsidRPr="00FA1446">
        <w:t>dnem, o němž tak stanoví zákon č. 300/2008 Sb., o elektronických úkonech a</w:t>
      </w:r>
      <w:r w:rsidR="00541979">
        <w:t> </w:t>
      </w:r>
      <w:r w:rsidRPr="00FA1446">
        <w:t>autorizované konverzi dokumentů, ve znění pozdějších předpisů (dále jen „ZDS“), je-li oznámení zasíláno prostřednictvím datové zprávy do datové schránky ve</w:t>
      </w:r>
      <w:r w:rsidR="00541979">
        <w:t> </w:t>
      </w:r>
      <w:r w:rsidRPr="00FA1446">
        <w:t>smyslu ZDS; nebo</w:t>
      </w:r>
    </w:p>
    <w:p w14:paraId="664F3382" w14:textId="77777777" w:rsidR="00847349" w:rsidRPr="00FA1446" w:rsidRDefault="00847349" w:rsidP="00DB6F5F">
      <w:pPr>
        <w:pStyle w:val="Nadpis3"/>
      </w:pPr>
      <w:r w:rsidRPr="00FA1446">
        <w:t>dnem fyzického předání oznámení, je-li oznámení zasíláno prostřednictvím kurýra nebo doručováno osobně; nebo</w:t>
      </w:r>
    </w:p>
    <w:p w14:paraId="0777EF2D" w14:textId="77777777" w:rsidR="00847349" w:rsidRPr="00FA1446" w:rsidRDefault="00847349" w:rsidP="00DB6F5F">
      <w:pPr>
        <w:pStyle w:val="Nadpis3"/>
      </w:pPr>
      <w:r w:rsidRPr="00FA1446">
        <w:t>dnem doručení potvrzeným na dodejce;</w:t>
      </w:r>
    </w:p>
    <w:p w14:paraId="1F1F48DF" w14:textId="24A2EF27" w:rsidR="00847349" w:rsidRPr="00FA1446" w:rsidRDefault="00847349" w:rsidP="00DB6F5F">
      <w:pPr>
        <w:pStyle w:val="Nadpis3"/>
      </w:pPr>
      <w:r w:rsidRPr="00FA1446">
        <w:t>dle pravide</w:t>
      </w:r>
      <w:r w:rsidR="00D849FE">
        <w:t>l uvedených v čl. VI. odst. 6.1</w:t>
      </w:r>
      <w:r w:rsidRPr="00FA1446">
        <w:t>.</w:t>
      </w:r>
    </w:p>
    <w:p w14:paraId="0E3B5D58" w14:textId="76953904" w:rsidR="00847349" w:rsidRPr="00FA1446" w:rsidRDefault="00847349" w:rsidP="008F33CE">
      <w:pPr>
        <w:pStyle w:val="Nadpis1"/>
      </w:pPr>
      <w:r w:rsidRPr="00FA1446">
        <w:t xml:space="preserve">Další </w:t>
      </w:r>
      <w:r w:rsidRPr="00541979">
        <w:t>práva</w:t>
      </w:r>
      <w:r w:rsidRPr="00FA1446">
        <w:t xml:space="preserve"> a </w:t>
      </w:r>
      <w:r w:rsidRPr="00541979">
        <w:t>povinnosti</w:t>
      </w:r>
      <w:r w:rsidRPr="00FA1446">
        <w:t xml:space="preserve"> smluvních stran</w:t>
      </w:r>
    </w:p>
    <w:p w14:paraId="1678B3A4" w14:textId="77777777" w:rsidR="006617BC" w:rsidRPr="003554A9" w:rsidRDefault="00ED2639" w:rsidP="00DB6F5F">
      <w:pPr>
        <w:pStyle w:val="Nadpis2"/>
      </w:pPr>
      <w:r>
        <w:t xml:space="preserve">Poskytovatel </w:t>
      </w:r>
      <w:r w:rsidRPr="00ED2639">
        <w:t xml:space="preserve">prohlašuje, že je oprávněn plnit předmět </w:t>
      </w:r>
      <w:r>
        <w:t>s</w:t>
      </w:r>
      <w:r w:rsidRPr="00ED2639">
        <w:t>mlouvy a disponuje všemi potřebnými oprávn</w:t>
      </w:r>
      <w:r>
        <w:t>ěními a povoleními v souladu s platnými právními</w:t>
      </w:r>
      <w:r w:rsidRPr="00ED2639">
        <w:t xml:space="preserve"> předpisy. </w:t>
      </w:r>
    </w:p>
    <w:p w14:paraId="2F9056AC" w14:textId="77777777" w:rsidR="00ED2639" w:rsidRDefault="00ED2639" w:rsidP="00DB6F5F">
      <w:pPr>
        <w:pStyle w:val="Nadpis2"/>
      </w:pPr>
      <w:r>
        <w:t>Poskytovatel</w:t>
      </w:r>
      <w:r w:rsidRPr="00ED2639">
        <w:t xml:space="preserve"> se zavazuje </w:t>
      </w:r>
      <w:r>
        <w:t>poskytovat Služby</w:t>
      </w:r>
      <w:r w:rsidRPr="00ED2639">
        <w:t xml:space="preserve"> svědomitě, řádně a včas, s </w:t>
      </w:r>
      <w:r>
        <w:t>nejvyšší možnou odbornou péčí, z</w:t>
      </w:r>
      <w:r w:rsidRPr="00ED2639">
        <w:t>avedenou odbornou praxí a v souladu se zájmy a pokyny Objednatele a</w:t>
      </w:r>
      <w:r w:rsidR="00541979">
        <w:t> </w:t>
      </w:r>
      <w:r w:rsidRPr="00ED2639">
        <w:t xml:space="preserve">platnými </w:t>
      </w:r>
      <w:r>
        <w:t>právními</w:t>
      </w:r>
      <w:r w:rsidRPr="00ED2639">
        <w:t xml:space="preserve"> předpisy</w:t>
      </w:r>
      <w:r>
        <w:t>.</w:t>
      </w:r>
    </w:p>
    <w:p w14:paraId="4F59D1E2" w14:textId="77777777" w:rsidR="00847349" w:rsidRPr="00FA1446" w:rsidRDefault="006B63EA" w:rsidP="00DB6F5F">
      <w:pPr>
        <w:pStyle w:val="Nadpis2"/>
      </w:pPr>
      <w:r>
        <w:t>Poskytovatel</w:t>
      </w:r>
      <w:r w:rsidR="00847349" w:rsidRPr="00FA1446">
        <w:t xml:space="preserve"> a jím pověřené osoby se zavazují při vstupu do objektu datového centra </w:t>
      </w:r>
      <w:r w:rsidR="003554A9">
        <w:t>Objednatele</w:t>
      </w:r>
      <w:r w:rsidR="00847349" w:rsidRPr="00FA1446">
        <w:t xml:space="preserve"> řídit Provozním řádem pro návštěvníky datového c</w:t>
      </w:r>
      <w:r>
        <w:t>entra</w:t>
      </w:r>
      <w:r w:rsidR="00847349" w:rsidRPr="00FA1446">
        <w:t>.</w:t>
      </w:r>
    </w:p>
    <w:p w14:paraId="43D5BD4B" w14:textId="77777777" w:rsidR="00847349" w:rsidRPr="00FA1446" w:rsidRDefault="006617BC" w:rsidP="00DB6F5F">
      <w:pPr>
        <w:pStyle w:val="Nadpis2"/>
      </w:pPr>
      <w:r>
        <w:t>Poskytovatel</w:t>
      </w:r>
      <w:r w:rsidR="00847349" w:rsidRPr="00FA1446">
        <w:t xml:space="preserve"> je dále též povinen:</w:t>
      </w:r>
    </w:p>
    <w:p w14:paraId="79CBB930" w14:textId="77777777" w:rsidR="00847349" w:rsidRPr="00541979" w:rsidRDefault="00847349" w:rsidP="00DB6F5F">
      <w:pPr>
        <w:pStyle w:val="Nadpis3"/>
      </w:pPr>
      <w:r w:rsidRPr="00541979">
        <w:t xml:space="preserve">předat </w:t>
      </w:r>
      <w:r w:rsidR="003554A9" w:rsidRPr="00541979">
        <w:t>Objednate</w:t>
      </w:r>
      <w:r w:rsidRPr="00541979">
        <w:t>li autorizační seznam osob oprávněných vstupovat do prostor souvisejících s plněním</w:t>
      </w:r>
      <w:r w:rsidR="006617BC" w:rsidRPr="00541979">
        <w:t xml:space="preserve"> z této smlouvy</w:t>
      </w:r>
      <w:r w:rsidR="009007E0" w:rsidRPr="00541979">
        <w:t>;</w:t>
      </w:r>
      <w:r w:rsidR="006617BC" w:rsidRPr="00541979">
        <w:t xml:space="preserve"> </w:t>
      </w:r>
    </w:p>
    <w:p w14:paraId="178C6991" w14:textId="77777777" w:rsidR="00847349" w:rsidRPr="00541979" w:rsidRDefault="00847349" w:rsidP="00DB6F5F">
      <w:pPr>
        <w:pStyle w:val="Nadpis3"/>
      </w:pPr>
      <w:r w:rsidRPr="00541979">
        <w:t>zajistit průběžnou aktualizaci autorizačního seznamu;</w:t>
      </w:r>
    </w:p>
    <w:p w14:paraId="00BA8E5C" w14:textId="77777777" w:rsidR="00847349" w:rsidRPr="00541979" w:rsidRDefault="00847349" w:rsidP="00DB6F5F">
      <w:pPr>
        <w:pStyle w:val="Nadpis3"/>
      </w:pPr>
      <w:r w:rsidRPr="00541979">
        <w:t>dodržovat mlčenlivost ohledně skutečností týkajících se bezpečnostních a</w:t>
      </w:r>
      <w:r w:rsidR="00541979">
        <w:t> </w:t>
      </w:r>
      <w:r w:rsidRPr="00541979">
        <w:t xml:space="preserve">režimových opatření, s nimiž byl </w:t>
      </w:r>
      <w:r w:rsidR="006617BC" w:rsidRPr="00541979">
        <w:t>Objednavatelem</w:t>
      </w:r>
      <w:r w:rsidRPr="00541979">
        <w:t xml:space="preserve"> seznámen nebo která se mu stala známá;</w:t>
      </w:r>
    </w:p>
    <w:p w14:paraId="0FF4191F" w14:textId="77777777" w:rsidR="00847349" w:rsidRPr="00541979" w:rsidRDefault="00847349" w:rsidP="00DB6F5F">
      <w:pPr>
        <w:pStyle w:val="Nadpis3"/>
      </w:pPr>
      <w:r w:rsidRPr="00541979">
        <w:t>oznámit každé porušení mlčenlivosti ohledně výše uvedených skutečností.</w:t>
      </w:r>
    </w:p>
    <w:p w14:paraId="2274687F" w14:textId="77777777" w:rsidR="00847349" w:rsidRDefault="009007E0" w:rsidP="00DB6F5F">
      <w:pPr>
        <w:pStyle w:val="Nadpis2"/>
      </w:pPr>
      <w:r>
        <w:t>Poskytovatel</w:t>
      </w:r>
      <w:r w:rsidR="00847349" w:rsidRPr="00FA1446">
        <w:t xml:space="preserve"> nesmí jakkoliv zasahovat do technických prostředků systému komplexního zabezpečení objektu a je povinen dodržovat všechna objektová a bezpečnostní opatření, vztahující se k řádnému zabezpečení jemu poskytovanému prostoru v datovém centru </w:t>
      </w:r>
      <w:r>
        <w:t>Objednatele</w:t>
      </w:r>
      <w:r w:rsidR="00847349" w:rsidRPr="00FA1446">
        <w:t>.</w:t>
      </w:r>
    </w:p>
    <w:p w14:paraId="66D991E2" w14:textId="77777777" w:rsidR="004E784D" w:rsidRPr="004E784D" w:rsidRDefault="004E784D" w:rsidP="00DB6F5F">
      <w:pPr>
        <w:pStyle w:val="Nadpis2"/>
      </w:pPr>
      <w:r>
        <w:rPr>
          <w:lang w:eastAsia="cs-CZ"/>
        </w:rPr>
        <w:t>Poskytovatel</w:t>
      </w:r>
      <w:r w:rsidRPr="004E784D">
        <w:rPr>
          <w:lang w:eastAsia="cs-CZ"/>
        </w:rPr>
        <w:t xml:space="preserve"> poučí své zaměstnance o povinnosti dodržovat platné předpisy v oblasti BOZP a PO, jakož i povinnosti dodržovat stanovená ochranná a bezpečnostní opatření v sídle </w:t>
      </w:r>
      <w:r w:rsidRPr="004E784D">
        <w:rPr>
          <w:lang w:eastAsia="cs-CZ"/>
        </w:rPr>
        <w:lastRenderedPageBreak/>
        <w:t xml:space="preserve">Objednatele, včetně povinnosti nosit viditelně jmenovky zaměstnance s označením firmy. Za bezpečnost a ochranu zdraví, jakož i za dodržování předpisů PO na pracovišti u svých zaměstnanců, odpovídá </w:t>
      </w:r>
      <w:r w:rsidR="009007E0">
        <w:rPr>
          <w:lang w:eastAsia="cs-CZ"/>
        </w:rPr>
        <w:t>Poskytovatel</w:t>
      </w:r>
      <w:r w:rsidRPr="004E784D">
        <w:rPr>
          <w:lang w:eastAsia="cs-CZ"/>
        </w:rPr>
        <w:t>.</w:t>
      </w:r>
    </w:p>
    <w:p w14:paraId="43BE8712" w14:textId="77777777" w:rsidR="00ED2639" w:rsidRDefault="00ED2639" w:rsidP="00DB6F5F">
      <w:pPr>
        <w:pStyle w:val="Nadpis2"/>
      </w:pPr>
      <w:r>
        <w:t>Poskytovatel</w:t>
      </w:r>
      <w:r w:rsidRPr="00ED2639">
        <w:t xml:space="preserve"> bere na vědomí a vyjadřuje tímto svůj souhlas s uveřejněním této </w:t>
      </w:r>
      <w:r>
        <w:t>s</w:t>
      </w:r>
      <w:r w:rsidRPr="00ED2639">
        <w:t>mlouvy v</w:t>
      </w:r>
      <w:r w:rsidR="00541979">
        <w:t> </w:t>
      </w:r>
      <w:r w:rsidRPr="00ED2639">
        <w:t xml:space="preserve">celém rozsahu včetně případných jejích příloh a dodatků v souladu s požadavky vyplývajícími ze zákona č. 340/2015 Sb., o zvláštních podmínkách účinnosti některých smluv, uveřejňování těchto smluv a o registru smluv v platném znění a dále s uveřejněním této </w:t>
      </w:r>
      <w:r>
        <w:t>s</w:t>
      </w:r>
      <w:r w:rsidRPr="00ED2639">
        <w:t>mlouvy na profilu Objednatele jakožto zadavatele dle ust. § 219 ZZVZ.</w:t>
      </w:r>
    </w:p>
    <w:p w14:paraId="7F509859" w14:textId="77777777" w:rsidR="001851D7" w:rsidRDefault="001851D7" w:rsidP="00541979">
      <w:pPr>
        <w:pStyle w:val="Nadpis1"/>
      </w:pPr>
      <w:r>
        <w:t xml:space="preserve">autorská </w:t>
      </w:r>
      <w:r w:rsidRPr="00541979">
        <w:t>práva</w:t>
      </w:r>
    </w:p>
    <w:p w14:paraId="51F1943A" w14:textId="77777777" w:rsidR="001851D7" w:rsidRPr="00121227" w:rsidRDefault="001851D7" w:rsidP="00DB6F5F">
      <w:pPr>
        <w:pStyle w:val="Nadpis2"/>
      </w:pPr>
      <w:r>
        <w:rPr>
          <w:lang w:eastAsia="cs-CZ"/>
        </w:rPr>
        <w:t>Pokud je součástí služby i plnění, které má povahu autorského díla (dále jen „</w:t>
      </w:r>
      <w:r w:rsidRPr="009125AD">
        <w:rPr>
          <w:b/>
          <w:lang w:eastAsia="cs-CZ"/>
        </w:rPr>
        <w:t>Dílo</w:t>
      </w:r>
      <w:r>
        <w:rPr>
          <w:lang w:eastAsia="cs-CZ"/>
        </w:rPr>
        <w:t>“) dle</w:t>
      </w:r>
      <w:r w:rsidR="00541979">
        <w:rPr>
          <w:lang w:eastAsia="cs-CZ"/>
        </w:rPr>
        <w:t> </w:t>
      </w:r>
      <w:r>
        <w:rPr>
          <w:lang w:eastAsia="cs-CZ"/>
        </w:rPr>
        <w:t>zákona č. 121/2000 Sb., o právu autorském, ve znění pozdějších předpisů (dále jen „</w:t>
      </w:r>
      <w:r w:rsidRPr="009125AD">
        <w:rPr>
          <w:b/>
          <w:lang w:eastAsia="cs-CZ"/>
        </w:rPr>
        <w:t>Autorský zákon</w:t>
      </w:r>
      <w:r>
        <w:rPr>
          <w:lang w:eastAsia="cs-CZ"/>
        </w:rPr>
        <w:t xml:space="preserve">“) poskytuje Poskytovatel Objednateli právo k užití takového </w:t>
      </w:r>
      <w:r w:rsidR="009007E0">
        <w:rPr>
          <w:lang w:eastAsia="cs-CZ"/>
        </w:rPr>
        <w:t>D</w:t>
      </w:r>
      <w:r>
        <w:rPr>
          <w:lang w:eastAsia="cs-CZ"/>
        </w:rPr>
        <w:t xml:space="preserve">íla. </w:t>
      </w:r>
      <w:r w:rsidRPr="001851D7">
        <w:rPr>
          <w:lang w:eastAsia="cs-CZ"/>
        </w:rPr>
        <w:t xml:space="preserve"> Právo užívat se poskytuje jako nevýhradní, časově neomezené. Licence podle tohoto článku IX. se poskytuje bez územního omezení. </w:t>
      </w:r>
    </w:p>
    <w:p w14:paraId="3BD065B0" w14:textId="77777777" w:rsidR="001851D7" w:rsidRPr="00121227" w:rsidRDefault="001851D7" w:rsidP="00DB6F5F">
      <w:pPr>
        <w:pStyle w:val="Nadpis2"/>
      </w:pPr>
      <w:r>
        <w:rPr>
          <w:lang w:eastAsia="cs-CZ"/>
        </w:rPr>
        <w:t>Poskytovatel</w:t>
      </w:r>
      <w:r w:rsidRPr="001851D7">
        <w:rPr>
          <w:lang w:eastAsia="cs-CZ"/>
        </w:rPr>
        <w:t xml:space="preserve"> odpovídá za to, že plněním této smlouvy nebo výsledkem plnění nebudou porušena jakákoli autorská nebo jiná práva třetích osob, že výsledkem plnění nebude dán důvod k žalobě třetí osoby vůči Objednateli na protiprávní jednání způsobené výsledkem plnění nebo plněním, nebo důvod k tomu, že by plnění nebo jeho výsledek mohlo být považováno za nezákonné nebo jinak protiprávní.</w:t>
      </w:r>
    </w:p>
    <w:p w14:paraId="44D9EB00" w14:textId="77777777" w:rsidR="001851D7" w:rsidRPr="00885EC1" w:rsidRDefault="001851D7" w:rsidP="00DB6F5F">
      <w:pPr>
        <w:pStyle w:val="Nadpis2"/>
      </w:pPr>
      <w:r w:rsidRPr="001851D7">
        <w:rPr>
          <w:lang w:eastAsia="cs-CZ"/>
        </w:rPr>
        <w:t xml:space="preserve">Právo k užití Díla nebo jeho částí dle této smlouvy vznikne Objednateli podle podmínek stanovených touto Smlouvou okamžikem </w:t>
      </w:r>
      <w:r>
        <w:rPr>
          <w:lang w:eastAsia="cs-CZ"/>
        </w:rPr>
        <w:t>poskytnutí plnění, jež má povahu Díla</w:t>
      </w:r>
      <w:r w:rsidRPr="001851D7">
        <w:rPr>
          <w:lang w:eastAsia="cs-CZ"/>
        </w:rPr>
        <w:t>. Cena za</w:t>
      </w:r>
      <w:r w:rsidR="00541979">
        <w:rPr>
          <w:lang w:eastAsia="cs-CZ"/>
        </w:rPr>
        <w:t> </w:t>
      </w:r>
      <w:r w:rsidRPr="001851D7">
        <w:rPr>
          <w:lang w:eastAsia="cs-CZ"/>
        </w:rPr>
        <w:t>poskytnutí práv k užití Díla nebo jeho</w:t>
      </w:r>
      <w:r>
        <w:rPr>
          <w:lang w:eastAsia="cs-CZ"/>
        </w:rPr>
        <w:t xml:space="preserve"> částí je zahrnuta v Ceně.</w:t>
      </w:r>
      <w:r w:rsidRPr="001851D7">
        <w:rPr>
          <w:lang w:eastAsia="cs-CZ"/>
        </w:rPr>
        <w:t xml:space="preserve"> </w:t>
      </w:r>
    </w:p>
    <w:p w14:paraId="77194593" w14:textId="77777777" w:rsidR="001851D7" w:rsidRPr="00121227" w:rsidRDefault="001851D7" w:rsidP="00DB6F5F">
      <w:pPr>
        <w:pStyle w:val="Nadpis2"/>
      </w:pPr>
      <w:r w:rsidRPr="001851D7">
        <w:rPr>
          <w:lang w:eastAsia="cs-CZ"/>
        </w:rPr>
        <w:t>Objednatel je oprávněn na základě této smlouvy Dílo použít způsoby, které podle povahy přicházejí dle § 12 a násl. Autorského zákona v úvahu, zejména pak má právo na</w:t>
      </w:r>
      <w:r w:rsidR="00541979">
        <w:rPr>
          <w:lang w:eastAsia="cs-CZ"/>
        </w:rPr>
        <w:t> </w:t>
      </w:r>
      <w:r w:rsidRPr="001851D7">
        <w:rPr>
          <w:lang w:eastAsia="cs-CZ"/>
        </w:rPr>
        <w:t>rozšiřování originálu nebo rozmnoženiny Díla, a to jak sám, tak prostřednictvím osoby, která jedná na základě jeho příkazu nebo pokynu.</w:t>
      </w:r>
    </w:p>
    <w:p w14:paraId="1F8F0BCB" w14:textId="77777777" w:rsidR="001851D7" w:rsidRPr="004C7D07" w:rsidRDefault="001851D7" w:rsidP="00DB6F5F">
      <w:pPr>
        <w:pStyle w:val="Nadpis2"/>
      </w:pPr>
      <w:r w:rsidRPr="001851D7">
        <w:rPr>
          <w:lang w:eastAsia="cs-CZ"/>
        </w:rPr>
        <w:t xml:space="preserve">Objednatel je oprávněn v rozsahu licence dle článku této Smlouvy poskytnout podlicenci třetí osobě, aniž by k tomu potřeboval předchozí souhlas </w:t>
      </w:r>
      <w:r>
        <w:rPr>
          <w:lang w:eastAsia="cs-CZ"/>
        </w:rPr>
        <w:t>Poskytovatele</w:t>
      </w:r>
      <w:r w:rsidRPr="001851D7">
        <w:rPr>
          <w:lang w:eastAsia="cs-CZ"/>
        </w:rPr>
        <w:t xml:space="preserve">. </w:t>
      </w:r>
    </w:p>
    <w:p w14:paraId="4DC43A18" w14:textId="77777777" w:rsidR="001851D7" w:rsidRPr="00121227" w:rsidRDefault="001851D7" w:rsidP="00DB6F5F">
      <w:pPr>
        <w:pStyle w:val="Nadpis2"/>
      </w:pPr>
      <w:r w:rsidRPr="001851D7">
        <w:rPr>
          <w:lang w:eastAsia="cs-CZ"/>
        </w:rPr>
        <w:t xml:space="preserve">Objednatel je oprávněn podle své úvahy licenci podle tohoto článku Smlouvy využít nebo nevyužít, a to jak zcela, tak zčásti. </w:t>
      </w:r>
      <w:r w:rsidR="009007E0">
        <w:rPr>
          <w:lang w:eastAsia="cs-CZ"/>
        </w:rPr>
        <w:t>Poskytovatel</w:t>
      </w:r>
      <w:r w:rsidRPr="001851D7">
        <w:rPr>
          <w:lang w:eastAsia="cs-CZ"/>
        </w:rPr>
        <w:t xml:space="preserve"> proto uznává, že nevyužitím nebo nedostatečným využitím licence nemůže dojít k značně nepříznivému ovlivnění jeho zájmu, a proto není oprávněn od této </w:t>
      </w:r>
      <w:r w:rsidR="009007E0">
        <w:rPr>
          <w:lang w:eastAsia="cs-CZ"/>
        </w:rPr>
        <w:t>s</w:t>
      </w:r>
      <w:r w:rsidRPr="001851D7">
        <w:rPr>
          <w:lang w:eastAsia="cs-CZ"/>
        </w:rPr>
        <w:t>mlouvy odstoupit z důvodu, že nabyvatel licence licenci zcela nebo zčásti nevyužil.</w:t>
      </w:r>
    </w:p>
    <w:p w14:paraId="7BF59244" w14:textId="77777777" w:rsidR="00847349" w:rsidRPr="00FA1446" w:rsidRDefault="00ED2639" w:rsidP="00541979">
      <w:pPr>
        <w:pStyle w:val="Nadpis1"/>
      </w:pPr>
      <w:r>
        <w:lastRenderedPageBreak/>
        <w:t>ochrana a bezpečnost informací</w:t>
      </w:r>
    </w:p>
    <w:p w14:paraId="16F93BF5" w14:textId="77777777" w:rsidR="00847349" w:rsidRPr="00FA1446" w:rsidRDefault="00847349" w:rsidP="00DB6F5F">
      <w:pPr>
        <w:pStyle w:val="Nadpis2"/>
      </w:pPr>
      <w:r w:rsidRPr="00FA1446">
        <w:t xml:space="preserve">Smluvní strany se vzájemně zavazují řádně označovat skutečnosti tvořící předmět jejich obchodního tajemství ve smyslu ustanovení § 504 OZ, přičemž se zavazují odpovídajícím způsobem zajišťovat ochranu tohoto obchodního tajemství druhé smluvní strany. </w:t>
      </w:r>
    </w:p>
    <w:p w14:paraId="727DE637" w14:textId="77777777" w:rsidR="00847349" w:rsidRPr="00FA1446" w:rsidRDefault="00847349" w:rsidP="00DB6F5F">
      <w:pPr>
        <w:pStyle w:val="Nadpis2"/>
      </w:pPr>
      <w:r w:rsidRPr="00FA1446">
        <w:t>Smluvní strany se zavazují, že zachovají jako neveřejné informace a zprávy týkající se vlastní spolupráce a vnitřních záležitostí smluvních stran, pokud by jejich zveřejnění mohlo poškodit druhou stranu. Povinnost poskytovat informace podle zákona č. 106/1999 Sb., o</w:t>
      </w:r>
      <w:r w:rsidR="00541979">
        <w:t> </w:t>
      </w:r>
      <w:r w:rsidRPr="00FA1446">
        <w:t>svobodném přístupu k informacím, ve znění pozdějších předpisů tím není dotčena.</w:t>
      </w:r>
    </w:p>
    <w:p w14:paraId="62F5BF5E" w14:textId="77777777" w:rsidR="00847349" w:rsidRPr="00FA1446" w:rsidRDefault="00847349" w:rsidP="00DB6F5F">
      <w:pPr>
        <w:pStyle w:val="Nadpis2"/>
      </w:pPr>
      <w:r w:rsidRPr="00FA1446">
        <w:t>Smluvní strany budou za neveřejné informace považovat též veškeré informace vzájemně poskytnuté v jakékoliv objektivně vnímatelné formě ústně, v listinné, elektronické, vizuální nebo jiné podobě, jakož i know-how, a které mají skutečnou nebo alespoň potenciální hodnotu a které nejsou v příslušných obchodních kruzích běžně dostupné nebo u kterých se z povahy dá předpokládat, že se jedná o informace neveřejné, resp. podléhající závazku mlčenlivosti, a které se dozvěděly v souvislosti s plněním smlouvy.</w:t>
      </w:r>
    </w:p>
    <w:p w14:paraId="08BB6EDD" w14:textId="77777777" w:rsidR="00847349" w:rsidRPr="00FA1446" w:rsidRDefault="00847349" w:rsidP="00DB6F5F">
      <w:pPr>
        <w:pStyle w:val="Nadpis2"/>
      </w:pPr>
      <w:r w:rsidRPr="00FA1446">
        <w:t xml:space="preserve">Smluvní strany se zavazují, že neuvolní třetí osobě neveřejné informace druhé </w:t>
      </w:r>
      <w:r w:rsidR="00A3687F">
        <w:t>s</w:t>
      </w:r>
      <w:r w:rsidRPr="00FA1446">
        <w:t>mluvní strany bez jejího souhlasu, a to v jakékoliv formě, a že podniknou všechny nezbytné kroky k zabezpečení těchto informací. To neplatí, mají-li být za účelem plnění smlouvy potřebné informace zpřístupněny zaměstnancům, statutárním orgánům nebo jejich členům nebo třetím osobám, které se podílejí na plnění předmětu smlouvy.</w:t>
      </w:r>
    </w:p>
    <w:p w14:paraId="1998D57A" w14:textId="77777777" w:rsidR="00847349" w:rsidRPr="00FA1446" w:rsidRDefault="00847349" w:rsidP="00DB6F5F">
      <w:pPr>
        <w:pStyle w:val="Nadpis2"/>
      </w:pPr>
      <w:r w:rsidRPr="00FA1446">
        <w:t>Smluvní strany se zavazují, že o povinnosti utajovat neveřejné informace poučí své</w:t>
      </w:r>
      <w:r w:rsidR="00541979">
        <w:t> </w:t>
      </w:r>
      <w:r w:rsidRPr="00FA1446">
        <w:t>zaměstnance a případné své dodavatele, kterým budou neveřejné informace zpřístupněny.</w:t>
      </w:r>
    </w:p>
    <w:p w14:paraId="17425DD9" w14:textId="77777777" w:rsidR="00847349" w:rsidRPr="00FA1446" w:rsidRDefault="00847349" w:rsidP="00DB6F5F">
      <w:pPr>
        <w:pStyle w:val="Nadpis2"/>
      </w:pPr>
      <w:r w:rsidRPr="00FA1446">
        <w:t>Ochrana neveřejných informací se nevztahuje zejména na případy, kdy:</w:t>
      </w:r>
    </w:p>
    <w:p w14:paraId="68170DF8" w14:textId="77777777" w:rsidR="00847349" w:rsidRPr="00541979" w:rsidRDefault="00847349" w:rsidP="00DB6F5F">
      <w:pPr>
        <w:pStyle w:val="Nadpis3"/>
      </w:pPr>
      <w:r w:rsidRPr="00541979">
        <w:t>smluvní strana prokáže, že je tato informace veřejně dostupná, aniž by tuto dostupnost způsobila sama smluvní strana;</w:t>
      </w:r>
    </w:p>
    <w:p w14:paraId="577FCF84" w14:textId="77777777" w:rsidR="00847349" w:rsidRPr="00541979" w:rsidRDefault="00847349" w:rsidP="00DB6F5F">
      <w:pPr>
        <w:pStyle w:val="Nadpis3"/>
      </w:pPr>
      <w:r w:rsidRPr="00541979">
        <w:t>smluvní strana prokáže, že měla tuto informaci k dispozici ještě před datem zpřístupnění druhou stranou, a že ji nenabyla v rozporu se zákonem;</w:t>
      </w:r>
    </w:p>
    <w:p w14:paraId="5D48CE6C" w14:textId="77777777" w:rsidR="00847349" w:rsidRPr="00541979" w:rsidRDefault="00847349" w:rsidP="00DB6F5F">
      <w:pPr>
        <w:pStyle w:val="Nadpis3"/>
      </w:pPr>
      <w:r w:rsidRPr="00541979">
        <w:t>smluvní strana obdrží od zpřístupňující strany písemný souhlas zpřístupňovat danou informaci;</w:t>
      </w:r>
    </w:p>
    <w:p w14:paraId="4D23EC69" w14:textId="77777777" w:rsidR="00847349" w:rsidRPr="00541979" w:rsidRDefault="00847349" w:rsidP="00DB6F5F">
      <w:pPr>
        <w:pStyle w:val="Nadpis3"/>
      </w:pPr>
      <w:r w:rsidRPr="00FA1446">
        <w:t xml:space="preserve">je </w:t>
      </w:r>
      <w:r w:rsidRPr="00541979">
        <w:t>zpřístupnění informace vyžadováno zákonem nebo závazným rozhodnutím příslušného orgánu státní správy či samosprávy;</w:t>
      </w:r>
    </w:p>
    <w:p w14:paraId="7631568D" w14:textId="77777777" w:rsidR="00847349" w:rsidRPr="00541979" w:rsidRDefault="00847349" w:rsidP="00DB6F5F">
      <w:pPr>
        <w:pStyle w:val="Nadpis3"/>
      </w:pPr>
      <w:r w:rsidRPr="00541979">
        <w:t>auditor provádí u některé ze smluvních stran audit na základě oprávnění vyplývajícího z příslušných právních předpisů.</w:t>
      </w:r>
    </w:p>
    <w:p w14:paraId="5DD25A54" w14:textId="77777777" w:rsidR="00847349" w:rsidRPr="00FA1446" w:rsidRDefault="00847349" w:rsidP="00DB6F5F">
      <w:pPr>
        <w:pStyle w:val="Nadpis2"/>
      </w:pPr>
      <w:r w:rsidRPr="00FA1446">
        <w:t xml:space="preserve">V případě, že se kterákoli </w:t>
      </w:r>
      <w:r w:rsidR="00A3687F">
        <w:t>s</w:t>
      </w:r>
      <w:r w:rsidRPr="00FA1446">
        <w:t>mluvní strana hodnověrným způsobem dozví, popř. bude mít důvodné podezření, že došlo ke zpřístupnění neveřejných informací neoprávněné osobě, je p</w:t>
      </w:r>
      <w:r w:rsidR="00A3687F">
        <w:t>ovinna o tom informovat druhou s</w:t>
      </w:r>
      <w:r w:rsidRPr="00FA1446">
        <w:t>mluvní stranu.</w:t>
      </w:r>
    </w:p>
    <w:p w14:paraId="69E03323" w14:textId="0C6B51F1" w:rsidR="00847349" w:rsidRPr="00FA1446" w:rsidRDefault="00847349" w:rsidP="00DB6F5F">
      <w:pPr>
        <w:pStyle w:val="Nadpis2"/>
      </w:pPr>
      <w:r w:rsidRPr="00FA1446">
        <w:lastRenderedPageBreak/>
        <w:t>Povinnost zachovávat mlčenlivost o neveřejných informacích získaných v rámci spolupráce s</w:t>
      </w:r>
      <w:r w:rsidR="00666B4C">
        <w:t> </w:t>
      </w:r>
      <w:r w:rsidR="00A3687F">
        <w:t>druhou s</w:t>
      </w:r>
      <w:r w:rsidRPr="00FA1446">
        <w:t>m</w:t>
      </w:r>
      <w:r w:rsidR="00D849FE">
        <w:t xml:space="preserve">luvní stranou trvá </w:t>
      </w:r>
      <w:r w:rsidR="00802355">
        <w:t xml:space="preserve">po dobu </w:t>
      </w:r>
      <w:r w:rsidR="00D849FE">
        <w:t xml:space="preserve">až </w:t>
      </w:r>
      <w:r w:rsidR="00802355">
        <w:t>5 let</w:t>
      </w:r>
      <w:r w:rsidR="00D849FE">
        <w:t xml:space="preserve"> od ukončení účinnosti smlouvy</w:t>
      </w:r>
      <w:r w:rsidR="00802355">
        <w:t>, nestanoví-li obecně závazné právní předpisy jinak</w:t>
      </w:r>
      <w:r w:rsidRPr="00FA1446">
        <w:t>.</w:t>
      </w:r>
    </w:p>
    <w:p w14:paraId="5916B1C3" w14:textId="77777777" w:rsidR="00847349" w:rsidRPr="00FA1446" w:rsidRDefault="00847349" w:rsidP="00DB6F5F">
      <w:pPr>
        <w:pStyle w:val="Nadpis2"/>
      </w:pPr>
      <w:r w:rsidRPr="00FA1446">
        <w:t>Poskytovatel se zavazuje chránit osobní údaje. Poskytovatel se rovněž zavazuje pro případ, že v rámci plnění předmětu smlouvy se dostane do kontaktu s osobními údaji, že je bude ochraňovat a nakládat s nimi plně v souladu s příslušnými právními předpisy, a to i</w:t>
      </w:r>
      <w:r w:rsidR="00541979">
        <w:t> </w:t>
      </w:r>
      <w:r w:rsidRPr="00FA1446">
        <w:t>po</w:t>
      </w:r>
      <w:r w:rsidR="00541979">
        <w:t> </w:t>
      </w:r>
      <w:r w:rsidRPr="00FA1446">
        <w:t>ukončení plnění smlouvy. Smluvní strany se v případě kontaktu s osobními údaji, ve</w:t>
      </w:r>
      <w:r w:rsidR="00541979">
        <w:t> </w:t>
      </w:r>
      <w:r w:rsidRPr="00FA1446">
        <w:t>smyslu příslušných ustanovení zákona č. 101/2000 Sb., o ochraně osobních údajů, ve</w:t>
      </w:r>
      <w:r w:rsidR="00541979">
        <w:t> </w:t>
      </w:r>
      <w:r w:rsidRPr="00FA1446">
        <w:t>znění pozdějších předpisů, zavazují uzavřít dodatek ke Smlouvě spočívající v dohodě o</w:t>
      </w:r>
      <w:r w:rsidR="00541979">
        <w:t> </w:t>
      </w:r>
      <w:r w:rsidRPr="00FA1446">
        <w:t>zpracování osobních údajů.</w:t>
      </w:r>
    </w:p>
    <w:p w14:paraId="56AE5CD5" w14:textId="77777777" w:rsidR="00847349" w:rsidRPr="00FA1446" w:rsidRDefault="00847349" w:rsidP="00541979">
      <w:pPr>
        <w:pStyle w:val="Nadpis1"/>
      </w:pPr>
      <w:r w:rsidRPr="00FA1446">
        <w:t>Sankční ujednání</w:t>
      </w:r>
    </w:p>
    <w:p w14:paraId="7A2C2CCB" w14:textId="77777777" w:rsidR="00847349" w:rsidRDefault="00847349" w:rsidP="00DB6F5F">
      <w:pPr>
        <w:pStyle w:val="Nadpis2"/>
      </w:pPr>
      <w:r w:rsidRPr="00FA1446">
        <w:t xml:space="preserve">V případě prodlení Objednatele s včasnou úhradou ceny za předmět plnění vzniká Poskytovateli nárok na smluvní pokutu ve výši </w:t>
      </w:r>
      <w:r w:rsidRPr="00A3687F">
        <w:t>0,05 %</w:t>
      </w:r>
      <w:r w:rsidRPr="00FA1446">
        <w:t xml:space="preserve"> z fakturované částky bez DPH, a to za každý započatý den prodlení.</w:t>
      </w:r>
    </w:p>
    <w:p w14:paraId="0BBF6AA6" w14:textId="77777777" w:rsidR="00A3687F" w:rsidRPr="00A3687F" w:rsidRDefault="00A3687F" w:rsidP="00DB6F5F">
      <w:pPr>
        <w:pStyle w:val="Nadpis2"/>
      </w:pPr>
      <w:r>
        <w:t xml:space="preserve">V případě, že Poskytovatel </w:t>
      </w:r>
      <w:r w:rsidRPr="00A3687F">
        <w:t xml:space="preserve">poruší jakoukoliv svou povinnost podle článku </w:t>
      </w:r>
      <w:r>
        <w:t>X. této s</w:t>
      </w:r>
      <w:r w:rsidRPr="00A3687F">
        <w:t xml:space="preserve">mlouvy, je </w:t>
      </w:r>
      <w:r>
        <w:t>Poskytovatel</w:t>
      </w:r>
      <w:r w:rsidRPr="00A3687F">
        <w:t xml:space="preserve"> povinen zaplatit Objednateli smluvní pokutu ve výši 200.000,- Kč za každé porušení.</w:t>
      </w:r>
    </w:p>
    <w:p w14:paraId="496B225E" w14:textId="77777777" w:rsidR="00A3687F" w:rsidRPr="00AA76CF" w:rsidRDefault="00A3687F" w:rsidP="00DB6F5F">
      <w:pPr>
        <w:pStyle w:val="Nadpis2"/>
      </w:pPr>
      <w:r>
        <w:t>Poruší-li Poskytovatel</w:t>
      </w:r>
      <w:r w:rsidRPr="00A3687F">
        <w:t xml:space="preserve"> povinnost udržovat v účinnosti pojiště</w:t>
      </w:r>
      <w:r w:rsidR="00AA76CF">
        <w:t>ní vyžadované s</w:t>
      </w:r>
      <w:r w:rsidRPr="00A3687F">
        <w:t xml:space="preserve">mlouvou, je </w:t>
      </w:r>
      <w:r w:rsidR="00AA76CF" w:rsidRPr="00AA76CF">
        <w:t>Poskytovatel</w:t>
      </w:r>
      <w:r w:rsidRPr="00AA76CF">
        <w:t xml:space="preserve"> povinen uhradit Objednateli smluvní pokutu ve výši 10.000,- Kč za každý započatý kalendářní den, kdy tento stav trvá.</w:t>
      </w:r>
    </w:p>
    <w:p w14:paraId="2E12559A" w14:textId="77777777" w:rsidR="00EA26B3" w:rsidRPr="00AA76CF" w:rsidRDefault="00EA26B3" w:rsidP="00DB6F5F">
      <w:pPr>
        <w:pStyle w:val="Nadpis2"/>
      </w:pPr>
      <w:r w:rsidRPr="00AA76CF">
        <w:t xml:space="preserve">V případě závažného nedodržení požadované kvality služeb, zejména plnění SLA nebo odborné kvality pracovníků </w:t>
      </w:r>
      <w:r w:rsidR="00AA76CF" w:rsidRPr="00AA76CF">
        <w:t>Poskytovatele</w:t>
      </w:r>
      <w:r w:rsidRPr="00AA76CF">
        <w:t>, bude situace řešena do 5 pracovních dnů od</w:t>
      </w:r>
      <w:r w:rsidR="00541979">
        <w:t> </w:t>
      </w:r>
      <w:r w:rsidRPr="00AA76CF">
        <w:t>výzvy Objednatele jednáním oprávněných osob obou stran ve věcech technických a</w:t>
      </w:r>
      <w:r w:rsidR="00541979">
        <w:t> </w:t>
      </w:r>
      <w:r w:rsidRPr="00AA76CF">
        <w:t xml:space="preserve">smluvních. V případě opakovaného závažného nedodržení požadované kvality služeb může Objednatel odstoupit od smlouvy bez </w:t>
      </w:r>
      <w:r w:rsidR="00AA76CF" w:rsidRPr="00AA76CF">
        <w:t xml:space="preserve">povinnosti uhradit fakturu za měsíc, kdy došlo k nedodržení požadované kvality služeb. </w:t>
      </w:r>
    </w:p>
    <w:p w14:paraId="106ACC8A" w14:textId="4CC46155" w:rsidR="00AA76CF" w:rsidRDefault="00AA76CF" w:rsidP="00DB6F5F">
      <w:pPr>
        <w:pStyle w:val="Nadpis2"/>
      </w:pPr>
      <w:r>
        <w:t xml:space="preserve">Smluvní pokuty </w:t>
      </w:r>
      <w:r w:rsidRPr="00AA76CF">
        <w:t xml:space="preserve">jsou splatné do deseti (10) dnů od data doručení písemné výzvy k platbě </w:t>
      </w:r>
      <w:r>
        <w:t>Poskytovateli. Maximální celková výše smluvních pokut je omezena celkovou cenou služeb v článku III.</w:t>
      </w:r>
    </w:p>
    <w:p w14:paraId="6C358A92" w14:textId="77777777" w:rsidR="00847349" w:rsidRPr="00FA1446" w:rsidRDefault="00847349" w:rsidP="00541979">
      <w:pPr>
        <w:pStyle w:val="Nadpis1"/>
      </w:pPr>
      <w:r w:rsidRPr="00FA1446">
        <w:t>Odpovědnost za škodu</w:t>
      </w:r>
    </w:p>
    <w:p w14:paraId="5D11E4F8" w14:textId="77777777" w:rsidR="00847349" w:rsidRPr="00B957C8" w:rsidRDefault="00847349" w:rsidP="00DB6F5F">
      <w:pPr>
        <w:pStyle w:val="Nadpis2"/>
      </w:pPr>
      <w:r w:rsidRPr="00B957C8">
        <w:t>Odpovědnost za škodu se řídí ustanovením § 2894 a násl. občanského zákoníku.</w:t>
      </w:r>
    </w:p>
    <w:p w14:paraId="1289E785" w14:textId="77777777" w:rsidR="00847349" w:rsidRPr="00B957C8" w:rsidRDefault="00847349" w:rsidP="00DB6F5F">
      <w:pPr>
        <w:pStyle w:val="Nadpis2"/>
      </w:pPr>
      <w:r w:rsidRPr="00B957C8">
        <w:t xml:space="preserve">Smluvní strana, která poruší svoji povinnost ze smlouvy, je povinna nahradit škodu tím způsobenou druhé </w:t>
      </w:r>
      <w:r w:rsidR="00AA76CF">
        <w:t>s</w:t>
      </w:r>
      <w:r w:rsidRPr="00B957C8">
        <w:t xml:space="preserve">mluvní straně. Povinnosti k náhradě škody se zprostí, prokáže-li, že jí ve splnění povinnosti z této smlouvy dočasně nebo trvale zabránila mimořádná nepředvídatelná a nepřekonatelná překážka vzniklá nezávisle na jeho vůli. Škoda, </w:t>
      </w:r>
      <w:r w:rsidRPr="00B957C8">
        <w:lastRenderedPageBreak/>
        <w:tab/>
        <w:t>způsobená zaměstnanci příslušné Smluvní strany nebo tř</w:t>
      </w:r>
      <w:r w:rsidR="00AA76CF">
        <w:t>etími osobami, které příslušná s</w:t>
      </w:r>
      <w:r w:rsidRPr="00B957C8">
        <w:t>mluvní strana pověří plněním svých závazků dle smlouvy, bude posuzována j</w:t>
      </w:r>
      <w:r w:rsidR="00AA76CF">
        <w:t>ako škoda způsobená příslušnou s</w:t>
      </w:r>
      <w:r w:rsidRPr="00B957C8">
        <w:t>mluvní stranou a v tomto případě je zavázaná Smluvní strana povinna nahradit způsobenou škodu oprávněné Smluvní straně stejně, jako by ji způsobila sama zavázaná Smluvní strana.</w:t>
      </w:r>
    </w:p>
    <w:p w14:paraId="4F83A298" w14:textId="276BE6DC" w:rsidR="00847349" w:rsidRPr="00B957C8" w:rsidRDefault="00847349" w:rsidP="00DB6F5F">
      <w:pPr>
        <w:pStyle w:val="Nadpis2"/>
      </w:pPr>
      <w:r w:rsidRPr="00B957C8">
        <w:t>Není-li ve smlouvě stano</w:t>
      </w:r>
      <w:r w:rsidR="00AA76CF">
        <w:t>veno jinak, odpovídá příslušná s</w:t>
      </w:r>
      <w:r w:rsidRPr="00B957C8">
        <w:t>mluvní strana z</w:t>
      </w:r>
      <w:r w:rsidR="00AA76CF">
        <w:t>a jakoukoli škodu,</w:t>
      </w:r>
      <w:r w:rsidR="009C76AC">
        <w:t xml:space="preserve"> s výjimkou ušlého zisku</w:t>
      </w:r>
      <w:r w:rsidR="00474F7D">
        <w:t xml:space="preserve"> a jiných nepřímých škod</w:t>
      </w:r>
      <w:r w:rsidR="009C76AC">
        <w:t>,</w:t>
      </w:r>
      <w:r w:rsidR="00AA76CF">
        <w:t xml:space="preserve"> která druhé s</w:t>
      </w:r>
      <w:r w:rsidRPr="00B957C8">
        <w:t>mluvní straně vznikne v</w:t>
      </w:r>
      <w:r w:rsidR="00666B4C">
        <w:t> </w:t>
      </w:r>
      <w:r w:rsidRPr="00B957C8">
        <w:t>souvislosti s porušením povinností příslušné Smluvní strany podle smlouvy.</w:t>
      </w:r>
    </w:p>
    <w:p w14:paraId="080193CA" w14:textId="77777777" w:rsidR="00847349" w:rsidRPr="00B957C8" w:rsidRDefault="00847349" w:rsidP="00DB6F5F">
      <w:pPr>
        <w:pStyle w:val="Nadpis2"/>
      </w:pPr>
      <w:r w:rsidRPr="00B957C8">
        <w:t>Překážka vznik</w:t>
      </w:r>
      <w:r w:rsidR="00AA76CF">
        <w:t>lá z osobních poměrů příslušné s</w:t>
      </w:r>
      <w:r w:rsidRPr="00B957C8">
        <w:t>mluvní strany nebo vzniklá</w:t>
      </w:r>
      <w:r w:rsidR="00AA76CF">
        <w:t xml:space="preserve"> až v době, kdy byla příslušná s</w:t>
      </w:r>
      <w:r w:rsidRPr="00B957C8">
        <w:t>mluvní strana s plněním smluvené povinnosti v prodlení, ani překážka, kterou byla př</w:t>
      </w:r>
      <w:r w:rsidR="00AA76CF">
        <w:t>íslušná s</w:t>
      </w:r>
      <w:r w:rsidRPr="00B957C8">
        <w:t>mluvní strana podle této smlouvy povinna překonat, jí však povinnosti k náhradě škody nezprostí.</w:t>
      </w:r>
    </w:p>
    <w:p w14:paraId="3F8F5572" w14:textId="77777777" w:rsidR="00847349" w:rsidRPr="00B957C8" w:rsidRDefault="00847349" w:rsidP="00DB6F5F">
      <w:pPr>
        <w:pStyle w:val="Nadpis2"/>
      </w:pPr>
      <w:r w:rsidRPr="00B957C8">
        <w:t>Smluvní strana, která p</w:t>
      </w:r>
      <w:r w:rsidR="00AA76CF">
        <w:t>orušila právní povinnost, nebo s</w:t>
      </w:r>
      <w:r w:rsidRPr="00B957C8">
        <w:t xml:space="preserve">mluvní strana, která může a má </w:t>
      </w:r>
      <w:r w:rsidRPr="00B957C8">
        <w:tab/>
        <w:t xml:space="preserve">vědět, že ji poruší, oznámí to bez zbytečného odkladu druhé Smluvní straně, které z toho </w:t>
      </w:r>
      <w:r w:rsidRPr="00B957C8">
        <w:tab/>
        <w:t xml:space="preserve">může újma vzniknout, a upozorní ji na možné následky. Jestliže příslušná Smluvní strana </w:t>
      </w:r>
      <w:r w:rsidRPr="00B957C8">
        <w:tab/>
        <w:t>tuto povinnost nesplní, má poškozená Smluvní strana nárok na náhradu škody, která jí tím vznikla.</w:t>
      </w:r>
    </w:p>
    <w:p w14:paraId="78CDBE91" w14:textId="20098CCE" w:rsidR="00847349" w:rsidRPr="00B957C8" w:rsidRDefault="00B957C8" w:rsidP="00DB6F5F">
      <w:pPr>
        <w:pStyle w:val="Nadpis2"/>
      </w:pPr>
      <w:r w:rsidRPr="00B957C8">
        <w:t xml:space="preserve">Smluvní strany se dohodly, že výše </w:t>
      </w:r>
      <w:r w:rsidR="00847349" w:rsidRPr="00B957C8">
        <w:t xml:space="preserve">náhrady případně vzniklé škody </w:t>
      </w:r>
      <w:r w:rsidRPr="00B957C8">
        <w:t xml:space="preserve">je omezena </w:t>
      </w:r>
      <w:r w:rsidR="006575D2">
        <w:t>celkovou cenou služeb v článku III.</w:t>
      </w:r>
    </w:p>
    <w:p w14:paraId="0814BDCF" w14:textId="77777777" w:rsidR="00847349" w:rsidRPr="00396255" w:rsidRDefault="00847349" w:rsidP="00541979">
      <w:pPr>
        <w:pStyle w:val="Nadpis1"/>
      </w:pPr>
      <w:r w:rsidRPr="00396255">
        <w:t>Pojištění</w:t>
      </w:r>
    </w:p>
    <w:p w14:paraId="1EC26EDD" w14:textId="77777777" w:rsidR="00847349" w:rsidRPr="00FA1446" w:rsidRDefault="00847349" w:rsidP="00DB6F5F">
      <w:pPr>
        <w:pStyle w:val="Nadpis2"/>
      </w:pPr>
      <w:r w:rsidRPr="00FA1446">
        <w:t xml:space="preserve">Poskytovatel se zavazuje mít po celou dobu trvání smlouvy uzavřeno pojištění </w:t>
      </w:r>
      <w:r w:rsidRPr="00FA1446">
        <w:tab/>
        <w:t>odpovědnosti za škodu, jakož i platit řádně a včas příslušné pojistné.</w:t>
      </w:r>
      <w:r w:rsidR="00B957C8">
        <w:t xml:space="preserve"> </w:t>
      </w:r>
    </w:p>
    <w:p w14:paraId="2423E4C3" w14:textId="77777777" w:rsidR="00847349" w:rsidRPr="00FA1446" w:rsidRDefault="00847349" w:rsidP="00DB6F5F">
      <w:pPr>
        <w:pStyle w:val="Nadpis2"/>
      </w:pPr>
      <w:r w:rsidRPr="00FA1446">
        <w:t>Uvedené pojištění musí být sjednáno pro případ odpovědnosti Poskytovatele za škodu, která může nastat v souvislosti s plněním závazků Poskytovatele dle smlouvy. Pojištění musí být sjednáno zejména jako pojištění odpovědnosti za škody na věcech, majetku a</w:t>
      </w:r>
      <w:r w:rsidR="00541979">
        <w:t> </w:t>
      </w:r>
      <w:r w:rsidRPr="00FA1446">
        <w:t xml:space="preserve">zdraví s pojistnou částkou ne nižší než </w:t>
      </w:r>
      <w:r w:rsidR="00B957C8">
        <w:t>10.000.000 Kč (slovy: deset</w:t>
      </w:r>
      <w:r w:rsidRPr="00FA1446">
        <w:t xml:space="preserve"> milionů korun českých), dále též („pojistná smlouva“).</w:t>
      </w:r>
      <w:r w:rsidR="00B957C8">
        <w:t xml:space="preserve"> Pojistnou smlouvu je Poskytovatel povinen předložit Objednateli na základě jeho výzvy.</w:t>
      </w:r>
    </w:p>
    <w:p w14:paraId="3CC9E293" w14:textId="08986A4B" w:rsidR="00610EFD" w:rsidRDefault="00610EFD" w:rsidP="00541979">
      <w:pPr>
        <w:pStyle w:val="Nadpis1"/>
      </w:pPr>
      <w:r>
        <w:t>poddodavatelé a realizační tým</w:t>
      </w:r>
    </w:p>
    <w:p w14:paraId="2E7AD19A" w14:textId="2A7E68EA" w:rsidR="00610EFD" w:rsidRDefault="002B4099" w:rsidP="00610EFD">
      <w:pPr>
        <w:pStyle w:val="Nadpis2"/>
      </w:pPr>
      <w:r>
        <w:t>Poskytovatel</w:t>
      </w:r>
      <w:r w:rsidR="00610EFD">
        <w:t xml:space="preserve"> se zavazuje plnění předmětu </w:t>
      </w:r>
      <w:r>
        <w:t>s</w:t>
      </w:r>
      <w:r w:rsidR="00610EFD">
        <w:t xml:space="preserve">mlouvy provést sám, nebo s využitím poddodavatelů, uvedených spolu s rozsahem jejich plnění v příloze č. </w:t>
      </w:r>
      <w:r>
        <w:t>2 s</w:t>
      </w:r>
      <w:r w:rsidR="00610EFD">
        <w:t xml:space="preserve">mlouvy. </w:t>
      </w:r>
      <w:r>
        <w:t>Poskytovatel</w:t>
      </w:r>
      <w:r w:rsidR="00610EFD">
        <w:t xml:space="preserve"> je povinen písemně informovat Objednatele o všech svých poddodavatelích (včetně jejich identifikačních a kontaktních údajů a o tom, které služby pro něj v rámci předmětu plnění každý z poddodavatelů poskytuje) a o jejich změně, a to nejpozději do 7 </w:t>
      </w:r>
      <w:r w:rsidR="00610EFD">
        <w:lastRenderedPageBreak/>
        <w:t xml:space="preserve">(sedmi) kalendářních dnů ode dne, kdy </w:t>
      </w:r>
      <w:r>
        <w:t>Poskytovatel</w:t>
      </w:r>
      <w:r w:rsidR="00610EFD">
        <w:t xml:space="preserve"> vstoupil s poddodavatelem ve smluvní vztah či ode dne, kdy nastala změna.</w:t>
      </w:r>
    </w:p>
    <w:p w14:paraId="38C7D949" w14:textId="50746A97" w:rsidR="00610EFD" w:rsidRDefault="002B4099" w:rsidP="00610EFD">
      <w:pPr>
        <w:pStyle w:val="Nadpis2"/>
      </w:pPr>
      <w:r>
        <w:t>Poskytovatel</w:t>
      </w:r>
      <w:r w:rsidR="00610EFD">
        <w:t xml:space="preserve"> se zavazuje realizovat část plnění poddodavatelem, pomocí kterého prokázal splnění části kvalifikace v zadávacím řízení, a to alespoň v takovém rozsahu, v jakém tento poddodavatel prokázal kvalifikaci za </w:t>
      </w:r>
      <w:r>
        <w:t>Poskytovatele</w:t>
      </w:r>
      <w:r w:rsidR="00610EFD">
        <w:t xml:space="preserve">.  </w:t>
      </w:r>
    </w:p>
    <w:p w14:paraId="65E7A547" w14:textId="52C7F09D" w:rsidR="00610EFD" w:rsidRDefault="002B4099" w:rsidP="00610EFD">
      <w:pPr>
        <w:pStyle w:val="Nadpis2"/>
      </w:pPr>
      <w:r>
        <w:t>Poskytovatel</w:t>
      </w:r>
      <w:r w:rsidR="00610EFD">
        <w:t xml:space="preserve"> je oprávněn změnit poddodavatele, pomocí něhož prokázal část splnění kvalifikace v rámci zadávacího řízení </w:t>
      </w:r>
      <w:r>
        <w:t>Veřejné zakázky</w:t>
      </w:r>
      <w:r w:rsidR="00610EFD">
        <w:t xml:space="preserve">, na základě něhož byla uzavřena </w:t>
      </w:r>
      <w:r>
        <w:t>s</w:t>
      </w:r>
      <w:r w:rsidR="00610EFD">
        <w:t xml:space="preserve">mlouva, jen z vážných objektivních důvodů a s předchozím písemným souhlasem Objednatele, přičemž nový poddodavatel musí disponovat kvalifikací ve stejném či větším rozsahu, který původní poddodavatel prokázal za </w:t>
      </w:r>
      <w:r>
        <w:t>Poskytovatele</w:t>
      </w:r>
      <w:r w:rsidR="00610EFD">
        <w:t>. Objednatel nesmí souhlas se změnou poddodavatele bez objektivních důvodů odmítnout, pokud mu budou příslušné doklady ve stanovené lhůtě předloženy.</w:t>
      </w:r>
    </w:p>
    <w:p w14:paraId="02BC73E2" w14:textId="79892A4B" w:rsidR="00610EFD" w:rsidRDefault="00610EFD" w:rsidP="00610EFD">
      <w:pPr>
        <w:pStyle w:val="Nadpis2"/>
      </w:pPr>
      <w:r>
        <w:t xml:space="preserve">Zadání provedení části plnění dle </w:t>
      </w:r>
      <w:r w:rsidR="002B4099">
        <w:t>s</w:t>
      </w:r>
      <w:r>
        <w:t xml:space="preserve">mlouvy poddodavateli </w:t>
      </w:r>
      <w:r w:rsidR="002B4099">
        <w:t>Poskytovatelem</w:t>
      </w:r>
      <w:r>
        <w:t xml:space="preserve"> nezbavuje </w:t>
      </w:r>
      <w:r w:rsidR="002B4099">
        <w:t>Poskytovatele</w:t>
      </w:r>
      <w:r>
        <w:t xml:space="preserve"> jeho výlučné odpovědnosti za řádné provedení plnění dle </w:t>
      </w:r>
      <w:r w:rsidR="002B4099">
        <w:t>s</w:t>
      </w:r>
      <w:r>
        <w:t xml:space="preserve">mlouvy vůči Objednateli. </w:t>
      </w:r>
      <w:r w:rsidR="002B4099">
        <w:t>Poskytovatel</w:t>
      </w:r>
      <w:r>
        <w:t xml:space="preserve"> odpovídá Objednateli za plnění předmětu </w:t>
      </w:r>
      <w:r w:rsidR="002B4099">
        <w:t>s</w:t>
      </w:r>
      <w:r>
        <w:t>mlouvy, které svěřil poddodavateli, ve stejném rozsahu, jako by jej poskytoval sám.</w:t>
      </w:r>
    </w:p>
    <w:p w14:paraId="737B1925" w14:textId="3A3CF3C3" w:rsidR="00610EFD" w:rsidRDefault="00803AF6" w:rsidP="00610EFD">
      <w:pPr>
        <w:pStyle w:val="Nadpis2"/>
      </w:pPr>
      <w:r>
        <w:t>Poskytovatel</w:t>
      </w:r>
      <w:r w:rsidR="00610EFD">
        <w:t xml:space="preserve"> určí k plnění předmětu </w:t>
      </w:r>
      <w:r w:rsidR="0018674D">
        <w:t>s</w:t>
      </w:r>
      <w:r w:rsidR="00610EFD">
        <w:t xml:space="preserve">mlouvy realizační tým. Jmenné složení realizačního týmu je uvedeno v příloze č. </w:t>
      </w:r>
      <w:r>
        <w:t>3</w:t>
      </w:r>
      <w:r w:rsidR="00610EFD">
        <w:t xml:space="preserve"> </w:t>
      </w:r>
      <w:r w:rsidR="0018674D">
        <w:t>s</w:t>
      </w:r>
      <w:r w:rsidR="00610EFD">
        <w:t>mlouvy (dále jen „</w:t>
      </w:r>
      <w:r w:rsidR="00610EFD" w:rsidRPr="008F33CE">
        <w:rPr>
          <w:b/>
        </w:rPr>
        <w:t>Realizační tým</w:t>
      </w:r>
      <w:r w:rsidR="00610EFD">
        <w:t xml:space="preserve">“). </w:t>
      </w:r>
      <w:r>
        <w:t>Poskytovatel</w:t>
      </w:r>
      <w:r w:rsidR="00610EFD">
        <w:t xml:space="preserve"> se zavazuje zachovávat po celou dobu plnění předmětu </w:t>
      </w:r>
      <w:r>
        <w:t>s</w:t>
      </w:r>
      <w:r w:rsidR="00610EFD">
        <w:t xml:space="preserve">mlouvy profesionální složení Realizačního týmu v souladu s požadavky stanovenými ve </w:t>
      </w:r>
      <w:r>
        <w:t>s</w:t>
      </w:r>
      <w:r w:rsidR="00610EFD">
        <w:t>mlouvě.</w:t>
      </w:r>
    </w:p>
    <w:p w14:paraId="54808691" w14:textId="55B17AF9" w:rsidR="00610EFD" w:rsidRDefault="00803AF6" w:rsidP="00610EFD">
      <w:pPr>
        <w:pStyle w:val="Nadpis2"/>
      </w:pPr>
      <w:r>
        <w:t>Poskytovatel</w:t>
      </w:r>
      <w:r w:rsidR="00610EFD">
        <w:t xml:space="preserve"> se zavazuje zabezpečovat plnění předmětu </w:t>
      </w:r>
      <w:r>
        <w:t>s</w:t>
      </w:r>
      <w:r w:rsidR="00610EFD">
        <w:t xml:space="preserve">mlouvy prostřednictvím osob, jejichž prostřednictvím prokázal v rámci zadávacího řízení na VZ splnění kvalifikačních požadavků (technické kvalifikační předpoklady). V případě změny těchto osob (členů Realizačního týmu) je </w:t>
      </w:r>
      <w:r>
        <w:t>Poskytovatel</w:t>
      </w:r>
      <w:r w:rsidR="00610EFD">
        <w:t xml:space="preserve"> povinen vyžádat si předchozí písemný souhlas Objednatele. Nový člen Realizačního týmu musí splňovat příslušné požadavky na kvalifikaci stanovené v ZD, což je </w:t>
      </w:r>
      <w:r>
        <w:t>Poskytovatel</w:t>
      </w:r>
      <w:r w:rsidR="00610EFD">
        <w:t xml:space="preserve"> povinen Objednateli doložit odpovídajícími dokumenty. Pro případ jakékoliv změny těchto osob se </w:t>
      </w:r>
      <w:r>
        <w:t>s</w:t>
      </w:r>
      <w:r w:rsidR="00610EFD">
        <w:t xml:space="preserve">trany dohodly, že není potřeba uzavírat tomu odpovídající dodatek </w:t>
      </w:r>
      <w:r>
        <w:t>s</w:t>
      </w:r>
      <w:r w:rsidR="00610EFD">
        <w:t xml:space="preserve">mlouvy a taková změna je účinná dnem doručení písemného souhlasu Objednatele </w:t>
      </w:r>
      <w:r>
        <w:t>Poskytovateli</w:t>
      </w:r>
      <w:r w:rsidR="00610EFD">
        <w:t>.</w:t>
      </w:r>
    </w:p>
    <w:p w14:paraId="61B758B1" w14:textId="45C14CB8" w:rsidR="00610EFD" w:rsidRDefault="00610EFD" w:rsidP="00610EFD">
      <w:pPr>
        <w:pStyle w:val="Nadpis2"/>
      </w:pPr>
      <w:r>
        <w:t xml:space="preserve">Objednatel si vyhrazuje právo na odmítnutí nebo akceptaci významných změn ve složení Realizačního týmu v době plnění </w:t>
      </w:r>
      <w:r w:rsidR="00803AF6">
        <w:t>s</w:t>
      </w:r>
      <w:r>
        <w:t xml:space="preserve">mlouvy. Současně si Objednatel vyhrazuje právo požádat o výměnu člena Realizačního týmu pro opakovanou nespokojenost s kvalitou jím odváděné práce nebo pro nedostatečnou komunikaci s Objednatelem. Veškeré případné náklady související s výměnou člena Realizačního týmu nese výlučně </w:t>
      </w:r>
      <w:r w:rsidR="00803AF6">
        <w:t>Poskytovatel</w:t>
      </w:r>
      <w:r>
        <w:t>.</w:t>
      </w:r>
    </w:p>
    <w:p w14:paraId="51D26D58" w14:textId="4799206A" w:rsidR="00610EFD" w:rsidRDefault="00610EFD" w:rsidP="00610EFD">
      <w:pPr>
        <w:pStyle w:val="Nadpis2"/>
      </w:pPr>
      <w:r>
        <w:t xml:space="preserve">Pro případ jakékoliv změny těchto osob se </w:t>
      </w:r>
      <w:r w:rsidR="0018674D">
        <w:t>s</w:t>
      </w:r>
      <w:r>
        <w:t xml:space="preserve">mluvní strany dohodly, že není potřeba uzavírat tomu odpovídající dodatek </w:t>
      </w:r>
      <w:r w:rsidR="0018674D">
        <w:t>s</w:t>
      </w:r>
      <w:r>
        <w:t xml:space="preserve">mlouvy a taková změna je účinná dnem doručení písemného souhlasu Objednatele </w:t>
      </w:r>
      <w:r w:rsidR="0018674D">
        <w:t>Poskytovateli</w:t>
      </w:r>
      <w:r>
        <w:t>.</w:t>
      </w:r>
    </w:p>
    <w:p w14:paraId="100BC377" w14:textId="77777777" w:rsidR="00847349" w:rsidRPr="00FA1446" w:rsidRDefault="00847349" w:rsidP="00541979">
      <w:pPr>
        <w:pStyle w:val="Nadpis1"/>
      </w:pPr>
      <w:r w:rsidRPr="00FA1446">
        <w:lastRenderedPageBreak/>
        <w:t>Ukončení smlouvy</w:t>
      </w:r>
    </w:p>
    <w:p w14:paraId="2E566FAB" w14:textId="77777777" w:rsidR="00847349" w:rsidRPr="00FA1446" w:rsidRDefault="00847349" w:rsidP="00DB6F5F">
      <w:pPr>
        <w:pStyle w:val="Nadpis2"/>
      </w:pPr>
      <w:r w:rsidRPr="00FA1446">
        <w:t>Smluvní vztah založený touto smlouvou je možné ukončit písemnou dohodou Smluvních stran.</w:t>
      </w:r>
    </w:p>
    <w:p w14:paraId="4506B8E1" w14:textId="77777777" w:rsidR="00847349" w:rsidRPr="00FA1446" w:rsidRDefault="008B2231" w:rsidP="00DB6F5F">
      <w:pPr>
        <w:pStyle w:val="Nadpis2"/>
      </w:pPr>
      <w:r>
        <w:t>Objednatel</w:t>
      </w:r>
      <w:r w:rsidR="00847349" w:rsidRPr="00FA1446">
        <w:t xml:space="preserve"> je oprávněn písemně odstoupit od smlouvy v případě </w:t>
      </w:r>
      <w:r>
        <w:t>uvedeném v čl. XI odst.</w:t>
      </w:r>
      <w:r w:rsidR="00541979">
        <w:t> </w:t>
      </w:r>
      <w:r>
        <w:t>11.4.</w:t>
      </w:r>
    </w:p>
    <w:p w14:paraId="2DEF6DB3" w14:textId="77777777" w:rsidR="00847349" w:rsidRDefault="00847349" w:rsidP="00DB6F5F">
      <w:pPr>
        <w:pStyle w:val="Nadpis2"/>
      </w:pPr>
      <w:r w:rsidRPr="00FA1446">
        <w:t xml:space="preserve">Účinky odstoupení od smlouvy nastávají dnem doručení oznámení o odstoupení </w:t>
      </w:r>
      <w:r w:rsidR="008B2231">
        <w:t>od smlouvy Poskytovateli</w:t>
      </w:r>
      <w:r w:rsidRPr="00FA1446">
        <w:t>.</w:t>
      </w:r>
    </w:p>
    <w:p w14:paraId="3A3A10AA" w14:textId="3CD1EEBB" w:rsidR="00803AF6" w:rsidRPr="00803AF6" w:rsidRDefault="00803AF6" w:rsidP="00803AF6">
      <w:pPr>
        <w:pStyle w:val="Nadpis2"/>
      </w:pPr>
      <w:r w:rsidRPr="00803AF6">
        <w:t>Objednatel</w:t>
      </w:r>
      <w:r>
        <w:t xml:space="preserve"> je oprávněn písemně vypovědět s</w:t>
      </w:r>
      <w:r w:rsidRPr="00803AF6">
        <w:t>mlouvu či její část, a to i bez udá</w:t>
      </w:r>
      <w:r>
        <w:t>ní důvodu. Výpovědní doba činí 2 (slovy: dva) měsíce</w:t>
      </w:r>
      <w:r w:rsidRPr="00803AF6">
        <w:t xml:space="preserve"> a začíná běžet prvním dnem měsíce následujícího po měsíci, v němž byla písemná výpověď doručena </w:t>
      </w:r>
      <w:r>
        <w:t>Poskytovateli.</w:t>
      </w:r>
    </w:p>
    <w:p w14:paraId="55503D53" w14:textId="77777777" w:rsidR="00847349" w:rsidRPr="00FA1446" w:rsidRDefault="00847349" w:rsidP="00DB6F5F">
      <w:pPr>
        <w:pStyle w:val="Nadpis2"/>
      </w:pPr>
      <w:r w:rsidRPr="00FA1446">
        <w:t>Ukončení smlouvy se nedotýká práva na zaplacení smluvní pokuty nebo úroku z </w:t>
      </w:r>
      <w:r w:rsidR="00D316F3" w:rsidRPr="00FA1446">
        <w:t>prodlení, práva</w:t>
      </w:r>
      <w:r w:rsidRPr="00FA1446">
        <w:t xml:space="preserve"> na náhradu škody, ani ujednání, která mají vzhledem ke své povaze zavazovat </w:t>
      </w:r>
      <w:r w:rsidR="008B2231">
        <w:t>s</w:t>
      </w:r>
      <w:r w:rsidRPr="00FA1446">
        <w:t>mluvní strany i po ukončení této smlouvy.</w:t>
      </w:r>
    </w:p>
    <w:p w14:paraId="024D7611" w14:textId="77777777" w:rsidR="00847349" w:rsidRPr="00FA1446" w:rsidRDefault="00847349" w:rsidP="00541979">
      <w:pPr>
        <w:pStyle w:val="Nadpis1"/>
      </w:pPr>
      <w:r w:rsidRPr="00FA1446">
        <w:t>Závěrečná ustanovení</w:t>
      </w:r>
    </w:p>
    <w:p w14:paraId="073345DB" w14:textId="231AFAFF" w:rsidR="00803AF6" w:rsidRDefault="00803AF6" w:rsidP="00803AF6">
      <w:pPr>
        <w:pStyle w:val="Nadpis2"/>
      </w:pPr>
      <w:r>
        <w:t>Smlouva nabývá platnosti dnem podpisu obou smluvních stran a účinnosti dnem uveřejnění smlouvy v registru smluv dle zák. č. 340/2015 Sb., o zvláštních podmínkách účinnosti některých smluv, uveřejňování těchto smluv a o registru smluv (zákon o registru smluv) v</w:t>
      </w:r>
      <w:r w:rsidR="00666B4C">
        <w:t> </w:t>
      </w:r>
      <w:r>
        <w:t>platném znění. Objednatel se zavazuje bezodkladně oznámit Poskytovateli den zveřejnění této smlouvy v registru smluv. Poskytovatel bere na vědomí a souhlasí s tím, že uzavřená smlouva vč. příloh a případných dodatků bude v elektronické podobě v registru smluv zveřejněna.</w:t>
      </w:r>
    </w:p>
    <w:p w14:paraId="550BA146" w14:textId="77777777" w:rsidR="00803AF6" w:rsidRDefault="00803AF6" w:rsidP="00803AF6">
      <w:pPr>
        <w:pStyle w:val="Nadpis2"/>
      </w:pPr>
      <w:r>
        <w:t>Nebyla-li smlouva, která nabývá účinnosti nejdříve dnem uveřejnění uveřejněna prostřednictvím registru smluv ani do tří měsíců ode dne, kdy byla uzavřena, platí, že je zrušena od počátku.</w:t>
      </w:r>
    </w:p>
    <w:p w14:paraId="3D5251D3" w14:textId="77777777" w:rsidR="00847349" w:rsidRPr="00FA1446" w:rsidRDefault="00847349" w:rsidP="00DB6F5F">
      <w:pPr>
        <w:pStyle w:val="Nadpis2"/>
      </w:pPr>
      <w:r w:rsidRPr="00FA1446">
        <w:t>Smluvní strany si podpisem smlouvy sjednávají (pokud smlouva nestanoví jinak), že</w:t>
      </w:r>
      <w:r w:rsidR="00541979">
        <w:t> </w:t>
      </w:r>
      <w:r w:rsidRPr="00FA1446">
        <w:t>závazky smlouvou založené budou vykládány výhradně podle obsahu smlouvy, bez</w:t>
      </w:r>
      <w:r w:rsidR="00541979">
        <w:t> </w:t>
      </w:r>
      <w:r w:rsidRPr="00FA1446">
        <w:t>přihlédnutí k jakékoli skutečnosti, která nastala a/nebo byla sdělena, jednou stranou druhé straně před uzavřením smlouvy.</w:t>
      </w:r>
    </w:p>
    <w:p w14:paraId="1A19D9F4" w14:textId="77777777" w:rsidR="00847349" w:rsidRPr="00FA1446" w:rsidRDefault="00847349" w:rsidP="00DB6F5F">
      <w:pPr>
        <w:pStyle w:val="Nadpis2"/>
      </w:pPr>
      <w:r w:rsidRPr="00FA1446">
        <w:t xml:space="preserve">Smlouva představuje úplnou dohodu </w:t>
      </w:r>
      <w:r w:rsidR="00396255">
        <w:t>s</w:t>
      </w:r>
      <w:r w:rsidRPr="00FA1446">
        <w:t xml:space="preserve">mluvních stran o předmětu smlouvy a všech </w:t>
      </w:r>
      <w:r w:rsidRPr="00FA1446">
        <w:tab/>
        <w:t xml:space="preserve">náležitostech, které </w:t>
      </w:r>
      <w:r w:rsidR="00D316F3">
        <w:t>s</w:t>
      </w:r>
      <w:r w:rsidRPr="00FA1446">
        <w:t>mluvní strany měly a chtěly ve smlouvě ujednat, a které považují za</w:t>
      </w:r>
      <w:r w:rsidR="00541979">
        <w:t> </w:t>
      </w:r>
      <w:r w:rsidRPr="00FA1446">
        <w:t xml:space="preserve">důležité pro závaznost smlouvy. Žádný projev stran učiněný po uzavření smlouvy nesmí být vykládán v rozporu s výslovnými ustanoveními smlouvy a nezakládá žádný závazek žádné ze </w:t>
      </w:r>
      <w:r w:rsidR="00396255">
        <w:t>s</w:t>
      </w:r>
      <w:r w:rsidRPr="00FA1446">
        <w:t xml:space="preserve">mluvních stran.  Smlouvu je možné měnit pouze písemnou dohodou </w:t>
      </w:r>
      <w:r w:rsidR="00396255">
        <w:t>s</w:t>
      </w:r>
      <w:r w:rsidRPr="00FA1446">
        <w:t xml:space="preserve">mluvních stran ve formě dodatků smlouvy, podepsaných oprávněnými zástupci obou </w:t>
      </w:r>
      <w:r w:rsidR="00396255">
        <w:t>s</w:t>
      </w:r>
      <w:r w:rsidRPr="00FA1446">
        <w:t>mluvních stran.</w:t>
      </w:r>
    </w:p>
    <w:p w14:paraId="6CCB385C" w14:textId="77777777" w:rsidR="00B957C8" w:rsidRPr="00B957C8" w:rsidRDefault="00B957C8" w:rsidP="00DB6F5F">
      <w:pPr>
        <w:pStyle w:val="Nadpis2"/>
      </w:pPr>
      <w:r w:rsidRPr="00B957C8">
        <w:t xml:space="preserve">Pokud v této </w:t>
      </w:r>
      <w:r w:rsidR="00396255">
        <w:t>s</w:t>
      </w:r>
      <w:r w:rsidRPr="00B957C8">
        <w:t>mlouvě není stanoveno jinak, řídí se právní vztahy z ní vyplývající přís</w:t>
      </w:r>
      <w:r w:rsidR="00D316F3">
        <w:t xml:space="preserve">lušnými ustanoveními </w:t>
      </w:r>
      <w:r w:rsidRPr="00B957C8">
        <w:t xml:space="preserve">Občanského zákoníku. Strany vylučují aplikaci ustanovení § </w:t>
      </w:r>
      <w:r w:rsidR="00541979" w:rsidRPr="00B957C8">
        <w:t>557 Občanského</w:t>
      </w:r>
      <w:r w:rsidR="00396255">
        <w:t xml:space="preserve"> </w:t>
      </w:r>
      <w:r w:rsidR="00396255">
        <w:lastRenderedPageBreak/>
        <w:t>zákoníku na tuto s</w:t>
      </w:r>
      <w:r w:rsidRPr="00B957C8">
        <w:t xml:space="preserve">mlouvu a na veškerá práva a veškeré povinnosti smluvních stran vzniklé na základě této </w:t>
      </w:r>
      <w:r w:rsidR="00396255">
        <w:t>s</w:t>
      </w:r>
      <w:r w:rsidRPr="00B957C8">
        <w:t>mlouvy.</w:t>
      </w:r>
    </w:p>
    <w:p w14:paraId="4B3E0FA4" w14:textId="77777777" w:rsidR="00847349" w:rsidRPr="00FA1446" w:rsidRDefault="00847349" w:rsidP="00DB6F5F">
      <w:pPr>
        <w:pStyle w:val="Nadpis2"/>
      </w:pPr>
      <w:r w:rsidRPr="00FA1446">
        <w:t>Práva vyplývající ze smlouvy či jejího porušení se promlčují ve lhůtě 4 let ode dne, kdy právo mohlo být uplatněno poprvé.</w:t>
      </w:r>
    </w:p>
    <w:p w14:paraId="26EAE7E9" w14:textId="77777777" w:rsidR="00847349" w:rsidRPr="00FA1446" w:rsidRDefault="00847349" w:rsidP="00DB6F5F">
      <w:pPr>
        <w:pStyle w:val="Nadpis2"/>
      </w:pPr>
      <w:r w:rsidRPr="00FA1446">
        <w:t xml:space="preserve">Jednacím jazykem mezi Objednatelem a Poskytovatelem bude pro veškerá plnění </w:t>
      </w:r>
      <w:r w:rsidRPr="00FA1446">
        <w:tab/>
        <w:t xml:space="preserve">vyplývající ze smlouvy výhradně jazyk český, a to včetně veškeré dokumentace </w:t>
      </w:r>
      <w:r w:rsidRPr="00FA1446">
        <w:tab/>
        <w:t>vztahující se k předmětu smlouvy.</w:t>
      </w:r>
    </w:p>
    <w:p w14:paraId="1CCFAD9D" w14:textId="77777777" w:rsidR="00396255" w:rsidRPr="00396255" w:rsidRDefault="00396255" w:rsidP="00DB6F5F">
      <w:pPr>
        <w:pStyle w:val="Nadpis2"/>
      </w:pPr>
      <w:r w:rsidRPr="00396255">
        <w:t xml:space="preserve">Je-li nebo stane-li se jakékoliv ustanovení této </w:t>
      </w:r>
      <w:r>
        <w:t>s</w:t>
      </w:r>
      <w:r w:rsidRPr="00396255">
        <w:t>mlouvy neplatným, odporovatelným nebo nevynutitelným, nebude to mít vliv na platnost a vy</w:t>
      </w:r>
      <w:r w:rsidR="00D316F3">
        <w:t>nutitelnost dalších ustanovení s</w:t>
      </w:r>
      <w:r w:rsidRPr="00396255">
        <w:t xml:space="preserve">mlouvy, lze-li toto ustanovení oddělit od </w:t>
      </w:r>
      <w:r>
        <w:t>s</w:t>
      </w:r>
      <w:r w:rsidRPr="00396255">
        <w:t>mlouvy jako celku. Smluvní strany se zavazují, že vyvinou maximální úsilí k nahrazení chybného ustanovení bezchybným, kdy takovéto nové ustanovení bude svým obsahem a účinkem co nejvíce podobné neplatnému, odporovatelnému nebo nevynutitelnému ustanovení.</w:t>
      </w:r>
    </w:p>
    <w:p w14:paraId="66441CF3" w14:textId="77777777" w:rsidR="00396255" w:rsidRPr="00396255" w:rsidRDefault="00396255" w:rsidP="00DB6F5F">
      <w:pPr>
        <w:pStyle w:val="Nadpis2"/>
      </w:pPr>
      <w:r w:rsidRPr="00396255">
        <w:t xml:space="preserve">Smluvní strany se dohodly, že případné spory vzniklé z této Smlouvy budou řešit nejprve jednáním. Nedojde-li v přiměřené lhůtě doručení písemné výzvy k jednání o sporu druhé Smluvní straně k dohodě, budou spory rozhodovány věcně a místně příslušným obecným soudem.  </w:t>
      </w:r>
    </w:p>
    <w:p w14:paraId="5E1789F7" w14:textId="77777777" w:rsidR="00396255" w:rsidRPr="00396255" w:rsidRDefault="00396255" w:rsidP="00DB6F5F">
      <w:pPr>
        <w:pStyle w:val="Nadpis2"/>
      </w:pPr>
      <w:r w:rsidRPr="00396255">
        <w:t xml:space="preserve">Smlouva je sepsána ve třech (3) stejnopisech, z nichž Objednatel obdrží dva (2) stejnopisy a Poskytovatel jeden (1) stejnopis. </w:t>
      </w:r>
    </w:p>
    <w:p w14:paraId="4814B3F4" w14:textId="77777777" w:rsidR="00847349" w:rsidRPr="00FA1446" w:rsidRDefault="00847349" w:rsidP="00DB6F5F">
      <w:pPr>
        <w:pStyle w:val="Nadpis2"/>
      </w:pPr>
      <w:r w:rsidRPr="00FA1446">
        <w:t>Nedílnou součástí smlouvy jsou následující přílohy:</w:t>
      </w:r>
    </w:p>
    <w:p w14:paraId="5D486EB5" w14:textId="7350F27B" w:rsidR="00847349" w:rsidRDefault="00847349" w:rsidP="00541979">
      <w:pPr>
        <w:pStyle w:val="Odstavecseseznamem"/>
        <w:ind w:left="720" w:firstLine="0"/>
      </w:pPr>
      <w:r w:rsidRPr="00FA1446">
        <w:t>Příloha č. 1 – Specifikace rozsahu a kvality služeb</w:t>
      </w:r>
    </w:p>
    <w:p w14:paraId="78D17160" w14:textId="4ADCAB8C" w:rsidR="002B4099" w:rsidRDefault="002B4099" w:rsidP="00541979">
      <w:pPr>
        <w:pStyle w:val="Odstavecseseznamem"/>
        <w:ind w:left="720" w:firstLine="0"/>
      </w:pPr>
      <w:r>
        <w:t>Příloha č. 2 – Poddodavatelé</w:t>
      </w:r>
    </w:p>
    <w:p w14:paraId="75C3D76D" w14:textId="43B5780A" w:rsidR="00803AF6" w:rsidRDefault="00803AF6" w:rsidP="00541979">
      <w:pPr>
        <w:pStyle w:val="Odstavecseseznamem"/>
        <w:ind w:left="720" w:firstLine="0"/>
      </w:pPr>
      <w:r>
        <w:t>Příloha č. 3 – Realizační tým</w:t>
      </w:r>
    </w:p>
    <w:tbl>
      <w:tblPr>
        <w:tblW w:w="4900" w:type="pct"/>
        <w:tblInd w:w="2" w:type="dxa"/>
        <w:tblLook w:val="01E0" w:firstRow="1" w:lastRow="1" w:firstColumn="1" w:lastColumn="1" w:noHBand="0" w:noVBand="0"/>
      </w:tblPr>
      <w:tblGrid>
        <w:gridCol w:w="389"/>
        <w:gridCol w:w="1859"/>
        <w:gridCol w:w="691"/>
        <w:gridCol w:w="1560"/>
        <w:gridCol w:w="425"/>
        <w:gridCol w:w="425"/>
        <w:gridCol w:w="1663"/>
        <w:gridCol w:w="605"/>
        <w:gridCol w:w="1483"/>
      </w:tblGrid>
      <w:tr w:rsidR="00541979" w:rsidRPr="00160ACC" w14:paraId="5295AC56" w14:textId="77777777" w:rsidTr="00381FC1">
        <w:tc>
          <w:tcPr>
            <w:tcW w:w="4499" w:type="dxa"/>
            <w:gridSpan w:val="4"/>
            <w:vAlign w:val="center"/>
          </w:tcPr>
          <w:p w14:paraId="3115277F" w14:textId="77777777" w:rsidR="00541979" w:rsidRPr="00160ACC" w:rsidRDefault="00541979" w:rsidP="00666B4C">
            <w:pPr>
              <w:keepNext/>
              <w:keepLines/>
              <w:spacing w:before="0" w:after="0" w:line="240" w:lineRule="auto"/>
              <w:rPr>
                <w:rFonts w:cs="Arial"/>
              </w:rPr>
            </w:pPr>
            <w:r w:rsidRPr="00160ACC">
              <w:rPr>
                <w:rFonts w:cs="Arial"/>
              </w:rPr>
              <w:t xml:space="preserve">Za </w:t>
            </w:r>
            <w:r>
              <w:rPr>
                <w:rFonts w:cs="Arial"/>
              </w:rPr>
              <w:t>objednatele</w:t>
            </w:r>
            <w:r w:rsidRPr="00160ACC">
              <w:rPr>
                <w:rFonts w:cs="Arial"/>
              </w:rPr>
              <w:t>:</w:t>
            </w:r>
          </w:p>
        </w:tc>
        <w:tc>
          <w:tcPr>
            <w:tcW w:w="425" w:type="dxa"/>
            <w:vAlign w:val="center"/>
          </w:tcPr>
          <w:p w14:paraId="1398F381" w14:textId="77777777" w:rsidR="00541979" w:rsidRPr="00160ACC" w:rsidRDefault="00541979" w:rsidP="00666B4C">
            <w:pPr>
              <w:keepNext/>
              <w:keepLines/>
              <w:spacing w:before="0" w:after="0" w:line="240" w:lineRule="auto"/>
              <w:rPr>
                <w:rFonts w:cs="Arial"/>
              </w:rPr>
            </w:pPr>
          </w:p>
        </w:tc>
        <w:tc>
          <w:tcPr>
            <w:tcW w:w="4176" w:type="dxa"/>
            <w:gridSpan w:val="4"/>
            <w:vAlign w:val="center"/>
          </w:tcPr>
          <w:p w14:paraId="6DC25076" w14:textId="77777777" w:rsidR="00541979" w:rsidRPr="00160ACC" w:rsidRDefault="00541979" w:rsidP="00666B4C">
            <w:pPr>
              <w:keepNext/>
              <w:keepLines/>
              <w:spacing w:before="0" w:after="0" w:line="240" w:lineRule="auto"/>
              <w:rPr>
                <w:rFonts w:cs="Arial"/>
              </w:rPr>
            </w:pPr>
            <w:r w:rsidRPr="00160ACC">
              <w:rPr>
                <w:rFonts w:cs="Arial"/>
              </w:rPr>
              <w:t xml:space="preserve">Za </w:t>
            </w:r>
            <w:r>
              <w:rPr>
                <w:rFonts w:cs="Arial"/>
              </w:rPr>
              <w:t>poskytovatele</w:t>
            </w:r>
            <w:r w:rsidRPr="00160ACC">
              <w:rPr>
                <w:rFonts w:cs="Arial"/>
              </w:rPr>
              <w:t>:</w:t>
            </w:r>
          </w:p>
        </w:tc>
      </w:tr>
      <w:tr w:rsidR="00541979" w:rsidRPr="00160ACC" w14:paraId="56EF7A97" w14:textId="77777777" w:rsidTr="00381FC1">
        <w:tc>
          <w:tcPr>
            <w:tcW w:w="389" w:type="dxa"/>
            <w:vAlign w:val="center"/>
          </w:tcPr>
          <w:p w14:paraId="5301479E" w14:textId="77777777" w:rsidR="00541979" w:rsidRPr="00160ACC" w:rsidRDefault="00541979" w:rsidP="00666B4C">
            <w:pPr>
              <w:keepNext/>
              <w:keepLines/>
              <w:spacing w:before="0" w:after="0" w:line="240" w:lineRule="auto"/>
              <w:rPr>
                <w:rFonts w:cs="Arial"/>
              </w:rPr>
            </w:pPr>
            <w:r w:rsidRPr="00160ACC">
              <w:rPr>
                <w:rFonts w:cs="Arial"/>
              </w:rPr>
              <w:t>V</w:t>
            </w:r>
          </w:p>
        </w:tc>
        <w:tc>
          <w:tcPr>
            <w:tcW w:w="1859" w:type="dxa"/>
            <w:tcBorders>
              <w:bottom w:val="single" w:sz="4" w:space="0" w:color="auto"/>
            </w:tcBorders>
            <w:vAlign w:val="center"/>
          </w:tcPr>
          <w:p w14:paraId="73255335" w14:textId="77777777" w:rsidR="00541979" w:rsidRPr="00160ACC" w:rsidRDefault="00541979" w:rsidP="00666B4C">
            <w:pPr>
              <w:keepNext/>
              <w:keepLines/>
              <w:spacing w:before="0" w:after="0" w:line="240" w:lineRule="auto"/>
              <w:rPr>
                <w:rFonts w:cs="Arial"/>
              </w:rPr>
            </w:pPr>
            <w:r w:rsidRPr="00160ACC">
              <w:rPr>
                <w:rFonts w:cs="Arial"/>
              </w:rPr>
              <w:t>Praze</w:t>
            </w:r>
          </w:p>
        </w:tc>
        <w:tc>
          <w:tcPr>
            <w:tcW w:w="691" w:type="dxa"/>
            <w:vAlign w:val="center"/>
          </w:tcPr>
          <w:p w14:paraId="79F61E26" w14:textId="77777777" w:rsidR="00541979" w:rsidRPr="00160ACC" w:rsidRDefault="00541979" w:rsidP="00666B4C">
            <w:pPr>
              <w:keepNext/>
              <w:keepLines/>
              <w:spacing w:before="0" w:after="0" w:line="240" w:lineRule="auto"/>
              <w:rPr>
                <w:rFonts w:cs="Arial"/>
              </w:rPr>
            </w:pPr>
            <w:r w:rsidRPr="00160ACC">
              <w:rPr>
                <w:rFonts w:cs="Arial"/>
              </w:rPr>
              <w:t>dne</w:t>
            </w:r>
          </w:p>
        </w:tc>
        <w:tc>
          <w:tcPr>
            <w:tcW w:w="1560" w:type="dxa"/>
            <w:tcBorders>
              <w:bottom w:val="single" w:sz="4" w:space="0" w:color="auto"/>
            </w:tcBorders>
            <w:vAlign w:val="center"/>
          </w:tcPr>
          <w:p w14:paraId="71EF886B" w14:textId="77777777" w:rsidR="00541979" w:rsidRPr="00160ACC" w:rsidRDefault="00541979" w:rsidP="00666B4C">
            <w:pPr>
              <w:keepNext/>
              <w:keepLines/>
              <w:spacing w:before="0" w:after="0" w:line="240" w:lineRule="auto"/>
              <w:rPr>
                <w:rFonts w:cs="Arial"/>
              </w:rPr>
            </w:pPr>
          </w:p>
        </w:tc>
        <w:tc>
          <w:tcPr>
            <w:tcW w:w="425" w:type="dxa"/>
            <w:vAlign w:val="center"/>
          </w:tcPr>
          <w:p w14:paraId="0D517160" w14:textId="77777777" w:rsidR="00541979" w:rsidRPr="00160ACC" w:rsidRDefault="00541979" w:rsidP="00666B4C">
            <w:pPr>
              <w:keepNext/>
              <w:keepLines/>
              <w:spacing w:before="0" w:after="0" w:line="240" w:lineRule="auto"/>
              <w:rPr>
                <w:rFonts w:cs="Arial"/>
              </w:rPr>
            </w:pPr>
          </w:p>
        </w:tc>
        <w:tc>
          <w:tcPr>
            <w:tcW w:w="425" w:type="dxa"/>
            <w:vAlign w:val="center"/>
          </w:tcPr>
          <w:p w14:paraId="08773723" w14:textId="77777777" w:rsidR="00541979" w:rsidRPr="00160ACC" w:rsidRDefault="00541979" w:rsidP="00666B4C">
            <w:pPr>
              <w:keepNext/>
              <w:keepLines/>
              <w:spacing w:before="0" w:after="0" w:line="240" w:lineRule="auto"/>
              <w:rPr>
                <w:rFonts w:cs="Arial"/>
              </w:rPr>
            </w:pPr>
            <w:r w:rsidRPr="00160ACC">
              <w:rPr>
                <w:rFonts w:cs="Arial"/>
              </w:rPr>
              <w:t>V</w:t>
            </w:r>
          </w:p>
        </w:tc>
        <w:tc>
          <w:tcPr>
            <w:tcW w:w="1663" w:type="dxa"/>
            <w:tcBorders>
              <w:bottom w:val="single" w:sz="4" w:space="0" w:color="auto"/>
            </w:tcBorders>
            <w:vAlign w:val="center"/>
          </w:tcPr>
          <w:p w14:paraId="608AE339" w14:textId="77777777" w:rsidR="00541979" w:rsidRPr="00160ACC" w:rsidRDefault="00541979" w:rsidP="00666B4C">
            <w:pPr>
              <w:keepNext/>
              <w:keepLines/>
              <w:spacing w:before="0" w:after="0" w:line="240" w:lineRule="auto"/>
              <w:rPr>
                <w:rFonts w:cs="Arial"/>
              </w:rPr>
            </w:pPr>
          </w:p>
        </w:tc>
        <w:tc>
          <w:tcPr>
            <w:tcW w:w="605" w:type="dxa"/>
            <w:vAlign w:val="center"/>
          </w:tcPr>
          <w:p w14:paraId="4B3BF3AC" w14:textId="77777777" w:rsidR="00541979" w:rsidRPr="00160ACC" w:rsidRDefault="00541979" w:rsidP="00666B4C">
            <w:pPr>
              <w:keepNext/>
              <w:keepLines/>
              <w:spacing w:before="0" w:after="0" w:line="240" w:lineRule="auto"/>
              <w:rPr>
                <w:rFonts w:cs="Arial"/>
              </w:rPr>
            </w:pPr>
            <w:r w:rsidRPr="00160ACC">
              <w:rPr>
                <w:rFonts w:cs="Arial"/>
              </w:rPr>
              <w:t>dne</w:t>
            </w:r>
          </w:p>
        </w:tc>
        <w:tc>
          <w:tcPr>
            <w:tcW w:w="1483" w:type="dxa"/>
            <w:tcBorders>
              <w:bottom w:val="single" w:sz="4" w:space="0" w:color="auto"/>
            </w:tcBorders>
            <w:vAlign w:val="center"/>
          </w:tcPr>
          <w:p w14:paraId="55FFF1E3" w14:textId="77777777" w:rsidR="00541979" w:rsidRPr="00160ACC" w:rsidRDefault="00541979" w:rsidP="00666B4C">
            <w:pPr>
              <w:keepNext/>
              <w:keepLines/>
              <w:spacing w:before="0" w:after="0" w:line="240" w:lineRule="auto"/>
              <w:rPr>
                <w:rFonts w:cs="Arial"/>
              </w:rPr>
            </w:pPr>
          </w:p>
        </w:tc>
      </w:tr>
      <w:tr w:rsidR="00541979" w:rsidRPr="00160ACC" w14:paraId="16E2EAA8" w14:textId="77777777" w:rsidTr="00381FC1">
        <w:tc>
          <w:tcPr>
            <w:tcW w:w="4499" w:type="dxa"/>
            <w:gridSpan w:val="4"/>
            <w:tcBorders>
              <w:bottom w:val="single" w:sz="4" w:space="0" w:color="auto"/>
            </w:tcBorders>
          </w:tcPr>
          <w:p w14:paraId="3C3EC6A0" w14:textId="77777777" w:rsidR="00541979" w:rsidRPr="00160ACC" w:rsidRDefault="00541979" w:rsidP="00666B4C">
            <w:pPr>
              <w:keepNext/>
              <w:keepLines/>
              <w:spacing w:before="0" w:after="0" w:line="240" w:lineRule="auto"/>
              <w:jc w:val="center"/>
              <w:rPr>
                <w:rFonts w:cs="Arial"/>
              </w:rPr>
            </w:pPr>
          </w:p>
        </w:tc>
        <w:tc>
          <w:tcPr>
            <w:tcW w:w="425" w:type="dxa"/>
          </w:tcPr>
          <w:p w14:paraId="4F56C4D0" w14:textId="77777777" w:rsidR="00541979" w:rsidRPr="00160ACC" w:rsidRDefault="00541979" w:rsidP="00666B4C">
            <w:pPr>
              <w:keepNext/>
              <w:keepLines/>
              <w:spacing w:before="0" w:after="0" w:line="240" w:lineRule="auto"/>
              <w:jc w:val="center"/>
              <w:rPr>
                <w:rFonts w:cs="Arial"/>
              </w:rPr>
            </w:pPr>
          </w:p>
        </w:tc>
        <w:tc>
          <w:tcPr>
            <w:tcW w:w="4176" w:type="dxa"/>
            <w:gridSpan w:val="4"/>
            <w:tcBorders>
              <w:bottom w:val="single" w:sz="4" w:space="0" w:color="auto"/>
            </w:tcBorders>
          </w:tcPr>
          <w:p w14:paraId="5E8C73C0" w14:textId="77777777" w:rsidR="00541979" w:rsidRDefault="00541979" w:rsidP="00666B4C">
            <w:pPr>
              <w:keepNext/>
              <w:keepLines/>
              <w:spacing w:before="0" w:after="0" w:line="240" w:lineRule="auto"/>
              <w:jc w:val="center"/>
              <w:rPr>
                <w:rFonts w:cs="Arial"/>
              </w:rPr>
            </w:pPr>
          </w:p>
          <w:p w14:paraId="4D418828" w14:textId="77777777" w:rsidR="00666B4C" w:rsidRDefault="00666B4C" w:rsidP="00666B4C">
            <w:pPr>
              <w:keepNext/>
              <w:keepLines/>
              <w:spacing w:before="0" w:after="0" w:line="240" w:lineRule="auto"/>
              <w:jc w:val="center"/>
              <w:rPr>
                <w:rFonts w:cs="Arial"/>
              </w:rPr>
            </w:pPr>
          </w:p>
          <w:p w14:paraId="66114696" w14:textId="77777777" w:rsidR="00666B4C" w:rsidRDefault="00666B4C" w:rsidP="00666B4C">
            <w:pPr>
              <w:keepNext/>
              <w:keepLines/>
              <w:spacing w:before="0" w:after="0" w:line="240" w:lineRule="auto"/>
              <w:jc w:val="center"/>
              <w:rPr>
                <w:rFonts w:cs="Arial"/>
              </w:rPr>
            </w:pPr>
          </w:p>
          <w:p w14:paraId="3FCDE373" w14:textId="77777777" w:rsidR="00666B4C" w:rsidRDefault="00666B4C" w:rsidP="00666B4C">
            <w:pPr>
              <w:keepNext/>
              <w:keepLines/>
              <w:spacing w:before="0" w:after="0" w:line="240" w:lineRule="auto"/>
              <w:jc w:val="center"/>
              <w:rPr>
                <w:rFonts w:cs="Arial"/>
              </w:rPr>
            </w:pPr>
          </w:p>
          <w:p w14:paraId="70DEBA62" w14:textId="77777777" w:rsidR="00666B4C" w:rsidRDefault="00666B4C" w:rsidP="00666B4C">
            <w:pPr>
              <w:keepNext/>
              <w:keepLines/>
              <w:spacing w:before="0" w:after="0" w:line="240" w:lineRule="auto"/>
              <w:jc w:val="center"/>
              <w:rPr>
                <w:rFonts w:cs="Arial"/>
              </w:rPr>
            </w:pPr>
          </w:p>
          <w:p w14:paraId="2BA13B49" w14:textId="77777777" w:rsidR="00666B4C" w:rsidRDefault="00666B4C" w:rsidP="00666B4C">
            <w:pPr>
              <w:keepNext/>
              <w:keepLines/>
              <w:spacing w:before="0" w:after="0" w:line="240" w:lineRule="auto"/>
              <w:jc w:val="center"/>
              <w:rPr>
                <w:rFonts w:cs="Arial"/>
              </w:rPr>
            </w:pPr>
          </w:p>
          <w:p w14:paraId="4EC92D7D" w14:textId="77777777" w:rsidR="00666B4C" w:rsidRPr="00160ACC" w:rsidRDefault="00666B4C" w:rsidP="00666B4C">
            <w:pPr>
              <w:keepNext/>
              <w:keepLines/>
              <w:spacing w:before="0" w:after="0" w:line="240" w:lineRule="auto"/>
              <w:jc w:val="center"/>
              <w:rPr>
                <w:rFonts w:cs="Arial"/>
              </w:rPr>
            </w:pPr>
          </w:p>
        </w:tc>
      </w:tr>
      <w:tr w:rsidR="00541979" w:rsidRPr="00160ACC" w14:paraId="4E9D8461" w14:textId="77777777" w:rsidTr="00381FC1">
        <w:tc>
          <w:tcPr>
            <w:tcW w:w="4499" w:type="dxa"/>
            <w:gridSpan w:val="4"/>
            <w:tcBorders>
              <w:top w:val="single" w:sz="4" w:space="0" w:color="auto"/>
            </w:tcBorders>
          </w:tcPr>
          <w:p w14:paraId="1A50E522" w14:textId="77777777" w:rsidR="00541979" w:rsidRPr="00160ACC" w:rsidRDefault="00541979" w:rsidP="00666B4C">
            <w:pPr>
              <w:keepNext/>
              <w:keepLines/>
              <w:spacing w:before="0" w:after="0" w:line="240" w:lineRule="auto"/>
              <w:jc w:val="center"/>
              <w:rPr>
                <w:rFonts w:cs="Arial"/>
                <w:b/>
              </w:rPr>
            </w:pPr>
            <w:r w:rsidRPr="00160ACC">
              <w:rPr>
                <w:rFonts w:cs="Arial"/>
                <w:b/>
                <w:lang w:eastAsia="ko-KR"/>
              </w:rPr>
              <w:t>Ing. Vladimír Dzurilla</w:t>
            </w:r>
          </w:p>
          <w:p w14:paraId="2C730260" w14:textId="77777777" w:rsidR="00541979" w:rsidRPr="00160ACC" w:rsidRDefault="00541979" w:rsidP="00666B4C">
            <w:pPr>
              <w:keepNext/>
              <w:keepLines/>
              <w:spacing w:before="0" w:after="0" w:line="240" w:lineRule="auto"/>
              <w:jc w:val="center"/>
              <w:rPr>
                <w:rFonts w:cs="Arial"/>
              </w:rPr>
            </w:pPr>
            <w:r w:rsidRPr="00160ACC">
              <w:rPr>
                <w:rFonts w:cs="Arial"/>
              </w:rPr>
              <w:t>generální ředitel</w:t>
            </w:r>
          </w:p>
          <w:p w14:paraId="532ED91E" w14:textId="77777777" w:rsidR="00541979" w:rsidRPr="00160ACC" w:rsidRDefault="00541979" w:rsidP="00666B4C">
            <w:pPr>
              <w:keepNext/>
              <w:keepLines/>
              <w:spacing w:before="0" w:after="0" w:line="240" w:lineRule="auto"/>
              <w:jc w:val="center"/>
              <w:rPr>
                <w:rFonts w:cs="Arial"/>
              </w:rPr>
            </w:pPr>
            <w:r w:rsidRPr="00160ACC">
              <w:rPr>
                <w:rFonts w:cs="Arial"/>
              </w:rPr>
              <w:t>Státní pokladna Centrum sdílených služeb, s. p.</w:t>
            </w:r>
          </w:p>
        </w:tc>
        <w:tc>
          <w:tcPr>
            <w:tcW w:w="425" w:type="dxa"/>
          </w:tcPr>
          <w:p w14:paraId="474C2F3C" w14:textId="77777777" w:rsidR="00541979" w:rsidRPr="00160ACC" w:rsidRDefault="00541979" w:rsidP="00666B4C">
            <w:pPr>
              <w:keepNext/>
              <w:keepLines/>
              <w:spacing w:before="0" w:after="0" w:line="240" w:lineRule="auto"/>
              <w:jc w:val="center"/>
              <w:rPr>
                <w:rFonts w:cs="Arial"/>
              </w:rPr>
            </w:pPr>
          </w:p>
        </w:tc>
        <w:tc>
          <w:tcPr>
            <w:tcW w:w="4176" w:type="dxa"/>
            <w:gridSpan w:val="4"/>
            <w:tcBorders>
              <w:top w:val="single" w:sz="4" w:space="0" w:color="auto"/>
            </w:tcBorders>
          </w:tcPr>
          <w:p w14:paraId="50BCFABF" w14:textId="77777777" w:rsidR="00541979" w:rsidRPr="00160ACC" w:rsidRDefault="00541979" w:rsidP="00666B4C">
            <w:pPr>
              <w:keepNext/>
              <w:keepLines/>
              <w:spacing w:before="0" w:after="0" w:line="240" w:lineRule="auto"/>
              <w:jc w:val="center"/>
              <w:rPr>
                <w:rFonts w:cs="Arial"/>
                <w:b/>
                <w:highlight w:val="yellow"/>
              </w:rPr>
            </w:pPr>
            <w:r w:rsidRPr="00160ACC">
              <w:rPr>
                <w:rFonts w:cs="Arial"/>
                <w:b/>
                <w:highlight w:val="yellow"/>
                <w:lang w:eastAsia="ko-KR"/>
              </w:rPr>
              <w:t>[</w:t>
            </w:r>
            <w:r w:rsidRPr="00160ACC">
              <w:rPr>
                <w:rFonts w:cs="Arial"/>
                <w:b/>
                <w:highlight w:val="yellow"/>
              </w:rPr>
              <w:t>Titul, jméno, příjmení]</w:t>
            </w:r>
          </w:p>
          <w:p w14:paraId="7CEC4514" w14:textId="77777777" w:rsidR="00541979" w:rsidRPr="00160ACC" w:rsidRDefault="00541979" w:rsidP="00666B4C">
            <w:pPr>
              <w:keepNext/>
              <w:keepLines/>
              <w:spacing w:before="0" w:after="0" w:line="240" w:lineRule="auto"/>
              <w:jc w:val="center"/>
              <w:rPr>
                <w:rFonts w:cs="Arial"/>
                <w:highlight w:val="yellow"/>
              </w:rPr>
            </w:pPr>
            <w:r w:rsidRPr="00160ACC">
              <w:rPr>
                <w:rFonts w:cs="Arial"/>
                <w:highlight w:val="yellow"/>
              </w:rPr>
              <w:t>[funkce]</w:t>
            </w:r>
          </w:p>
          <w:p w14:paraId="0F230C5A" w14:textId="77777777" w:rsidR="00541979" w:rsidRPr="00160ACC" w:rsidRDefault="00541979" w:rsidP="00666B4C">
            <w:pPr>
              <w:keepNext/>
              <w:keepLines/>
              <w:spacing w:before="0" w:after="0" w:line="240" w:lineRule="auto"/>
              <w:jc w:val="center"/>
              <w:rPr>
                <w:rFonts w:cs="Arial"/>
              </w:rPr>
            </w:pPr>
            <w:r w:rsidRPr="00160ACC">
              <w:rPr>
                <w:rFonts w:cs="Arial"/>
                <w:highlight w:val="yellow"/>
              </w:rPr>
              <w:t>[název společnosti]</w:t>
            </w:r>
          </w:p>
        </w:tc>
      </w:tr>
    </w:tbl>
    <w:p w14:paraId="3606C35F" w14:textId="77777777" w:rsidR="00847349" w:rsidRPr="00FA1446" w:rsidRDefault="00847349" w:rsidP="009125AD"/>
    <w:p w14:paraId="3C81F43F" w14:textId="77777777" w:rsidR="006E29BD" w:rsidRPr="006043E9" w:rsidRDefault="006E29BD" w:rsidP="009125AD">
      <w:pPr>
        <w:sectPr w:rsidR="006E29BD" w:rsidRPr="006043E9" w:rsidSect="00666B4C">
          <w:headerReference w:type="even" r:id="rId9"/>
          <w:headerReference w:type="default" r:id="rId10"/>
          <w:footerReference w:type="even" r:id="rId11"/>
          <w:footerReference w:type="default" r:id="rId12"/>
          <w:headerReference w:type="first" r:id="rId13"/>
          <w:footerReference w:type="first" r:id="rId14"/>
          <w:pgSz w:w="11906" w:h="16838"/>
          <w:pgMar w:top="788" w:right="1418" w:bottom="851" w:left="1418" w:header="709" w:footer="283" w:gutter="0"/>
          <w:cols w:space="708"/>
          <w:titlePg/>
          <w:docGrid w:linePitch="360"/>
        </w:sectPr>
      </w:pPr>
    </w:p>
    <w:p w14:paraId="6083DB78" w14:textId="77777777" w:rsidR="00ED0B3D" w:rsidRPr="00C13BFC" w:rsidRDefault="00ED0B3D" w:rsidP="009125AD">
      <w:pPr>
        <w:rPr>
          <w:b/>
        </w:rPr>
      </w:pPr>
      <w:r w:rsidRPr="00C13BFC">
        <w:rPr>
          <w:b/>
        </w:rPr>
        <w:lastRenderedPageBreak/>
        <w:t xml:space="preserve">Předmět služeb </w:t>
      </w:r>
    </w:p>
    <w:p w14:paraId="3D87687B" w14:textId="7F4A5CD8" w:rsidR="00ED0B3D" w:rsidRPr="00ED0B3D" w:rsidRDefault="00ED0B3D" w:rsidP="009125AD">
      <w:r w:rsidRPr="00ED0B3D">
        <w:t>Předmětem služeb je podpora provozu XML akcelerátorů IBM Datapower, použitých v rámci provozních služeb Objednatele pro jeho koncové zákazníky. XML akcelerátory IBM Datapower jsou použity v pěti provozních prostředích a to jak ve formě HW appliance, tak ve formě virtuální appliance</w:t>
      </w:r>
      <w:r w:rsidR="00FD59C8">
        <w:t>.</w:t>
      </w:r>
      <w:r w:rsidRPr="00ED0B3D">
        <w:t xml:space="preserve"> Předmětem služeb je podpora základní konfigurace Datapower i podpora konfigurace aplikačních pravidel. </w:t>
      </w:r>
    </w:p>
    <w:p w14:paraId="0EC00104" w14:textId="49C5515B" w:rsidR="00ED0B3D" w:rsidRPr="00ED0B3D" w:rsidRDefault="00ED0B3D" w:rsidP="009125AD">
      <w:r w:rsidRPr="00ED0B3D">
        <w:t xml:space="preserve">Předmětem služeb je účast na Level 2 a Level 3 podpoře konfigurace XML akcelerátoru </w:t>
      </w:r>
      <w:r w:rsidR="005E02AA">
        <w:t xml:space="preserve">v režimu </w:t>
      </w:r>
      <w:r w:rsidR="00BD1CF7">
        <w:t>uvedeném</w:t>
      </w:r>
      <w:r w:rsidR="005E02AA">
        <w:t xml:space="preserve"> v kapitole „Režim a rozsah poskytovaných služeb“,</w:t>
      </w:r>
      <w:r w:rsidRPr="00ED0B3D">
        <w:t xml:space="preserve"> ve spolupráci s pracovníky Objednatele a v souladu s provozními procesy Objednatele. Produktová podpora IBM Datapower není předmětem služeb, ze strany Objednatele je zajištěna jiným kontraktem a Objednatel umožní pracovníkům </w:t>
      </w:r>
      <w:r w:rsidR="00D316F3">
        <w:t>Poskytovatele</w:t>
      </w:r>
      <w:r w:rsidRPr="00ED0B3D">
        <w:t xml:space="preserve"> její využití. </w:t>
      </w:r>
    </w:p>
    <w:p w14:paraId="76F3B11E" w14:textId="77777777" w:rsidR="00ED0B3D" w:rsidRPr="00ED0B3D" w:rsidRDefault="00ED0B3D" w:rsidP="009125AD">
      <w:r w:rsidRPr="00ED0B3D">
        <w:t>Definice úrovní podpory:</w:t>
      </w:r>
    </w:p>
    <w:p w14:paraId="7DDED4B7" w14:textId="31CEEAF3" w:rsidR="00ED0B3D" w:rsidRPr="00ED0B3D" w:rsidRDefault="00ED0B3D" w:rsidP="009125AD">
      <w:pPr>
        <w:pStyle w:val="Odstavecseseznamem"/>
        <w:numPr>
          <w:ilvl w:val="0"/>
          <w:numId w:val="40"/>
        </w:numPr>
      </w:pPr>
      <w:r w:rsidRPr="00ED0B3D">
        <w:t>První úroveň podpory (Level 1, L1) – zajišťuje přímou komunikaci se zákazníkem a uživateli (v definovaném rozsahu), převzetí informací, evidenci požadavků a incidentů v podpůrných nástrojích a</w:t>
      </w:r>
      <w:r w:rsidR="00C13BFC">
        <w:t> </w:t>
      </w:r>
      <w:r w:rsidRPr="00ED0B3D">
        <w:t>prvotní analýzu požadavku nebo incidentu. Odpovídá na jednoduché požadavky na</w:t>
      </w:r>
      <w:r w:rsidR="00C13BFC">
        <w:t> </w:t>
      </w:r>
      <w:r w:rsidRPr="00ED0B3D">
        <w:t>základě znalostní báze nebo na základě stavu aktuálně řešených incidentů. Pokud řešení požadavku převyšuje vědomosti podpory první úrovně, předává požadavek nebo incident vyšší úrovni podpory. V rámci provozních služeb Objednatele je tato úroveň podpory realizována prostřednictvím nástroje ServiceDesk Objednatele a pracovištěm IT dohledu Objednatele;</w:t>
      </w:r>
    </w:p>
    <w:p w14:paraId="68936464" w14:textId="77777777" w:rsidR="00ED0B3D" w:rsidRPr="00ED0B3D" w:rsidRDefault="00ED0B3D" w:rsidP="009125AD">
      <w:pPr>
        <w:pStyle w:val="Odstavecseseznamem"/>
        <w:numPr>
          <w:ilvl w:val="0"/>
          <w:numId w:val="40"/>
        </w:numPr>
      </w:pPr>
      <w:r w:rsidRPr="00ED0B3D">
        <w:t>Druhá úroveň podpory (Level 2, L2) – řeší složitější požadavky a incidenty, jejichž řešení ovšem nevyžaduje hluboké znalosti aplikací, systémů nebo SW/HW a přístup ke</w:t>
      </w:r>
      <w:r w:rsidR="00C13BFC">
        <w:t> </w:t>
      </w:r>
      <w:r w:rsidRPr="00ED0B3D">
        <w:t>zdrojovému kódu nebo náhradním dílům. V rámci provozních služeb Objednatele je tato úroveň podpory typicky realizována správci aplikací a systémů Objednatele nebo externími dodavateli;</w:t>
      </w:r>
    </w:p>
    <w:p w14:paraId="797F5087" w14:textId="44DA0420" w:rsidR="00ED0B3D" w:rsidRPr="00ED0B3D" w:rsidRDefault="00ED0B3D" w:rsidP="009125AD">
      <w:pPr>
        <w:pStyle w:val="Odstavecseseznamem"/>
        <w:numPr>
          <w:ilvl w:val="0"/>
          <w:numId w:val="40"/>
        </w:numPr>
      </w:pPr>
      <w:r w:rsidRPr="00ED0B3D">
        <w:t xml:space="preserve">Třetí úroveň podpory (Level 3, L3) - řeší nejsložitější požadavky a incidenty, jejichž řešení vyžaduje hluboké znalosti aplikací, systémů nebo SW/HW. </w:t>
      </w:r>
    </w:p>
    <w:p w14:paraId="24414315" w14:textId="77777777" w:rsidR="00ED0B3D" w:rsidRPr="00ED0B3D" w:rsidRDefault="00ED0B3D" w:rsidP="009125AD">
      <w:r w:rsidRPr="00ED0B3D">
        <w:t>Předmětem služeb je dále návrh, vývoj, instalace a testování změn konfigurace aplikačních pravidel XML akcelerátoru podle požadavků Objednatele.</w:t>
      </w:r>
    </w:p>
    <w:p w14:paraId="76B72FCD" w14:textId="101DF0C9" w:rsidR="00ED0B3D" w:rsidRPr="00ED0B3D" w:rsidRDefault="00ED0B3D" w:rsidP="009125AD">
      <w:r w:rsidRPr="00ED0B3D">
        <w:t xml:space="preserve">Součástí služeb podpory provozu mohou být na vyžádání Objednatele a v režimu uvedeném v kapitole </w:t>
      </w:r>
      <w:r w:rsidR="00F83E5B">
        <w:t>„Režim a rozsah poskytovaných služeb“</w:t>
      </w:r>
      <w:r w:rsidRPr="00ED0B3D">
        <w:t xml:space="preserve"> aktivity v oblastech:</w:t>
      </w:r>
    </w:p>
    <w:p w14:paraId="6CB1CDFF" w14:textId="77777777" w:rsidR="00ED0B3D" w:rsidRPr="00ED0B3D" w:rsidRDefault="00ED0B3D" w:rsidP="009125AD">
      <w:pPr>
        <w:pStyle w:val="Odstavecseseznamem"/>
        <w:numPr>
          <w:ilvl w:val="0"/>
          <w:numId w:val="41"/>
        </w:numPr>
      </w:pPr>
      <w:r w:rsidRPr="00ED0B3D">
        <w:t>řešení provozních incidentů a závad;</w:t>
      </w:r>
    </w:p>
    <w:p w14:paraId="7C3899A8" w14:textId="77777777" w:rsidR="00ED0B3D" w:rsidRPr="00ED0B3D" w:rsidRDefault="00ED0B3D" w:rsidP="009125AD">
      <w:pPr>
        <w:pStyle w:val="Odstavecseseznamem"/>
        <w:numPr>
          <w:ilvl w:val="0"/>
          <w:numId w:val="41"/>
        </w:numPr>
      </w:pPr>
      <w:r w:rsidRPr="00ED0B3D">
        <w:t>komunikace s produktovou podporou Datapower</w:t>
      </w:r>
      <w:r w:rsidRPr="009125AD">
        <w:rPr>
          <w:lang w:val="en-US"/>
        </w:rPr>
        <w:t>;</w:t>
      </w:r>
    </w:p>
    <w:p w14:paraId="226BC323" w14:textId="77777777" w:rsidR="00ED0B3D" w:rsidRPr="00ED0B3D" w:rsidRDefault="00ED0B3D" w:rsidP="009125AD">
      <w:pPr>
        <w:pStyle w:val="Odstavecseseznamem"/>
        <w:numPr>
          <w:ilvl w:val="0"/>
          <w:numId w:val="41"/>
        </w:numPr>
      </w:pPr>
      <w:r w:rsidRPr="00ED0B3D">
        <w:t>pravidelné činnosti správy zařízení IBM Datapower, zejména:</w:t>
      </w:r>
    </w:p>
    <w:p w14:paraId="1B29C7FF" w14:textId="77777777" w:rsidR="00ED0B3D" w:rsidRPr="00ED0B3D" w:rsidRDefault="00ED0B3D" w:rsidP="009125AD">
      <w:pPr>
        <w:pStyle w:val="Odstavecseseznamem"/>
        <w:numPr>
          <w:ilvl w:val="1"/>
          <w:numId w:val="41"/>
        </w:numPr>
      </w:pPr>
      <w:r w:rsidRPr="00ED0B3D">
        <w:t>kontroly logů, zaplněnosti diskových prostorů, stavu zatížení systému;</w:t>
      </w:r>
    </w:p>
    <w:p w14:paraId="2CEA308B" w14:textId="77777777" w:rsidR="00ED0B3D" w:rsidRPr="00ED0B3D" w:rsidRDefault="00ED0B3D" w:rsidP="009125AD">
      <w:pPr>
        <w:pStyle w:val="Odstavecseseznamem"/>
        <w:numPr>
          <w:ilvl w:val="1"/>
          <w:numId w:val="41"/>
        </w:numPr>
      </w:pPr>
      <w:r w:rsidRPr="00ED0B3D">
        <w:t>preventivní údržba;</w:t>
      </w:r>
    </w:p>
    <w:p w14:paraId="2F551319" w14:textId="77777777" w:rsidR="00ED0B3D" w:rsidRPr="00ED0B3D" w:rsidRDefault="00ED0B3D" w:rsidP="009125AD">
      <w:pPr>
        <w:pStyle w:val="Odstavecseseznamem"/>
        <w:numPr>
          <w:ilvl w:val="1"/>
          <w:numId w:val="41"/>
        </w:numPr>
      </w:pPr>
      <w:r w:rsidRPr="00ED0B3D">
        <w:t>aktualizace firmware;</w:t>
      </w:r>
    </w:p>
    <w:p w14:paraId="6DCA6E4F" w14:textId="77777777" w:rsidR="00ED0B3D" w:rsidRPr="00ED0B3D" w:rsidRDefault="00ED0B3D" w:rsidP="009125AD">
      <w:pPr>
        <w:pStyle w:val="Odstavecseseznamem"/>
        <w:numPr>
          <w:ilvl w:val="0"/>
          <w:numId w:val="41"/>
        </w:numPr>
      </w:pPr>
      <w:r w:rsidRPr="00ED0B3D">
        <w:t>provádění provozních změn konfigurace;</w:t>
      </w:r>
    </w:p>
    <w:p w14:paraId="09F6D0CD" w14:textId="77777777" w:rsidR="00ED0B3D" w:rsidRPr="00ED0B3D" w:rsidRDefault="00ED0B3D" w:rsidP="009125AD">
      <w:pPr>
        <w:pStyle w:val="Odstavecseseznamem"/>
        <w:numPr>
          <w:ilvl w:val="0"/>
          <w:numId w:val="41"/>
        </w:numPr>
      </w:pPr>
      <w:r w:rsidRPr="00ED0B3D">
        <w:lastRenderedPageBreak/>
        <w:t>návrh, vývoj, instalace a testování změn konfigurace aplikačních pravidel;</w:t>
      </w:r>
    </w:p>
    <w:p w14:paraId="5CB504F0" w14:textId="77777777" w:rsidR="00ED0B3D" w:rsidRPr="00ED0B3D" w:rsidRDefault="00ED0B3D" w:rsidP="009125AD">
      <w:pPr>
        <w:pStyle w:val="Odstavecseseznamem"/>
        <w:numPr>
          <w:ilvl w:val="0"/>
          <w:numId w:val="41"/>
        </w:numPr>
      </w:pPr>
      <w:r w:rsidRPr="00ED0B3D">
        <w:t>součinnost při změnách a testování související infrastruktury;</w:t>
      </w:r>
    </w:p>
    <w:p w14:paraId="278B5B6F" w14:textId="77777777" w:rsidR="00ED0B3D" w:rsidRPr="00ED0B3D" w:rsidRDefault="00ED0B3D" w:rsidP="009125AD">
      <w:pPr>
        <w:pStyle w:val="Odstavecseseznamem"/>
        <w:numPr>
          <w:ilvl w:val="0"/>
          <w:numId w:val="41"/>
        </w:numPr>
      </w:pPr>
      <w:r w:rsidRPr="00ED0B3D">
        <w:t>součinnost při návrhu a úpravách provozního a bezpečnostního dohledu, reportingu</w:t>
      </w:r>
      <w:r w:rsidRPr="009125AD">
        <w:rPr>
          <w:lang w:val="en-US"/>
        </w:rPr>
        <w:t>;</w:t>
      </w:r>
    </w:p>
    <w:p w14:paraId="283F688C" w14:textId="67AAF8E7" w:rsidR="00ED0B3D" w:rsidRPr="00ED0B3D" w:rsidRDefault="007B3E03" w:rsidP="009125AD">
      <w:pPr>
        <w:pStyle w:val="Odstavecseseznamem"/>
        <w:numPr>
          <w:ilvl w:val="0"/>
          <w:numId w:val="41"/>
        </w:numPr>
      </w:pPr>
      <w:r>
        <w:t xml:space="preserve">součinnost při </w:t>
      </w:r>
      <w:r w:rsidR="00ED0B3D" w:rsidRPr="00ED0B3D">
        <w:t>údržb</w:t>
      </w:r>
      <w:r>
        <w:t>ě</w:t>
      </w:r>
      <w:r w:rsidR="00ED0B3D" w:rsidRPr="00ED0B3D">
        <w:t xml:space="preserve"> technické dokumentace;</w:t>
      </w:r>
    </w:p>
    <w:p w14:paraId="239A97AE" w14:textId="251BA45D" w:rsidR="00ED0B3D" w:rsidRPr="00ED0B3D" w:rsidRDefault="007B3E03" w:rsidP="009125AD">
      <w:pPr>
        <w:pStyle w:val="Odstavecseseznamem"/>
        <w:numPr>
          <w:ilvl w:val="0"/>
          <w:numId w:val="41"/>
        </w:numPr>
      </w:pPr>
      <w:r>
        <w:t xml:space="preserve">součinnost při </w:t>
      </w:r>
      <w:r w:rsidR="00ED0B3D" w:rsidRPr="00ED0B3D">
        <w:t>údržb</w:t>
      </w:r>
      <w:r>
        <w:t>ě</w:t>
      </w:r>
      <w:r w:rsidR="00ED0B3D" w:rsidRPr="00ED0B3D">
        <w:t xml:space="preserve"> provozního manuálu pro Level 2 podporu a znalostní báze, zvyšování kvalifikace pracovníků Objednatele podílejících se na L2 podpoře Datapower.</w:t>
      </w:r>
    </w:p>
    <w:p w14:paraId="7CB9B95C" w14:textId="7C0991F0" w:rsidR="00ED0B3D" w:rsidRPr="00ED0B3D" w:rsidRDefault="00401F1D" w:rsidP="009125AD">
      <w:r w:rsidRPr="00401F1D">
        <w:t>Služby musí být poskytovány prostřednictvím odborně kvalifikovaných osob, jejichž jmenný seznam a kvalifikaci doložil Dodavatel v rámci veřejné zakázky. Dodavatel může po souhlasu Objednatele nahradit jmenované osoby jinými osobami se stejnou kvalifikací.</w:t>
      </w:r>
      <w:r w:rsidR="00ED0B3D" w:rsidRPr="00ED0B3D">
        <w:t xml:space="preserve"> </w:t>
      </w:r>
    </w:p>
    <w:p w14:paraId="7C0905BD" w14:textId="77777777" w:rsidR="00ED0B3D" w:rsidRPr="00ED0B3D" w:rsidRDefault="00ED0B3D" w:rsidP="009125AD">
      <w:r w:rsidRPr="00ED0B3D">
        <w:t xml:space="preserve">Služby jsou vykonávány na pracovišti Objednatele nebo vzdáleně. Objednatel poskytne pracovníkům Dodavatele VPN přístup a nezbytná přístupová oprávnění. </w:t>
      </w:r>
    </w:p>
    <w:p w14:paraId="012E25AA" w14:textId="77777777" w:rsidR="00ED0B3D" w:rsidRPr="00D849FE" w:rsidRDefault="00ED0B3D" w:rsidP="009125AD">
      <w:pPr>
        <w:rPr>
          <w:b/>
        </w:rPr>
      </w:pPr>
      <w:r w:rsidRPr="00D849FE">
        <w:rPr>
          <w:b/>
        </w:rPr>
        <w:t>Režim a rozsah poskytování služeb</w:t>
      </w:r>
    </w:p>
    <w:p w14:paraId="6267A3ED" w14:textId="77777777" w:rsidR="00ED0B3D" w:rsidRPr="00ED0B3D" w:rsidRDefault="00ED0B3D" w:rsidP="009125AD">
      <w:r w:rsidRPr="00ED0B3D">
        <w:t>Služby se skládají ze dvou částí</w:t>
      </w:r>
      <w:r w:rsidR="00C13BFC">
        <w:t>:</w:t>
      </w:r>
    </w:p>
    <w:p w14:paraId="3D08ABA4" w14:textId="77777777" w:rsidR="0022216D" w:rsidRDefault="00ED0B3D" w:rsidP="0022216D">
      <w:pPr>
        <w:pStyle w:val="Odstavecseseznamem"/>
        <w:numPr>
          <w:ilvl w:val="0"/>
          <w:numId w:val="44"/>
        </w:numPr>
      </w:pPr>
      <w:r w:rsidRPr="00ED0B3D">
        <w:t>Pohotovost pro řešení incidentů a závad pro závady kategorie A a B v režimu 7x24</w:t>
      </w:r>
      <w:r w:rsidR="0022216D">
        <w:t xml:space="preserve"> („Nepřetržitá pohotovost“),</w:t>
      </w:r>
    </w:p>
    <w:p w14:paraId="6DA5CE65" w14:textId="2AB3148E" w:rsidR="00ED0B3D" w:rsidRPr="00ED0B3D" w:rsidRDefault="00ED0B3D" w:rsidP="009125AD">
      <w:pPr>
        <w:pStyle w:val="Odstavecseseznamem"/>
        <w:numPr>
          <w:ilvl w:val="0"/>
          <w:numId w:val="44"/>
        </w:numPr>
      </w:pPr>
      <w:r w:rsidRPr="00ED0B3D">
        <w:t>Služby řešení incidentů, závad a požadavků v rozsahu 80h měsíčně</w:t>
      </w:r>
      <w:r w:rsidR="0022216D">
        <w:t xml:space="preserve"> („</w:t>
      </w:r>
      <w:r w:rsidR="002070C3">
        <w:t>Prováděné činnosti</w:t>
      </w:r>
      <w:r w:rsidR="0022216D">
        <w:t>“).</w:t>
      </w:r>
    </w:p>
    <w:p w14:paraId="0CEBDB00" w14:textId="77777777" w:rsidR="00ED0B3D" w:rsidRPr="00ED0B3D" w:rsidRDefault="00ED0B3D" w:rsidP="009125AD">
      <w:r w:rsidRPr="00ED0B3D">
        <w:t>Kategorizace incidentů, závad a požadavků je uvedena v následující tabulce a je vyhodnocována v kontextu vlivu na celkovou funkcionalitu služeb pro koncové zákazníky Objednatele.</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2"/>
        <w:gridCol w:w="7101"/>
      </w:tblGrid>
      <w:tr w:rsidR="00ED0B3D" w:rsidRPr="00ED0B3D" w14:paraId="2E09FF2C" w14:textId="77777777" w:rsidTr="00A3687F">
        <w:trPr>
          <w:cantSplit/>
          <w:jc w:val="center"/>
        </w:trPr>
        <w:tc>
          <w:tcPr>
            <w:tcW w:w="2122" w:type="dxa"/>
            <w:shd w:val="clear" w:color="auto" w:fill="C0C0C0"/>
            <w:vAlign w:val="center"/>
          </w:tcPr>
          <w:p w14:paraId="4F3D4E77" w14:textId="77777777" w:rsidR="00ED0B3D" w:rsidRPr="00C13BFC" w:rsidRDefault="00ED0B3D" w:rsidP="009125AD">
            <w:pPr>
              <w:rPr>
                <w:b/>
                <w:lang w:eastAsia="cs-CZ"/>
              </w:rPr>
            </w:pPr>
            <w:r w:rsidRPr="00C13BFC">
              <w:rPr>
                <w:b/>
                <w:lang w:eastAsia="cs-CZ"/>
              </w:rPr>
              <w:t>A - Kritická závada</w:t>
            </w:r>
          </w:p>
        </w:tc>
        <w:tc>
          <w:tcPr>
            <w:tcW w:w="7101" w:type="dxa"/>
            <w:vAlign w:val="center"/>
          </w:tcPr>
          <w:p w14:paraId="7DF7FF4C" w14:textId="77CE522E" w:rsidR="00ED0B3D" w:rsidRPr="00ED0B3D" w:rsidRDefault="00ED0B3D" w:rsidP="009125AD">
            <w:pPr>
              <w:rPr>
                <w:lang w:eastAsia="cs-CZ"/>
              </w:rPr>
            </w:pPr>
            <w:r w:rsidRPr="00ED0B3D">
              <w:rPr>
                <w:lang w:eastAsia="cs-CZ"/>
              </w:rPr>
              <w:t>závada, při níž není služba použitelná ve svých základních funkcích</w:t>
            </w:r>
          </w:p>
        </w:tc>
      </w:tr>
      <w:tr w:rsidR="00ED0B3D" w:rsidRPr="00ED0B3D" w14:paraId="0D0052E0" w14:textId="77777777" w:rsidTr="00A3687F">
        <w:trPr>
          <w:cantSplit/>
          <w:trHeight w:val="383"/>
          <w:jc w:val="center"/>
        </w:trPr>
        <w:tc>
          <w:tcPr>
            <w:tcW w:w="2122" w:type="dxa"/>
            <w:shd w:val="clear" w:color="auto" w:fill="C0C0C0"/>
            <w:vAlign w:val="center"/>
          </w:tcPr>
          <w:p w14:paraId="508EF880" w14:textId="77777777" w:rsidR="00ED0B3D" w:rsidRPr="00C13BFC" w:rsidRDefault="00ED0B3D" w:rsidP="009125AD">
            <w:pPr>
              <w:rPr>
                <w:b/>
                <w:lang w:eastAsia="cs-CZ"/>
              </w:rPr>
            </w:pPr>
            <w:r w:rsidRPr="00C13BFC">
              <w:rPr>
                <w:b/>
                <w:lang w:eastAsia="cs-CZ"/>
              </w:rPr>
              <w:t>B - Hlavní závada</w:t>
            </w:r>
          </w:p>
        </w:tc>
        <w:tc>
          <w:tcPr>
            <w:tcW w:w="7101" w:type="dxa"/>
            <w:vAlign w:val="center"/>
          </w:tcPr>
          <w:p w14:paraId="17E02536" w14:textId="19A4A12A" w:rsidR="00ED0B3D" w:rsidRPr="00ED0B3D" w:rsidRDefault="00ED0B3D" w:rsidP="001F381B">
            <w:pPr>
              <w:rPr>
                <w:lang w:eastAsia="cs-CZ"/>
              </w:rPr>
            </w:pPr>
            <w:r w:rsidRPr="00ED0B3D">
              <w:rPr>
                <w:lang w:eastAsia="cs-CZ"/>
              </w:rPr>
              <w:t>závada, kdy je poskytovaná služba ve svých funkcích degradovaná natolik, že tento stav omezuje běžné poskytování služby</w:t>
            </w:r>
          </w:p>
        </w:tc>
      </w:tr>
      <w:tr w:rsidR="00ED0B3D" w:rsidRPr="00ED0B3D" w14:paraId="588865B5" w14:textId="77777777" w:rsidTr="00A3687F">
        <w:trPr>
          <w:cantSplit/>
          <w:jc w:val="center"/>
        </w:trPr>
        <w:tc>
          <w:tcPr>
            <w:tcW w:w="2122" w:type="dxa"/>
            <w:shd w:val="clear" w:color="auto" w:fill="C0C0C0"/>
            <w:vAlign w:val="center"/>
          </w:tcPr>
          <w:p w14:paraId="60780F13" w14:textId="77777777" w:rsidR="00ED0B3D" w:rsidRPr="00C13BFC" w:rsidRDefault="00ED0B3D" w:rsidP="009125AD">
            <w:pPr>
              <w:rPr>
                <w:b/>
                <w:lang w:eastAsia="cs-CZ"/>
              </w:rPr>
            </w:pPr>
            <w:r w:rsidRPr="00C13BFC">
              <w:rPr>
                <w:b/>
                <w:lang w:eastAsia="cs-CZ"/>
              </w:rPr>
              <w:t>C - Vedlejší závada</w:t>
            </w:r>
          </w:p>
        </w:tc>
        <w:tc>
          <w:tcPr>
            <w:tcW w:w="7101" w:type="dxa"/>
            <w:vAlign w:val="center"/>
          </w:tcPr>
          <w:p w14:paraId="78E7327A" w14:textId="77777777" w:rsidR="00ED0B3D" w:rsidRPr="00ED0B3D" w:rsidRDefault="00ED0B3D" w:rsidP="009125AD">
            <w:pPr>
              <w:rPr>
                <w:lang w:eastAsia="cs-CZ"/>
              </w:rPr>
            </w:pPr>
            <w:r w:rsidRPr="00ED0B3D">
              <w:rPr>
                <w:lang w:eastAsia="cs-CZ"/>
              </w:rPr>
              <w:t>závada, která svým charakterem nespadá do kategorie kritické nebo hlavní a neomezuje běžné poskytování služby</w:t>
            </w:r>
          </w:p>
        </w:tc>
      </w:tr>
      <w:tr w:rsidR="00ED0B3D" w:rsidRPr="00ED0B3D" w14:paraId="22C8958C" w14:textId="77777777" w:rsidTr="00A3687F">
        <w:trPr>
          <w:cantSplit/>
          <w:jc w:val="center"/>
        </w:trPr>
        <w:tc>
          <w:tcPr>
            <w:tcW w:w="2122" w:type="dxa"/>
            <w:shd w:val="clear" w:color="auto" w:fill="C0C0C0"/>
            <w:vAlign w:val="center"/>
          </w:tcPr>
          <w:p w14:paraId="03B2C678" w14:textId="77777777" w:rsidR="00ED0B3D" w:rsidRPr="00C13BFC" w:rsidRDefault="00ED0B3D" w:rsidP="009125AD">
            <w:pPr>
              <w:rPr>
                <w:b/>
                <w:lang w:eastAsia="cs-CZ"/>
              </w:rPr>
            </w:pPr>
            <w:r w:rsidRPr="00C13BFC">
              <w:rPr>
                <w:b/>
                <w:lang w:eastAsia="cs-CZ"/>
              </w:rPr>
              <w:t>D – Požadavek</w:t>
            </w:r>
          </w:p>
        </w:tc>
        <w:tc>
          <w:tcPr>
            <w:tcW w:w="7101" w:type="dxa"/>
            <w:vAlign w:val="center"/>
          </w:tcPr>
          <w:p w14:paraId="7C74AAC7" w14:textId="6A182C6A" w:rsidR="00ED0B3D" w:rsidRPr="00ED0B3D" w:rsidRDefault="00ED0B3D">
            <w:pPr>
              <w:rPr>
                <w:lang w:eastAsia="cs-CZ"/>
              </w:rPr>
            </w:pPr>
            <w:r w:rsidRPr="00ED0B3D">
              <w:rPr>
                <w:lang w:eastAsia="cs-CZ"/>
              </w:rPr>
              <w:t xml:space="preserve">požadavek na úpravy konfigurace nebo další aktivity uvedené v kapitole </w:t>
            </w:r>
            <w:r w:rsidR="005E02AA">
              <w:rPr>
                <w:lang w:eastAsia="cs-CZ"/>
              </w:rPr>
              <w:t>„Předmět služeb“</w:t>
            </w:r>
          </w:p>
        </w:tc>
      </w:tr>
    </w:tbl>
    <w:p w14:paraId="041DDC14" w14:textId="7351E0CA" w:rsidR="00ED0B3D" w:rsidRPr="00ED0B3D" w:rsidRDefault="00ED0B3D" w:rsidP="009125AD">
      <w:r w:rsidRPr="00ED0B3D">
        <w:t xml:space="preserve">Režim poskytování služeb řešení incidentů a závad pro závady kategorie A a B je 7x24. SLA maximální reakční doby (od oznámení incidentu telefonicky a e-mailem na Hotline </w:t>
      </w:r>
      <w:r w:rsidR="007F49C6">
        <w:t>Poskytovatele</w:t>
      </w:r>
      <w:r>
        <w:t xml:space="preserve"> do</w:t>
      </w:r>
      <w:r w:rsidR="00C13BFC">
        <w:t> </w:t>
      </w:r>
      <w:r>
        <w:t>započetí řešení) je 2</w:t>
      </w:r>
      <w:r w:rsidRPr="00ED0B3D">
        <w:t xml:space="preserve"> hodiny. Řešení incidentů a závad kategorie A a B probíhá od zahájení nepřetržitě až do vyřešení nebo snížení závažnosti na kategorii C. </w:t>
      </w:r>
    </w:p>
    <w:p w14:paraId="089091EF" w14:textId="3D90CB5E" w:rsidR="00ED0B3D" w:rsidRPr="00ED0B3D" w:rsidRDefault="00ED0B3D" w:rsidP="009125AD">
      <w:r w:rsidRPr="00ED0B3D">
        <w:t xml:space="preserve">Režim poskytování služeb </w:t>
      </w:r>
      <w:r w:rsidR="0022216D">
        <w:t xml:space="preserve">řešení </w:t>
      </w:r>
      <w:r w:rsidRPr="00ED0B3D">
        <w:t>incident</w:t>
      </w:r>
      <w:r w:rsidR="0022216D">
        <w:t>ů</w:t>
      </w:r>
      <w:r w:rsidRPr="00ED0B3D">
        <w:t xml:space="preserve"> a závad kategorie C</w:t>
      </w:r>
      <w:r w:rsidR="0022216D">
        <w:t xml:space="preserve"> a řešení</w:t>
      </w:r>
      <w:r w:rsidRPr="00ED0B3D">
        <w:t xml:space="preserve"> požadavk</w:t>
      </w:r>
      <w:r w:rsidR="0022216D">
        <w:t>ů</w:t>
      </w:r>
      <w:r w:rsidRPr="00ED0B3D">
        <w:t xml:space="preserve"> Objednatele, </w:t>
      </w:r>
      <w:r w:rsidR="0022216D">
        <w:t xml:space="preserve">včetně </w:t>
      </w:r>
      <w:r w:rsidRPr="00ED0B3D">
        <w:t>pravideln</w:t>
      </w:r>
      <w:r w:rsidR="0022216D">
        <w:t>é</w:t>
      </w:r>
      <w:r w:rsidRPr="00ED0B3D">
        <w:t xml:space="preserve"> údržb</w:t>
      </w:r>
      <w:r w:rsidR="0022216D">
        <w:t>y,</w:t>
      </w:r>
      <w:r w:rsidRPr="00ED0B3D">
        <w:t xml:space="preserve"> je pracovní dny 8:00</w:t>
      </w:r>
      <w:r>
        <w:t xml:space="preserve"> </w:t>
      </w:r>
      <w:r w:rsidRPr="00ED0B3D">
        <w:t>-</w:t>
      </w:r>
      <w:r>
        <w:t xml:space="preserve"> </w:t>
      </w:r>
      <w:r w:rsidRPr="00ED0B3D">
        <w:t>18:00. Řešení incidentů a závad kategorie C a</w:t>
      </w:r>
      <w:r w:rsidR="00C13BFC">
        <w:t> </w:t>
      </w:r>
      <w:r w:rsidRPr="00ED0B3D">
        <w:t>požadavků probíhá bez zbytečných odkladů a prodlev.</w:t>
      </w:r>
    </w:p>
    <w:p w14:paraId="2D3B26D0" w14:textId="77777777" w:rsidR="00ED0B3D" w:rsidRPr="00ED0B3D" w:rsidRDefault="00ED0B3D" w:rsidP="009125AD">
      <w:pPr>
        <w:rPr>
          <w:lang w:val="en-US"/>
        </w:rPr>
      </w:pPr>
      <w:r w:rsidRPr="00ED0B3D">
        <w:t xml:space="preserve">Všechny služby musí být poskytovány s náležitou odbornou péčí. </w:t>
      </w:r>
    </w:p>
    <w:p w14:paraId="514CBAC0" w14:textId="15AA591F" w:rsidR="00ED0B3D" w:rsidRDefault="00ED0B3D" w:rsidP="009125AD">
      <w:r w:rsidRPr="00ED0B3D">
        <w:lastRenderedPageBreak/>
        <w:t xml:space="preserve">V rámci </w:t>
      </w:r>
      <w:r w:rsidR="002070C3">
        <w:t>Prováděných činností</w:t>
      </w:r>
      <w:r w:rsidRPr="00ED0B3D">
        <w:t xml:space="preserve"> je zahrnuto 80 člověkohodin práce měsíčně, které jsou čerpány formou aktivní činnosti na řešení incidentů, závad nebo požadavků Objednatele (nejsou čerpány ve</w:t>
      </w:r>
      <w:r w:rsidR="00A14E4F">
        <w:t> </w:t>
      </w:r>
      <w:r w:rsidRPr="00ED0B3D">
        <w:t xml:space="preserve">formě </w:t>
      </w:r>
      <w:r w:rsidR="007F49C6">
        <w:t xml:space="preserve">Nepřetržité </w:t>
      </w:r>
      <w:r w:rsidRPr="00ED0B3D">
        <w:t>pohotovosti). Nevyčerpané člověkohodiny</w:t>
      </w:r>
      <w:r>
        <w:t xml:space="preserve"> se převádějí do dalších měsíců, a to až do</w:t>
      </w:r>
      <w:r w:rsidR="00C13BFC">
        <w:t> </w:t>
      </w:r>
      <w:r>
        <w:t>vyčerpání maximálního limitu 480 člověkohodin</w:t>
      </w:r>
      <w:r w:rsidR="00F20C27">
        <w:t>, n</w:t>
      </w:r>
      <w:r w:rsidR="00B61A4B">
        <w:t xml:space="preserve">ejdéle však </w:t>
      </w:r>
      <w:r w:rsidR="00381E42">
        <w:t>9</w:t>
      </w:r>
      <w:r w:rsidR="00B61A4B">
        <w:t xml:space="preserve"> měsíců ode dne účinnosti smlouvy. </w:t>
      </w:r>
    </w:p>
    <w:p w14:paraId="3B312721" w14:textId="77777777" w:rsidR="00381FC1" w:rsidRDefault="00381FC1" w:rsidP="009125AD">
      <w:pPr>
        <w:sectPr w:rsidR="00381FC1" w:rsidSect="006E29BD">
          <w:headerReference w:type="default" r:id="rId15"/>
          <w:pgSz w:w="11906" w:h="16838"/>
          <w:pgMar w:top="788" w:right="1417" w:bottom="1417" w:left="1417" w:header="708" w:footer="708" w:gutter="0"/>
          <w:cols w:space="708"/>
          <w:docGrid w:linePitch="360"/>
        </w:sectPr>
      </w:pPr>
    </w:p>
    <w:p w14:paraId="5A4BA544" w14:textId="128080B3" w:rsidR="00381FC1" w:rsidRDefault="00381FC1" w:rsidP="009125AD">
      <w:r w:rsidRPr="00381FC1">
        <w:rPr>
          <w:highlight w:val="yellow"/>
        </w:rPr>
        <w:lastRenderedPageBreak/>
        <w:t>[zde dodavatel vloží seznam poddodavatelů]</w:t>
      </w:r>
    </w:p>
    <w:p w14:paraId="66D610C4" w14:textId="77777777" w:rsidR="00381FC1" w:rsidRDefault="00381FC1" w:rsidP="009125AD"/>
    <w:p w14:paraId="399A0FE6" w14:textId="77777777" w:rsidR="00381FC1" w:rsidRDefault="00381FC1" w:rsidP="009125AD">
      <w:pPr>
        <w:sectPr w:rsidR="00381FC1" w:rsidSect="006E29BD">
          <w:headerReference w:type="default" r:id="rId16"/>
          <w:pgSz w:w="11906" w:h="16838"/>
          <w:pgMar w:top="788" w:right="1417" w:bottom="1417" w:left="1417" w:header="708" w:footer="708" w:gutter="0"/>
          <w:cols w:space="708"/>
          <w:docGrid w:linePitch="360"/>
        </w:sectPr>
      </w:pPr>
    </w:p>
    <w:p w14:paraId="1E3E3095" w14:textId="3B8690B6" w:rsidR="00381FC1" w:rsidRDefault="00381FC1" w:rsidP="00381FC1">
      <w:r w:rsidRPr="00381FC1">
        <w:rPr>
          <w:highlight w:val="yellow"/>
        </w:rPr>
        <w:lastRenderedPageBreak/>
        <w:t xml:space="preserve">[zde dodavatel vloží seznam </w:t>
      </w:r>
      <w:r>
        <w:rPr>
          <w:highlight w:val="yellow"/>
        </w:rPr>
        <w:t>realizačního týmu</w:t>
      </w:r>
      <w:r w:rsidRPr="00381FC1">
        <w:rPr>
          <w:highlight w:val="yellow"/>
        </w:rPr>
        <w:t>]</w:t>
      </w:r>
    </w:p>
    <w:p w14:paraId="3D4E22D1" w14:textId="799A902D" w:rsidR="00381FC1" w:rsidRPr="00ED0B3D" w:rsidRDefault="00381FC1" w:rsidP="009125AD"/>
    <w:sectPr w:rsidR="00381FC1" w:rsidRPr="00ED0B3D" w:rsidSect="006E29BD">
      <w:headerReference w:type="default" r:id="rId17"/>
      <w:pgSz w:w="11906" w:h="16838"/>
      <w:pgMar w:top="788"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82A44E" w15:done="0"/>
  <w15:commentEx w15:paraId="01A8F847" w15:done="0"/>
  <w15:commentEx w15:paraId="4EFBD9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2A44E" w16cid:durableId="1D458F8A"/>
  <w16cid:commentId w16cid:paraId="01A8F847" w16cid:durableId="1D34870E"/>
  <w16cid:commentId w16cid:paraId="4EFBD9D4" w16cid:durableId="1D458F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E3AFD" w14:textId="77777777" w:rsidR="00E60C60" w:rsidRDefault="00E60C60" w:rsidP="009125AD">
      <w:r>
        <w:separator/>
      </w:r>
    </w:p>
  </w:endnote>
  <w:endnote w:type="continuationSeparator" w:id="0">
    <w:p w14:paraId="419F0C07" w14:textId="77777777" w:rsidR="00E60C60" w:rsidRDefault="00E60C60" w:rsidP="0091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B8C6" w14:textId="77777777" w:rsidR="00666B4C" w:rsidRDefault="00666B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9E963" w14:textId="77777777" w:rsidR="00666B4C" w:rsidRDefault="00666B4C" w:rsidP="008F33CE">
    <w:pPr>
      <w:jc w:val="center"/>
    </w:pPr>
  </w:p>
  <w:p w14:paraId="1980E6AB" w14:textId="5326835D" w:rsidR="00A3687F" w:rsidRDefault="00A3687F" w:rsidP="008F33CE">
    <w:pPr>
      <w:jc w:val="center"/>
    </w:pPr>
    <w:r>
      <w:fldChar w:fldCharType="begin"/>
    </w:r>
    <w:r>
      <w:instrText>PAGE   \* MERGEFORMAT</w:instrText>
    </w:r>
    <w:r>
      <w:fldChar w:fldCharType="separate"/>
    </w:r>
    <w:r w:rsidR="00B96AB6">
      <w:rPr>
        <w:noProof/>
      </w:rPr>
      <w:t>18</w:t>
    </w:r>
    <w:r>
      <w:fldChar w:fldCharType="end"/>
    </w:r>
    <w:r w:rsidR="00381FC1">
      <w:t xml:space="preserve"> </w:t>
    </w:r>
    <w:r>
      <w:t>/</w:t>
    </w:r>
    <w:r w:rsidR="00381FC1">
      <w:t xml:space="preserve"> </w:t>
    </w:r>
    <w:fldSimple w:instr=" NUMPAGES   \* MERGEFORMAT ">
      <w:r w:rsidR="00B96AB6">
        <w:rPr>
          <w:noProof/>
        </w:rPr>
        <w:t>18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287EC" w14:textId="77777777" w:rsidR="00666B4C" w:rsidRDefault="00666B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B413A" w14:textId="77777777" w:rsidR="00E60C60" w:rsidRDefault="00E60C60" w:rsidP="009125AD">
      <w:r>
        <w:separator/>
      </w:r>
    </w:p>
  </w:footnote>
  <w:footnote w:type="continuationSeparator" w:id="0">
    <w:p w14:paraId="56653303" w14:textId="77777777" w:rsidR="00E60C60" w:rsidRDefault="00E60C60" w:rsidP="00912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5121" w14:textId="77777777" w:rsidR="00666B4C" w:rsidRDefault="00666B4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004666"/>
      </w:tblBorders>
      <w:tblLook w:val="04A0" w:firstRow="1" w:lastRow="0" w:firstColumn="1" w:lastColumn="0" w:noHBand="0" w:noVBand="1"/>
    </w:tblPr>
    <w:tblGrid>
      <w:gridCol w:w="2378"/>
      <w:gridCol w:w="5242"/>
      <w:gridCol w:w="1666"/>
    </w:tblGrid>
    <w:tr w:rsidR="00A3687F" w:rsidRPr="00885DF2" w14:paraId="34AA8878" w14:textId="77777777" w:rsidTr="00F60495">
      <w:trPr>
        <w:trHeight w:val="555"/>
      </w:trPr>
      <w:tc>
        <w:tcPr>
          <w:tcW w:w="2399" w:type="dxa"/>
          <w:vMerge w:val="restart"/>
          <w:shd w:val="clear" w:color="auto" w:fill="auto"/>
          <w:vAlign w:val="center"/>
        </w:tcPr>
        <w:p w14:paraId="49AA15C3" w14:textId="77777777" w:rsidR="00A3687F" w:rsidRPr="000D23D8" w:rsidRDefault="00A3687F" w:rsidP="009125AD">
          <w:pPr>
            <w:rPr>
              <w:rFonts w:cs="Calibri"/>
            </w:rPr>
          </w:pPr>
          <w:r>
            <w:rPr>
              <w:noProof/>
              <w:lang w:eastAsia="cs-CZ"/>
            </w:rPr>
            <w:drawing>
              <wp:inline distT="0" distB="0" distL="0" distR="0" wp14:anchorId="1F6BDEF0" wp14:editId="08545D1B">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1D11C584" w14:textId="77777777" w:rsidR="00A3687F" w:rsidRPr="00750ADF" w:rsidRDefault="00A3687F" w:rsidP="00750ADF">
          <w:pPr>
            <w:spacing w:before="0" w:after="0" w:line="240" w:lineRule="auto"/>
            <w:ind w:left="454"/>
            <w:rPr>
              <w:b/>
              <w:color w:val="004666"/>
            </w:rPr>
          </w:pPr>
          <w:r w:rsidRPr="00750ADF">
            <w:rPr>
              <w:b/>
              <w:color w:val="004666"/>
            </w:rPr>
            <w:t>Smlouva o poskytování služeb</w:t>
          </w:r>
        </w:p>
      </w:tc>
      <w:tc>
        <w:tcPr>
          <w:tcW w:w="1752" w:type="dxa"/>
          <w:vMerge w:val="restart"/>
          <w:shd w:val="clear" w:color="auto" w:fill="auto"/>
          <w:vAlign w:val="center"/>
        </w:tcPr>
        <w:p w14:paraId="4DD30D1A" w14:textId="77777777" w:rsidR="00A3687F" w:rsidRPr="00750ADF" w:rsidRDefault="00A3687F" w:rsidP="00750ADF">
          <w:pPr>
            <w:spacing w:before="0" w:after="0" w:line="240" w:lineRule="auto"/>
            <w:jc w:val="center"/>
            <w:rPr>
              <w:b/>
            </w:rPr>
          </w:pPr>
          <w:r w:rsidRPr="00750ADF">
            <w:rPr>
              <w:b/>
              <w:color w:val="004666"/>
            </w:rPr>
            <w:t>[</w:t>
          </w:r>
          <w:r w:rsidRPr="00750ADF">
            <w:rPr>
              <w:b/>
              <w:color w:val="004666"/>
              <w:highlight w:val="green"/>
            </w:rPr>
            <w:t>doplní zadavatel</w:t>
          </w:r>
          <w:r w:rsidRPr="00750ADF">
            <w:rPr>
              <w:b/>
              <w:color w:val="004666"/>
            </w:rPr>
            <w:t>]</w:t>
          </w:r>
        </w:p>
      </w:tc>
    </w:tr>
    <w:tr w:rsidR="00A3687F" w:rsidRPr="00885DF2" w14:paraId="533B98FF" w14:textId="77777777" w:rsidTr="00F60495">
      <w:trPr>
        <w:trHeight w:val="555"/>
      </w:trPr>
      <w:tc>
        <w:tcPr>
          <w:tcW w:w="2399" w:type="dxa"/>
          <w:vMerge/>
          <w:shd w:val="clear" w:color="auto" w:fill="auto"/>
          <w:vAlign w:val="center"/>
        </w:tcPr>
        <w:p w14:paraId="0D423E43" w14:textId="77777777" w:rsidR="00A3687F" w:rsidRPr="000D23D8" w:rsidRDefault="00A3687F" w:rsidP="009125AD">
          <w:pPr>
            <w:rPr>
              <w:noProof/>
            </w:rPr>
          </w:pPr>
        </w:p>
      </w:tc>
      <w:tc>
        <w:tcPr>
          <w:tcW w:w="5989" w:type="dxa"/>
          <w:shd w:val="clear" w:color="auto" w:fill="auto"/>
          <w:vAlign w:val="center"/>
        </w:tcPr>
        <w:p w14:paraId="415B3B93" w14:textId="72213E86" w:rsidR="00A3687F" w:rsidRPr="00750ADF" w:rsidRDefault="00A3687F" w:rsidP="00750ADF">
          <w:pPr>
            <w:spacing w:before="0" w:after="0" w:line="240" w:lineRule="auto"/>
            <w:ind w:left="454"/>
            <w:rPr>
              <w:b/>
              <w:color w:val="009EE0"/>
            </w:rPr>
          </w:pPr>
          <w:r w:rsidRPr="00750ADF">
            <w:rPr>
              <w:b/>
              <w:color w:val="009EE0"/>
            </w:rPr>
            <w:t>Služby podpory provozu XML akcelerátoru</w:t>
          </w:r>
        </w:p>
      </w:tc>
      <w:tc>
        <w:tcPr>
          <w:tcW w:w="1752" w:type="dxa"/>
          <w:vMerge/>
          <w:shd w:val="clear" w:color="auto" w:fill="auto"/>
          <w:vAlign w:val="center"/>
        </w:tcPr>
        <w:p w14:paraId="640948D2" w14:textId="77777777" w:rsidR="00A3687F" w:rsidRPr="000D23D8" w:rsidRDefault="00A3687F" w:rsidP="009125AD"/>
      </w:tc>
    </w:tr>
  </w:tbl>
  <w:p w14:paraId="30696061" w14:textId="77777777" w:rsidR="00A3687F" w:rsidRPr="00591332" w:rsidRDefault="00A3687F" w:rsidP="009125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85"/>
    </w:tblGrid>
    <w:tr w:rsidR="00A3687F" w14:paraId="22C59BB4" w14:textId="77777777" w:rsidTr="00F60495">
      <w:tc>
        <w:tcPr>
          <w:tcW w:w="2977" w:type="dxa"/>
        </w:tcPr>
        <w:p w14:paraId="7469E4F9" w14:textId="77777777" w:rsidR="00A3687F" w:rsidRDefault="00A3687F" w:rsidP="009125AD">
          <w:r w:rsidRPr="00836A84">
            <w:rPr>
              <w:noProof/>
              <w:lang w:eastAsia="cs-CZ"/>
            </w:rPr>
            <w:drawing>
              <wp:inline distT="0" distB="0" distL="0" distR="0" wp14:anchorId="278485F7" wp14:editId="22140E34">
                <wp:extent cx="1304290" cy="548640"/>
                <wp:effectExtent l="0" t="0" r="0" b="3810"/>
                <wp:docPr id="1" name="Obrázek 1"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548640"/>
                        </a:xfrm>
                        <a:prstGeom prst="rect">
                          <a:avLst/>
                        </a:prstGeom>
                        <a:noFill/>
                        <a:ln>
                          <a:noFill/>
                        </a:ln>
                      </pic:spPr>
                    </pic:pic>
                  </a:graphicData>
                </a:graphic>
              </wp:inline>
            </w:drawing>
          </w:r>
        </w:p>
      </w:tc>
      <w:tc>
        <w:tcPr>
          <w:tcW w:w="6085" w:type="dxa"/>
        </w:tcPr>
        <w:p w14:paraId="1D821753" w14:textId="77777777" w:rsidR="00A3687F" w:rsidRPr="00AE6E6A" w:rsidRDefault="00A3687F" w:rsidP="009125AD"/>
      </w:tc>
    </w:tr>
  </w:tbl>
  <w:p w14:paraId="11F305FC" w14:textId="77777777" w:rsidR="00A3687F" w:rsidRDefault="00A3687F" w:rsidP="009125A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004666"/>
      </w:tblBorders>
      <w:tblLook w:val="04A0" w:firstRow="1" w:lastRow="0" w:firstColumn="1" w:lastColumn="0" w:noHBand="0" w:noVBand="1"/>
    </w:tblPr>
    <w:tblGrid>
      <w:gridCol w:w="2378"/>
      <w:gridCol w:w="5244"/>
      <w:gridCol w:w="1666"/>
    </w:tblGrid>
    <w:tr w:rsidR="00A3687F" w:rsidRPr="00885DF2" w14:paraId="037955C8" w14:textId="77777777" w:rsidTr="00F60495">
      <w:trPr>
        <w:trHeight w:val="555"/>
      </w:trPr>
      <w:tc>
        <w:tcPr>
          <w:tcW w:w="2399" w:type="dxa"/>
          <w:vMerge w:val="restart"/>
          <w:shd w:val="clear" w:color="auto" w:fill="auto"/>
          <w:vAlign w:val="center"/>
        </w:tcPr>
        <w:p w14:paraId="39530B6B" w14:textId="77777777" w:rsidR="00A3687F" w:rsidRPr="000D23D8" w:rsidRDefault="00A3687F" w:rsidP="009125AD">
          <w:pPr>
            <w:rPr>
              <w:rFonts w:cs="Calibri"/>
            </w:rPr>
          </w:pPr>
          <w:r>
            <w:rPr>
              <w:noProof/>
              <w:lang w:eastAsia="cs-CZ"/>
            </w:rPr>
            <w:drawing>
              <wp:inline distT="0" distB="0" distL="0" distR="0" wp14:anchorId="7671A094" wp14:editId="002A36BF">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41E9E24F" w14:textId="77777777" w:rsidR="00A3687F" w:rsidRPr="00C13BFC" w:rsidRDefault="00A3687F" w:rsidP="00C13BFC">
          <w:pPr>
            <w:spacing w:before="0" w:after="0" w:line="240" w:lineRule="auto"/>
            <w:ind w:left="454"/>
            <w:rPr>
              <w:b/>
              <w:color w:val="004666"/>
            </w:rPr>
          </w:pPr>
          <w:r w:rsidRPr="00C13BFC">
            <w:rPr>
              <w:b/>
              <w:color w:val="004666"/>
            </w:rPr>
            <w:t>Smlouva o poskytování služeb</w:t>
          </w:r>
        </w:p>
        <w:p w14:paraId="449BD3C1" w14:textId="77777777" w:rsidR="00A3687F" w:rsidRPr="000D23D8" w:rsidRDefault="00D316F3" w:rsidP="00C13BFC">
          <w:pPr>
            <w:spacing w:before="0" w:after="0" w:line="240" w:lineRule="auto"/>
            <w:ind w:left="454"/>
          </w:pPr>
          <w:r w:rsidRPr="00C13BFC">
            <w:rPr>
              <w:b/>
              <w:color w:val="004666"/>
            </w:rPr>
            <w:t>Příloha č. 1 – Specifikace rozsahu a kvality služeb</w:t>
          </w:r>
        </w:p>
      </w:tc>
      <w:tc>
        <w:tcPr>
          <w:tcW w:w="1752" w:type="dxa"/>
          <w:vMerge w:val="restart"/>
          <w:shd w:val="clear" w:color="auto" w:fill="auto"/>
          <w:vAlign w:val="center"/>
        </w:tcPr>
        <w:p w14:paraId="291771E6" w14:textId="77777777" w:rsidR="00A3687F" w:rsidRPr="00C13BFC" w:rsidRDefault="00A3687F" w:rsidP="00C13BFC">
          <w:pPr>
            <w:spacing w:before="0" w:after="0" w:line="240" w:lineRule="auto"/>
            <w:jc w:val="center"/>
            <w:rPr>
              <w:b/>
            </w:rPr>
          </w:pPr>
          <w:r w:rsidRPr="00C13BFC">
            <w:rPr>
              <w:b/>
              <w:color w:val="004666"/>
            </w:rPr>
            <w:t>[</w:t>
          </w:r>
          <w:r w:rsidRPr="00C13BFC">
            <w:rPr>
              <w:b/>
              <w:color w:val="004666"/>
              <w:highlight w:val="green"/>
            </w:rPr>
            <w:t>doplní zadavatel</w:t>
          </w:r>
          <w:r w:rsidRPr="00C13BFC">
            <w:rPr>
              <w:b/>
              <w:color w:val="004666"/>
            </w:rPr>
            <w:t>]</w:t>
          </w:r>
        </w:p>
      </w:tc>
    </w:tr>
    <w:tr w:rsidR="00A3687F" w:rsidRPr="00885DF2" w14:paraId="484442B8" w14:textId="77777777" w:rsidTr="00F60495">
      <w:trPr>
        <w:trHeight w:val="555"/>
      </w:trPr>
      <w:tc>
        <w:tcPr>
          <w:tcW w:w="2399" w:type="dxa"/>
          <w:vMerge/>
          <w:shd w:val="clear" w:color="auto" w:fill="auto"/>
          <w:vAlign w:val="center"/>
        </w:tcPr>
        <w:p w14:paraId="60DC893C" w14:textId="77777777" w:rsidR="00A3687F" w:rsidRPr="000D23D8" w:rsidRDefault="00A3687F" w:rsidP="009125AD">
          <w:pPr>
            <w:rPr>
              <w:noProof/>
            </w:rPr>
          </w:pPr>
        </w:p>
      </w:tc>
      <w:tc>
        <w:tcPr>
          <w:tcW w:w="5989" w:type="dxa"/>
          <w:shd w:val="clear" w:color="auto" w:fill="auto"/>
          <w:vAlign w:val="center"/>
        </w:tcPr>
        <w:p w14:paraId="0789A9C1" w14:textId="179828C6" w:rsidR="00A3687F" w:rsidRPr="00C13BFC" w:rsidRDefault="00A3687F" w:rsidP="00C13BFC">
          <w:pPr>
            <w:spacing w:before="0" w:after="0" w:line="240" w:lineRule="auto"/>
            <w:ind w:left="454"/>
            <w:rPr>
              <w:b/>
            </w:rPr>
          </w:pPr>
          <w:r w:rsidRPr="00C13BFC">
            <w:rPr>
              <w:b/>
              <w:color w:val="009EE0"/>
            </w:rPr>
            <w:t>Služby podpory provozu XML akcelerátoru</w:t>
          </w:r>
        </w:p>
      </w:tc>
      <w:tc>
        <w:tcPr>
          <w:tcW w:w="1752" w:type="dxa"/>
          <w:vMerge/>
          <w:shd w:val="clear" w:color="auto" w:fill="auto"/>
          <w:vAlign w:val="center"/>
        </w:tcPr>
        <w:p w14:paraId="4741F441" w14:textId="77777777" w:rsidR="00A3687F" w:rsidRPr="000D23D8" w:rsidRDefault="00A3687F" w:rsidP="009125AD"/>
      </w:tc>
    </w:tr>
  </w:tbl>
  <w:p w14:paraId="7DC07644" w14:textId="77777777" w:rsidR="00A3687F" w:rsidRPr="00591332" w:rsidRDefault="00A3687F" w:rsidP="009125A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004666"/>
      </w:tblBorders>
      <w:tblLook w:val="04A0" w:firstRow="1" w:lastRow="0" w:firstColumn="1" w:lastColumn="0" w:noHBand="0" w:noVBand="1"/>
    </w:tblPr>
    <w:tblGrid>
      <w:gridCol w:w="2377"/>
      <w:gridCol w:w="5249"/>
      <w:gridCol w:w="1662"/>
    </w:tblGrid>
    <w:tr w:rsidR="00381FC1" w:rsidRPr="00885DF2" w14:paraId="21128E2F" w14:textId="77777777" w:rsidTr="00F60495">
      <w:trPr>
        <w:trHeight w:val="555"/>
      </w:trPr>
      <w:tc>
        <w:tcPr>
          <w:tcW w:w="2399" w:type="dxa"/>
          <w:vMerge w:val="restart"/>
          <w:shd w:val="clear" w:color="auto" w:fill="auto"/>
          <w:vAlign w:val="center"/>
        </w:tcPr>
        <w:p w14:paraId="1F66B5F4" w14:textId="77777777" w:rsidR="00381FC1" w:rsidRPr="000D23D8" w:rsidRDefault="00381FC1" w:rsidP="009125AD">
          <w:pPr>
            <w:rPr>
              <w:rFonts w:cs="Calibri"/>
            </w:rPr>
          </w:pPr>
          <w:r>
            <w:rPr>
              <w:noProof/>
              <w:lang w:eastAsia="cs-CZ"/>
            </w:rPr>
            <w:drawing>
              <wp:inline distT="0" distB="0" distL="0" distR="0" wp14:anchorId="19B5A4DE" wp14:editId="688294B4">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425F2017" w14:textId="77777777" w:rsidR="00381FC1" w:rsidRPr="00C13BFC" w:rsidRDefault="00381FC1" w:rsidP="00C13BFC">
          <w:pPr>
            <w:spacing w:before="0" w:after="0" w:line="240" w:lineRule="auto"/>
            <w:ind w:left="454"/>
            <w:rPr>
              <w:b/>
              <w:color w:val="004666"/>
            </w:rPr>
          </w:pPr>
          <w:r w:rsidRPr="00C13BFC">
            <w:rPr>
              <w:b/>
              <w:color w:val="004666"/>
            </w:rPr>
            <w:t>Smlouva o poskytování služeb</w:t>
          </w:r>
        </w:p>
        <w:p w14:paraId="565EF303" w14:textId="6B44D90A" w:rsidR="00381FC1" w:rsidRPr="000D23D8" w:rsidRDefault="00381FC1" w:rsidP="00381FC1">
          <w:pPr>
            <w:spacing w:before="0" w:after="0" w:line="240" w:lineRule="auto"/>
            <w:ind w:left="454"/>
          </w:pPr>
          <w:r w:rsidRPr="00C13BFC">
            <w:rPr>
              <w:b/>
              <w:color w:val="004666"/>
            </w:rPr>
            <w:t xml:space="preserve">Příloha č. </w:t>
          </w:r>
          <w:r>
            <w:rPr>
              <w:b/>
              <w:color w:val="004666"/>
            </w:rPr>
            <w:t>2</w:t>
          </w:r>
          <w:r w:rsidRPr="00C13BFC">
            <w:rPr>
              <w:b/>
              <w:color w:val="004666"/>
            </w:rPr>
            <w:t xml:space="preserve"> – </w:t>
          </w:r>
          <w:r>
            <w:rPr>
              <w:b/>
              <w:color w:val="004666"/>
            </w:rPr>
            <w:t>Poddodavatelé</w:t>
          </w:r>
        </w:p>
      </w:tc>
      <w:tc>
        <w:tcPr>
          <w:tcW w:w="1752" w:type="dxa"/>
          <w:vMerge w:val="restart"/>
          <w:shd w:val="clear" w:color="auto" w:fill="auto"/>
          <w:vAlign w:val="center"/>
        </w:tcPr>
        <w:p w14:paraId="139DA012" w14:textId="77777777" w:rsidR="00381FC1" w:rsidRPr="00C13BFC" w:rsidRDefault="00381FC1" w:rsidP="00C13BFC">
          <w:pPr>
            <w:spacing w:before="0" w:after="0" w:line="240" w:lineRule="auto"/>
            <w:jc w:val="center"/>
            <w:rPr>
              <w:b/>
            </w:rPr>
          </w:pPr>
          <w:r w:rsidRPr="00C13BFC">
            <w:rPr>
              <w:b/>
              <w:color w:val="004666"/>
            </w:rPr>
            <w:t>[</w:t>
          </w:r>
          <w:r w:rsidRPr="00C13BFC">
            <w:rPr>
              <w:b/>
              <w:color w:val="004666"/>
              <w:highlight w:val="green"/>
            </w:rPr>
            <w:t>doplní zadavatel</w:t>
          </w:r>
          <w:r w:rsidRPr="00C13BFC">
            <w:rPr>
              <w:b/>
              <w:color w:val="004666"/>
            </w:rPr>
            <w:t>]</w:t>
          </w:r>
        </w:p>
      </w:tc>
    </w:tr>
    <w:tr w:rsidR="00381FC1" w:rsidRPr="00885DF2" w14:paraId="095B0743" w14:textId="77777777" w:rsidTr="00F60495">
      <w:trPr>
        <w:trHeight w:val="555"/>
      </w:trPr>
      <w:tc>
        <w:tcPr>
          <w:tcW w:w="2399" w:type="dxa"/>
          <w:vMerge/>
          <w:shd w:val="clear" w:color="auto" w:fill="auto"/>
          <w:vAlign w:val="center"/>
        </w:tcPr>
        <w:p w14:paraId="5FE56B07" w14:textId="77777777" w:rsidR="00381FC1" w:rsidRPr="000D23D8" w:rsidRDefault="00381FC1" w:rsidP="009125AD">
          <w:pPr>
            <w:rPr>
              <w:noProof/>
            </w:rPr>
          </w:pPr>
        </w:p>
      </w:tc>
      <w:tc>
        <w:tcPr>
          <w:tcW w:w="5989" w:type="dxa"/>
          <w:shd w:val="clear" w:color="auto" w:fill="auto"/>
          <w:vAlign w:val="center"/>
        </w:tcPr>
        <w:p w14:paraId="7F47D018" w14:textId="7906DEA4" w:rsidR="00381FC1" w:rsidRPr="00C13BFC" w:rsidRDefault="00381FC1" w:rsidP="00C13BFC">
          <w:pPr>
            <w:spacing w:before="0" w:after="0" w:line="240" w:lineRule="auto"/>
            <w:ind w:left="454"/>
            <w:rPr>
              <w:b/>
            </w:rPr>
          </w:pPr>
          <w:r w:rsidRPr="00C13BFC">
            <w:rPr>
              <w:b/>
              <w:color w:val="009EE0"/>
            </w:rPr>
            <w:t>Služby podpory provozu XML akcelerátoru</w:t>
          </w:r>
        </w:p>
      </w:tc>
      <w:tc>
        <w:tcPr>
          <w:tcW w:w="1752" w:type="dxa"/>
          <w:vMerge/>
          <w:shd w:val="clear" w:color="auto" w:fill="auto"/>
          <w:vAlign w:val="center"/>
        </w:tcPr>
        <w:p w14:paraId="01071FC9" w14:textId="77777777" w:rsidR="00381FC1" w:rsidRPr="000D23D8" w:rsidRDefault="00381FC1" w:rsidP="009125AD"/>
      </w:tc>
    </w:tr>
  </w:tbl>
  <w:p w14:paraId="04325363" w14:textId="77777777" w:rsidR="00381FC1" w:rsidRPr="00591332" w:rsidRDefault="00381FC1" w:rsidP="00381FC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004666"/>
      </w:tblBorders>
      <w:tblLook w:val="04A0" w:firstRow="1" w:lastRow="0" w:firstColumn="1" w:lastColumn="0" w:noHBand="0" w:noVBand="1"/>
    </w:tblPr>
    <w:tblGrid>
      <w:gridCol w:w="2378"/>
      <w:gridCol w:w="5244"/>
      <w:gridCol w:w="1666"/>
    </w:tblGrid>
    <w:tr w:rsidR="00381FC1" w:rsidRPr="00885DF2" w14:paraId="728F4075" w14:textId="77777777" w:rsidTr="00F60495">
      <w:trPr>
        <w:trHeight w:val="555"/>
      </w:trPr>
      <w:tc>
        <w:tcPr>
          <w:tcW w:w="2399" w:type="dxa"/>
          <w:vMerge w:val="restart"/>
          <w:shd w:val="clear" w:color="auto" w:fill="auto"/>
          <w:vAlign w:val="center"/>
        </w:tcPr>
        <w:p w14:paraId="4CC80DCE" w14:textId="77777777" w:rsidR="00381FC1" w:rsidRPr="000D23D8" w:rsidRDefault="00381FC1" w:rsidP="009125AD">
          <w:pPr>
            <w:rPr>
              <w:rFonts w:cs="Calibri"/>
            </w:rPr>
          </w:pPr>
          <w:r>
            <w:rPr>
              <w:noProof/>
              <w:lang w:eastAsia="cs-CZ"/>
            </w:rPr>
            <w:drawing>
              <wp:inline distT="0" distB="0" distL="0" distR="0" wp14:anchorId="0FFBF443" wp14:editId="4FD666FC">
                <wp:extent cx="1304925" cy="542925"/>
                <wp:effectExtent l="0" t="0" r="9525" b="9525"/>
                <wp:docPr id="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31C6793E" w14:textId="77777777" w:rsidR="00381FC1" w:rsidRPr="00C13BFC" w:rsidRDefault="00381FC1" w:rsidP="00C13BFC">
          <w:pPr>
            <w:spacing w:before="0" w:after="0" w:line="240" w:lineRule="auto"/>
            <w:ind w:left="454"/>
            <w:rPr>
              <w:b/>
              <w:color w:val="004666"/>
            </w:rPr>
          </w:pPr>
          <w:r w:rsidRPr="00C13BFC">
            <w:rPr>
              <w:b/>
              <w:color w:val="004666"/>
            </w:rPr>
            <w:t>Smlouva o poskytování služeb</w:t>
          </w:r>
        </w:p>
        <w:p w14:paraId="26261E76" w14:textId="0E633FEB" w:rsidR="00381FC1" w:rsidRPr="000D23D8" w:rsidRDefault="00381FC1" w:rsidP="00381FC1">
          <w:pPr>
            <w:spacing w:before="0" w:after="0" w:line="240" w:lineRule="auto"/>
            <w:ind w:left="454"/>
          </w:pPr>
          <w:r w:rsidRPr="00C13BFC">
            <w:rPr>
              <w:b/>
              <w:color w:val="004666"/>
            </w:rPr>
            <w:t xml:space="preserve">Příloha č. </w:t>
          </w:r>
          <w:r>
            <w:rPr>
              <w:b/>
              <w:color w:val="004666"/>
            </w:rPr>
            <w:t>3</w:t>
          </w:r>
          <w:r w:rsidRPr="00C13BFC">
            <w:rPr>
              <w:b/>
              <w:color w:val="004666"/>
            </w:rPr>
            <w:t xml:space="preserve"> – </w:t>
          </w:r>
          <w:r>
            <w:rPr>
              <w:b/>
              <w:color w:val="004666"/>
            </w:rPr>
            <w:t>Realizační tým</w:t>
          </w:r>
        </w:p>
      </w:tc>
      <w:tc>
        <w:tcPr>
          <w:tcW w:w="1752" w:type="dxa"/>
          <w:vMerge w:val="restart"/>
          <w:shd w:val="clear" w:color="auto" w:fill="auto"/>
          <w:vAlign w:val="center"/>
        </w:tcPr>
        <w:p w14:paraId="1F6B4DAA" w14:textId="77777777" w:rsidR="00381FC1" w:rsidRPr="00C13BFC" w:rsidRDefault="00381FC1" w:rsidP="00C13BFC">
          <w:pPr>
            <w:spacing w:before="0" w:after="0" w:line="240" w:lineRule="auto"/>
            <w:jc w:val="center"/>
            <w:rPr>
              <w:b/>
            </w:rPr>
          </w:pPr>
          <w:r w:rsidRPr="00C13BFC">
            <w:rPr>
              <w:b/>
              <w:color w:val="004666"/>
            </w:rPr>
            <w:t>[</w:t>
          </w:r>
          <w:r w:rsidRPr="00C13BFC">
            <w:rPr>
              <w:b/>
              <w:color w:val="004666"/>
              <w:highlight w:val="green"/>
            </w:rPr>
            <w:t>doplní zadavatel</w:t>
          </w:r>
          <w:r w:rsidRPr="00C13BFC">
            <w:rPr>
              <w:b/>
              <w:color w:val="004666"/>
            </w:rPr>
            <w:t>]</w:t>
          </w:r>
        </w:p>
      </w:tc>
    </w:tr>
    <w:tr w:rsidR="00381FC1" w:rsidRPr="00885DF2" w14:paraId="54FDFCC6" w14:textId="77777777" w:rsidTr="00F60495">
      <w:trPr>
        <w:trHeight w:val="555"/>
      </w:trPr>
      <w:tc>
        <w:tcPr>
          <w:tcW w:w="2399" w:type="dxa"/>
          <w:vMerge/>
          <w:shd w:val="clear" w:color="auto" w:fill="auto"/>
          <w:vAlign w:val="center"/>
        </w:tcPr>
        <w:p w14:paraId="7CA8B034" w14:textId="77777777" w:rsidR="00381FC1" w:rsidRPr="000D23D8" w:rsidRDefault="00381FC1" w:rsidP="009125AD">
          <w:pPr>
            <w:rPr>
              <w:noProof/>
            </w:rPr>
          </w:pPr>
        </w:p>
      </w:tc>
      <w:tc>
        <w:tcPr>
          <w:tcW w:w="5989" w:type="dxa"/>
          <w:shd w:val="clear" w:color="auto" w:fill="auto"/>
          <w:vAlign w:val="center"/>
        </w:tcPr>
        <w:p w14:paraId="6E7CA3B6" w14:textId="142560FF" w:rsidR="00381FC1" w:rsidRPr="00C13BFC" w:rsidRDefault="00381FC1" w:rsidP="00C13BFC">
          <w:pPr>
            <w:spacing w:before="0" w:after="0" w:line="240" w:lineRule="auto"/>
            <w:ind w:left="454"/>
            <w:rPr>
              <w:b/>
            </w:rPr>
          </w:pPr>
          <w:r w:rsidRPr="00C13BFC">
            <w:rPr>
              <w:b/>
              <w:color w:val="009EE0"/>
            </w:rPr>
            <w:t>Služby podpory provozu XML akcelerátoru</w:t>
          </w:r>
        </w:p>
      </w:tc>
      <w:tc>
        <w:tcPr>
          <w:tcW w:w="1752" w:type="dxa"/>
          <w:vMerge/>
          <w:shd w:val="clear" w:color="auto" w:fill="auto"/>
          <w:vAlign w:val="center"/>
        </w:tcPr>
        <w:p w14:paraId="3EA181D1" w14:textId="77777777" w:rsidR="00381FC1" w:rsidRPr="000D23D8" w:rsidRDefault="00381FC1" w:rsidP="009125AD"/>
      </w:tc>
    </w:tr>
  </w:tbl>
  <w:p w14:paraId="2ED72D92" w14:textId="77777777" w:rsidR="00381FC1" w:rsidRPr="00591332" w:rsidRDefault="00381FC1" w:rsidP="00381F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16A"/>
    <w:multiLevelType w:val="hybridMultilevel"/>
    <w:tmpl w:val="D90643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3B01A41"/>
    <w:multiLevelType w:val="multilevel"/>
    <w:tmpl w:val="853EFA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CD1AF6"/>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BA687A"/>
    <w:multiLevelType w:val="hybridMultilevel"/>
    <w:tmpl w:val="DBBC4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A92E81"/>
    <w:multiLevelType w:val="hybridMultilevel"/>
    <w:tmpl w:val="AF3C0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EE5A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C7486B"/>
    <w:multiLevelType w:val="hybridMultilevel"/>
    <w:tmpl w:val="B718A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905665"/>
    <w:multiLevelType w:val="hybridMultilevel"/>
    <w:tmpl w:val="4246C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507917"/>
    <w:multiLevelType w:val="multilevel"/>
    <w:tmpl w:val="55983ECA"/>
    <w:lvl w:ilvl="0">
      <w:start w:val="1"/>
      <w:numFmt w:val="upperRoman"/>
      <w:lvlText w:val="%1."/>
      <w:lvlJc w:val="right"/>
      <w:pPr>
        <w:ind w:left="2722" w:firstLine="397"/>
      </w:pPr>
      <w:rPr>
        <w:rFonts w:hint="default"/>
      </w:rPr>
    </w:lvl>
    <w:lvl w:ilvl="1">
      <w:start w:val="1"/>
      <w:numFmt w:val="lowerLetter"/>
      <w:lvlText w:val="%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94" w:firstLine="397"/>
      </w:pPr>
      <w:rPr>
        <w:rFonts w:hint="default"/>
      </w:rPr>
    </w:lvl>
    <w:lvl w:ilvl="3">
      <w:start w:val="1"/>
      <w:numFmt w:val="decimal"/>
      <w:isLgl/>
      <w:lvlText w:val="%1.%2.%3.%4."/>
      <w:lvlJc w:val="left"/>
      <w:pPr>
        <w:ind w:left="1191" w:firstLine="397"/>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9">
    <w:nsid w:val="23D55CB5"/>
    <w:multiLevelType w:val="multilevel"/>
    <w:tmpl w:val="234C98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9D516A"/>
    <w:multiLevelType w:val="multilevel"/>
    <w:tmpl w:val="A8A2EF20"/>
    <w:lvl w:ilvl="0">
      <w:start w:val="1"/>
      <w:numFmt w:val="upperRoman"/>
      <w:lvlText w:val="%1."/>
      <w:lvlJc w:val="right"/>
      <w:pPr>
        <w:ind w:left="0" w:firstLine="397"/>
      </w:pPr>
      <w:rPr>
        <w:rFonts w:hint="default"/>
      </w:rPr>
    </w:lvl>
    <w:lvl w:ilvl="1">
      <w:start w:val="1"/>
      <w:numFmt w:val="decimal"/>
      <w:isLgl/>
      <w:lvlText w:val="%1.%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94" w:firstLine="397"/>
      </w:pPr>
      <w:rPr>
        <w:rFonts w:hint="default"/>
      </w:rPr>
    </w:lvl>
    <w:lvl w:ilvl="3">
      <w:start w:val="1"/>
      <w:numFmt w:val="decimal"/>
      <w:isLgl/>
      <w:lvlText w:val="%1.%2.%3.%4."/>
      <w:lvlJc w:val="left"/>
      <w:pPr>
        <w:ind w:left="1191" w:firstLine="397"/>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11">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CE3EC7"/>
    <w:multiLevelType w:val="hybridMultilevel"/>
    <w:tmpl w:val="EE1404A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3">
    <w:nsid w:val="43513729"/>
    <w:multiLevelType w:val="multilevel"/>
    <w:tmpl w:val="178CD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35A0715"/>
    <w:multiLevelType w:val="multilevel"/>
    <w:tmpl w:val="7B4816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62D6AB4"/>
    <w:multiLevelType w:val="hybridMultilevel"/>
    <w:tmpl w:val="B420C784"/>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6">
    <w:nsid w:val="4D89437E"/>
    <w:multiLevelType w:val="multilevel"/>
    <w:tmpl w:val="B5342C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nsid w:val="573C70AE"/>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EB04B0"/>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DBB161D"/>
    <w:multiLevelType w:val="hybridMultilevel"/>
    <w:tmpl w:val="FCCCB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EA061A7"/>
    <w:multiLevelType w:val="hybridMultilevel"/>
    <w:tmpl w:val="44A61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2A22DA6"/>
    <w:multiLevelType w:val="hybridMultilevel"/>
    <w:tmpl w:val="E0328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4E271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98304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AF44F1C"/>
    <w:multiLevelType w:val="multilevel"/>
    <w:tmpl w:val="5AE6AA26"/>
    <w:lvl w:ilvl="0">
      <w:start w:val="1"/>
      <w:numFmt w:val="upperRoman"/>
      <w:pStyle w:val="Nadpis1"/>
      <w:lvlText w:val="%1."/>
      <w:lvlJc w:val="right"/>
      <w:pPr>
        <w:ind w:left="3403" w:firstLine="0"/>
      </w:pPr>
      <w:rPr>
        <w:rFonts w:hint="default"/>
      </w:rPr>
    </w:lvl>
    <w:lvl w:ilvl="1">
      <w:start w:val="1"/>
      <w:numFmt w:val="decimal"/>
      <w:pStyle w:val="Nadpis2"/>
      <w:isLgl/>
      <w:lvlText w:val="%1.%2"/>
      <w:lvlJc w:val="left"/>
      <w:pPr>
        <w:ind w:left="680"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dpis3"/>
      <w:isLgl/>
      <w:lvlText w:val="%1.%2.%3"/>
      <w:lvlJc w:val="left"/>
      <w:pPr>
        <w:ind w:left="1418" w:hanging="851"/>
      </w:pPr>
      <w:rPr>
        <w:rFonts w:hint="default"/>
      </w:rPr>
    </w:lvl>
    <w:lvl w:ilvl="3">
      <w:start w:val="1"/>
      <w:numFmt w:val="decimal"/>
      <w:pStyle w:val="Nadpis4"/>
      <w:isLgl/>
      <w:lvlText w:val="%1.%2.%3.%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26">
    <w:nsid w:val="75E81F75"/>
    <w:multiLevelType w:val="hybridMultilevel"/>
    <w:tmpl w:val="0C8CBB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18"/>
  </w:num>
  <w:num w:numId="5">
    <w:abstractNumId w:val="14"/>
  </w:num>
  <w:num w:numId="6">
    <w:abstractNumId w:val="2"/>
  </w:num>
  <w:num w:numId="7">
    <w:abstractNumId w:val="9"/>
  </w:num>
  <w:num w:numId="8">
    <w:abstractNumId w:val="24"/>
  </w:num>
  <w:num w:numId="9">
    <w:abstractNumId w:val="16"/>
  </w:num>
  <w:num w:numId="10">
    <w:abstractNumId w:val="19"/>
  </w:num>
  <w:num w:numId="11">
    <w:abstractNumId w:val="10"/>
  </w:num>
  <w:num w:numId="12">
    <w:abstractNumId w:val="23"/>
  </w:num>
  <w:num w:numId="13">
    <w:abstractNumId w:val="5"/>
  </w:num>
  <w:num w:numId="14">
    <w:abstractNumId w:val="17"/>
  </w:num>
  <w:num w:numId="15">
    <w:abstractNumId w:val="6"/>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0"/>
    <w:lvlOverride w:ilvl="0">
      <w:lvl w:ilvl="0">
        <w:start w:val="1"/>
        <w:numFmt w:val="upperRoman"/>
        <w:lvlText w:val="%1."/>
        <w:lvlJc w:val="right"/>
        <w:pPr>
          <w:ind w:left="0" w:firstLine="397"/>
        </w:pPr>
        <w:rPr>
          <w:rFonts w:hint="default"/>
        </w:rPr>
      </w:lvl>
    </w:lvlOverride>
    <w:lvlOverride w:ilvl="1">
      <w:lvl w:ilvl="1">
        <w:start w:val="1"/>
        <w:numFmt w:val="decimal"/>
        <w:isLgl/>
        <w:lvlText w:val="%1.%2."/>
        <w:lvlJc w:val="right"/>
        <w:pPr>
          <w:ind w:left="0" w:firstLine="39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0" w:firstLine="397"/>
        </w:pPr>
        <w:rPr>
          <w:rFonts w:hint="default"/>
        </w:rPr>
      </w:lvl>
    </w:lvlOverride>
    <w:lvlOverride w:ilvl="3">
      <w:lvl w:ilvl="3">
        <w:start w:val="1"/>
        <w:numFmt w:val="decimal"/>
        <w:isLgl/>
        <w:lvlText w:val="%1.%2.%3.%4."/>
        <w:lvlJc w:val="left"/>
        <w:pPr>
          <w:ind w:left="0" w:firstLine="397"/>
        </w:pPr>
        <w:rPr>
          <w:rFonts w:hint="default"/>
        </w:rPr>
      </w:lvl>
    </w:lvlOverride>
    <w:lvlOverride w:ilvl="4">
      <w:lvl w:ilvl="4">
        <w:start w:val="1"/>
        <w:numFmt w:val="decimal"/>
        <w:isLgl/>
        <w:lvlText w:val="%1.%2.%3.%4.%5."/>
        <w:lvlJc w:val="left"/>
        <w:pPr>
          <w:ind w:left="0" w:firstLine="397"/>
        </w:pPr>
        <w:rPr>
          <w:rFonts w:hint="default"/>
        </w:rPr>
      </w:lvl>
    </w:lvlOverride>
    <w:lvlOverride w:ilvl="5">
      <w:lvl w:ilvl="5">
        <w:start w:val="1"/>
        <w:numFmt w:val="decimal"/>
        <w:isLgl/>
        <w:lvlText w:val="%1.%2.%3.%4.%5.%6."/>
        <w:lvlJc w:val="left"/>
        <w:pPr>
          <w:ind w:left="0" w:firstLine="397"/>
        </w:pPr>
        <w:rPr>
          <w:rFonts w:hint="default"/>
        </w:rPr>
      </w:lvl>
    </w:lvlOverride>
    <w:lvlOverride w:ilvl="6">
      <w:lvl w:ilvl="6">
        <w:start w:val="1"/>
        <w:numFmt w:val="decimal"/>
        <w:isLgl/>
        <w:lvlText w:val="%1.%2.%3.%4.%5.%6.%7."/>
        <w:lvlJc w:val="left"/>
        <w:pPr>
          <w:ind w:left="0" w:firstLine="397"/>
        </w:pPr>
        <w:rPr>
          <w:rFonts w:hint="default"/>
        </w:rPr>
      </w:lvl>
    </w:lvlOverride>
    <w:lvlOverride w:ilvl="7">
      <w:lvl w:ilvl="7">
        <w:start w:val="1"/>
        <w:numFmt w:val="decimal"/>
        <w:isLgl/>
        <w:lvlText w:val="%1.%2.%3.%4.%5.%6.%7.%8."/>
        <w:lvlJc w:val="left"/>
        <w:pPr>
          <w:ind w:left="0" w:firstLine="397"/>
        </w:pPr>
        <w:rPr>
          <w:rFonts w:hint="default"/>
        </w:rPr>
      </w:lvl>
    </w:lvlOverride>
    <w:lvlOverride w:ilvl="8">
      <w:lvl w:ilvl="8">
        <w:start w:val="1"/>
        <w:numFmt w:val="decimal"/>
        <w:isLgl/>
        <w:lvlText w:val="%1.%2.%3.%4.%5.%6.%7.%8.%9."/>
        <w:lvlJc w:val="left"/>
        <w:pPr>
          <w:ind w:left="0" w:firstLine="397"/>
        </w:pPr>
        <w:rPr>
          <w:rFonts w:hint="default"/>
        </w:rPr>
      </w:lvl>
    </w:lvlOverride>
  </w:num>
  <w:num w:numId="26">
    <w:abstractNumId w:val="10"/>
    <w:lvlOverride w:ilvl="0">
      <w:lvl w:ilvl="0">
        <w:start w:val="1"/>
        <w:numFmt w:val="upperRoman"/>
        <w:lvlText w:val="%1."/>
        <w:lvlJc w:val="right"/>
        <w:pPr>
          <w:ind w:left="0" w:firstLine="0"/>
        </w:pPr>
        <w:rPr>
          <w:rFonts w:hint="default"/>
        </w:rPr>
      </w:lvl>
    </w:lvlOverride>
    <w:lvlOverride w:ilvl="1">
      <w:lvl w:ilvl="1">
        <w:start w:val="1"/>
        <w:numFmt w:val="decimal"/>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7">
    <w:abstractNumId w:val="3"/>
  </w:num>
  <w:num w:numId="28">
    <w:abstractNumId w:val="10"/>
    <w:lvlOverride w:ilvl="0">
      <w:lvl w:ilvl="0">
        <w:start w:val="1"/>
        <w:numFmt w:val="upperRoman"/>
        <w:lvlText w:val="%1."/>
        <w:lvlJc w:val="right"/>
        <w:pPr>
          <w:ind w:left="0" w:firstLine="0"/>
        </w:pPr>
        <w:rPr>
          <w:rFonts w:hint="default"/>
        </w:rPr>
      </w:lvl>
    </w:lvlOverride>
    <w:lvlOverride w:ilvl="1">
      <w:lvl w:ilvl="1">
        <w:start w:val="1"/>
        <w:numFmt w:val="decimal"/>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9">
    <w:abstractNumId w:val="8"/>
  </w:num>
  <w:num w:numId="30">
    <w:abstractNumId w:val="10"/>
    <w:lvlOverride w:ilvl="0">
      <w:lvl w:ilvl="0">
        <w:start w:val="1"/>
        <w:numFmt w:val="upperRoman"/>
        <w:lvlText w:val="%1."/>
        <w:lvlJc w:val="right"/>
        <w:pPr>
          <w:ind w:left="2722" w:firstLine="397"/>
        </w:pPr>
        <w:rPr>
          <w:rFonts w:hint="default"/>
        </w:rPr>
      </w:lvl>
    </w:lvlOverride>
    <w:lvlOverride w:ilvl="1">
      <w:lvl w:ilvl="1">
        <w:start w:val="1"/>
        <w:numFmt w:val="decimal"/>
        <w:isLgl/>
        <w:lvlText w:val="%1.%2."/>
        <w:lvlJc w:val="left"/>
        <w:pPr>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794" w:firstLine="397"/>
        </w:pPr>
        <w:rPr>
          <w:rFonts w:hint="default"/>
        </w:rPr>
      </w:lvl>
    </w:lvlOverride>
    <w:lvlOverride w:ilvl="3">
      <w:lvl w:ilvl="3">
        <w:start w:val="1"/>
        <w:numFmt w:val="decimal"/>
        <w:isLgl/>
        <w:lvlText w:val="%1.%2.%3.%4."/>
        <w:lvlJc w:val="left"/>
        <w:pPr>
          <w:ind w:left="1191" w:firstLine="397"/>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31">
    <w:abstractNumId w:val="10"/>
    <w:lvlOverride w:ilvl="0">
      <w:lvl w:ilvl="0">
        <w:start w:val="1"/>
        <w:numFmt w:val="upperRoman"/>
        <w:lvlText w:val="%1."/>
        <w:lvlJc w:val="right"/>
        <w:pPr>
          <w:ind w:left="2722" w:firstLine="397"/>
        </w:pPr>
        <w:rPr>
          <w:rFonts w:hint="default"/>
        </w:rPr>
      </w:lvl>
    </w:lvlOverride>
    <w:lvlOverride w:ilvl="1">
      <w:lvl w:ilvl="1">
        <w:start w:val="1"/>
        <w:numFmt w:val="decimal"/>
        <w:isLgl/>
        <w:lvlText w:val="%1.%2."/>
        <w:lvlJc w:val="left"/>
        <w:pPr>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794" w:firstLine="397"/>
        </w:pPr>
        <w:rPr>
          <w:rFonts w:hint="default"/>
        </w:rPr>
      </w:lvl>
    </w:lvlOverride>
    <w:lvlOverride w:ilvl="3">
      <w:lvl w:ilvl="3">
        <w:start w:val="1"/>
        <w:numFmt w:val="decimal"/>
        <w:isLgl/>
        <w:lvlText w:val="%1.%2.%3.%4."/>
        <w:lvlJc w:val="left"/>
        <w:pPr>
          <w:ind w:left="1191" w:firstLine="397"/>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32">
    <w:abstractNumId w:val="20"/>
  </w:num>
  <w:num w:numId="33">
    <w:abstractNumId w:val="10"/>
  </w:num>
  <w:num w:numId="34">
    <w:abstractNumId w:val="10"/>
    <w:lvlOverride w:ilvl="0">
      <w:lvl w:ilvl="0">
        <w:start w:val="1"/>
        <w:numFmt w:val="upperRoman"/>
        <w:lvlText w:val="%1."/>
        <w:lvlJc w:val="right"/>
        <w:pPr>
          <w:ind w:left="0" w:firstLine="0"/>
        </w:pPr>
        <w:rPr>
          <w:rFonts w:hint="default"/>
        </w:rPr>
      </w:lvl>
    </w:lvlOverride>
    <w:lvlOverride w:ilvl="1">
      <w:lvl w:ilvl="1">
        <w:start w:val="1"/>
        <w:numFmt w:val="decimal"/>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418" w:hanging="851"/>
        </w:pPr>
        <w:rPr>
          <w:rFonts w:hint="default"/>
          <w:b w:val="0"/>
        </w:rPr>
      </w:lvl>
    </w:lvlOverride>
    <w:lvlOverride w:ilvl="3">
      <w:lvl w:ilvl="3">
        <w:start w:val="1"/>
        <w:numFmt w:val="decimal"/>
        <w:isLgl/>
        <w:lvlText w:val="%1.%2.%3.%4"/>
        <w:lvlJc w:val="left"/>
        <w:pPr>
          <w:ind w:left="2041"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35">
    <w:abstractNumId w:val="10"/>
    <w:lvlOverride w:ilvl="0">
      <w:lvl w:ilvl="0">
        <w:start w:val="1"/>
        <w:numFmt w:val="upperRoman"/>
        <w:lvlText w:val="%1."/>
        <w:lvlJc w:val="right"/>
        <w:pPr>
          <w:ind w:left="0" w:firstLine="0"/>
        </w:pPr>
        <w:rPr>
          <w:rFonts w:hint="default"/>
        </w:rPr>
      </w:lvl>
    </w:lvlOverride>
    <w:lvlOverride w:ilvl="1">
      <w:lvl w:ilvl="1">
        <w:start w:val="1"/>
        <w:numFmt w:val="decimal"/>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418" w:hanging="851"/>
        </w:pPr>
        <w:rPr>
          <w:rFonts w:hint="default"/>
          <w:b w:val="0"/>
        </w:rPr>
      </w:lvl>
    </w:lvlOverride>
    <w:lvlOverride w:ilvl="3">
      <w:lvl w:ilvl="3">
        <w:start w:val="1"/>
        <w:numFmt w:val="decimal"/>
        <w:isLgl/>
        <w:lvlText w:val="%1.%2.%3.%4"/>
        <w:lvlJc w:val="left"/>
        <w:pPr>
          <w:ind w:left="2041"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36">
    <w:abstractNumId w:val="10"/>
    <w:lvlOverride w:ilvl="0">
      <w:lvl w:ilvl="0">
        <w:start w:val="1"/>
        <w:numFmt w:val="upperRoman"/>
        <w:lvlText w:val="%1."/>
        <w:lvlJc w:val="right"/>
        <w:pPr>
          <w:ind w:left="3686" w:firstLine="0"/>
        </w:pPr>
        <w:rPr>
          <w:rFonts w:hint="default"/>
        </w:rPr>
      </w:lvl>
    </w:lvlOverride>
    <w:lvlOverride w:ilvl="1">
      <w:lvl w:ilvl="1">
        <w:start w:val="1"/>
        <w:numFmt w:val="decimal"/>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418" w:hanging="851"/>
        </w:pPr>
        <w:rPr>
          <w:rFonts w:hint="default"/>
          <w:b w:val="0"/>
        </w:rPr>
      </w:lvl>
    </w:lvlOverride>
    <w:lvlOverride w:ilvl="3">
      <w:lvl w:ilvl="3">
        <w:start w:val="1"/>
        <w:numFmt w:val="decimal"/>
        <w:isLgl/>
        <w:lvlText w:val="%1.%2.%3.%4"/>
        <w:lvlJc w:val="left"/>
        <w:pPr>
          <w:ind w:left="2041"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37">
    <w:abstractNumId w:val="17"/>
  </w:num>
  <w:num w:numId="38">
    <w:abstractNumId w:val="15"/>
  </w:num>
  <w:num w:numId="39">
    <w:abstractNumId w:val="1"/>
  </w:num>
  <w:num w:numId="40">
    <w:abstractNumId w:val="21"/>
  </w:num>
  <w:num w:numId="41">
    <w:abstractNumId w:val="26"/>
  </w:num>
  <w:num w:numId="42">
    <w:abstractNumId w:val="7"/>
  </w:num>
  <w:num w:numId="43">
    <w:abstractNumId w:val="4"/>
  </w:num>
  <w:num w:numId="44">
    <w:abstractNumId w:val="22"/>
  </w:num>
  <w:num w:numId="45">
    <w:abstractNumId w:val="10"/>
    <w:lvlOverride w:ilvl="0">
      <w:lvl w:ilvl="0">
        <w:start w:val="1"/>
        <w:numFmt w:val="upperRoman"/>
        <w:lvlText w:val="%1."/>
        <w:lvlJc w:val="right"/>
        <w:pPr>
          <w:ind w:left="0" w:firstLine="0"/>
        </w:pPr>
        <w:rPr>
          <w:rFonts w:hint="default"/>
        </w:rPr>
      </w:lvl>
    </w:lvlOverride>
    <w:lvlOverride w:ilvl="1">
      <w:lvl w:ilvl="1">
        <w:start w:val="1"/>
        <w:numFmt w:val="decimal"/>
        <w:isLgl/>
        <w:lvlText w:val="%1.%2"/>
        <w:lvlJc w:val="left"/>
        <w:pPr>
          <w:ind w:left="1106"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46">
    <w:abstractNumId w:val="0"/>
  </w:num>
  <w:num w:numId="47">
    <w:abstractNumId w:val="1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6E"/>
    <w:rsid w:val="000225DD"/>
    <w:rsid w:val="000357DA"/>
    <w:rsid w:val="00045146"/>
    <w:rsid w:val="00047F01"/>
    <w:rsid w:val="00053E76"/>
    <w:rsid w:val="00064039"/>
    <w:rsid w:val="00066955"/>
    <w:rsid w:val="00081313"/>
    <w:rsid w:val="00082948"/>
    <w:rsid w:val="000A41D8"/>
    <w:rsid w:val="000A6782"/>
    <w:rsid w:val="000A6D91"/>
    <w:rsid w:val="000A71F6"/>
    <w:rsid w:val="000D08E0"/>
    <w:rsid w:val="000F5176"/>
    <w:rsid w:val="00101CA2"/>
    <w:rsid w:val="00106E88"/>
    <w:rsid w:val="00116477"/>
    <w:rsid w:val="00132AFC"/>
    <w:rsid w:val="00143678"/>
    <w:rsid w:val="00144272"/>
    <w:rsid w:val="00157861"/>
    <w:rsid w:val="00175392"/>
    <w:rsid w:val="00181A08"/>
    <w:rsid w:val="001851D7"/>
    <w:rsid w:val="0018674D"/>
    <w:rsid w:val="001A0ADC"/>
    <w:rsid w:val="001A191F"/>
    <w:rsid w:val="001C22A0"/>
    <w:rsid w:val="001C3EB2"/>
    <w:rsid w:val="001D0D1A"/>
    <w:rsid w:val="001D1E58"/>
    <w:rsid w:val="001D3B29"/>
    <w:rsid w:val="001D57E5"/>
    <w:rsid w:val="001E253A"/>
    <w:rsid w:val="001F381B"/>
    <w:rsid w:val="00204603"/>
    <w:rsid w:val="002070C3"/>
    <w:rsid w:val="0022216D"/>
    <w:rsid w:val="002330A6"/>
    <w:rsid w:val="0023618D"/>
    <w:rsid w:val="002361D5"/>
    <w:rsid w:val="0024127A"/>
    <w:rsid w:val="00245CC2"/>
    <w:rsid w:val="00246643"/>
    <w:rsid w:val="00246C89"/>
    <w:rsid w:val="00254E75"/>
    <w:rsid w:val="00296917"/>
    <w:rsid w:val="00296E51"/>
    <w:rsid w:val="00297AE0"/>
    <w:rsid w:val="002A0BCD"/>
    <w:rsid w:val="002A2AF7"/>
    <w:rsid w:val="002B4099"/>
    <w:rsid w:val="002D0A62"/>
    <w:rsid w:val="002E43B1"/>
    <w:rsid w:val="002F4B17"/>
    <w:rsid w:val="002F6063"/>
    <w:rsid w:val="0030307B"/>
    <w:rsid w:val="0030355D"/>
    <w:rsid w:val="003201CC"/>
    <w:rsid w:val="00322822"/>
    <w:rsid w:val="00326F3F"/>
    <w:rsid w:val="003274E9"/>
    <w:rsid w:val="00331C2C"/>
    <w:rsid w:val="0034322F"/>
    <w:rsid w:val="003476B8"/>
    <w:rsid w:val="0035304C"/>
    <w:rsid w:val="003554A9"/>
    <w:rsid w:val="00357A0F"/>
    <w:rsid w:val="00377D87"/>
    <w:rsid w:val="00381E42"/>
    <w:rsid w:val="00381FC1"/>
    <w:rsid w:val="00396255"/>
    <w:rsid w:val="003F62E8"/>
    <w:rsid w:val="00401F1D"/>
    <w:rsid w:val="00415203"/>
    <w:rsid w:val="00416D52"/>
    <w:rsid w:val="004244BC"/>
    <w:rsid w:val="00434736"/>
    <w:rsid w:val="00443D4C"/>
    <w:rsid w:val="00446EA5"/>
    <w:rsid w:val="004603B9"/>
    <w:rsid w:val="00474F7D"/>
    <w:rsid w:val="004760A3"/>
    <w:rsid w:val="0049640F"/>
    <w:rsid w:val="004C4A35"/>
    <w:rsid w:val="004C54B8"/>
    <w:rsid w:val="004E112A"/>
    <w:rsid w:val="004E1A54"/>
    <w:rsid w:val="004E784D"/>
    <w:rsid w:val="00501A57"/>
    <w:rsid w:val="00507998"/>
    <w:rsid w:val="0051504C"/>
    <w:rsid w:val="00541979"/>
    <w:rsid w:val="005442C8"/>
    <w:rsid w:val="005446C8"/>
    <w:rsid w:val="0055100D"/>
    <w:rsid w:val="005517D6"/>
    <w:rsid w:val="00556EB4"/>
    <w:rsid w:val="00591332"/>
    <w:rsid w:val="00591F39"/>
    <w:rsid w:val="005A4406"/>
    <w:rsid w:val="005B6EB7"/>
    <w:rsid w:val="005C4CF3"/>
    <w:rsid w:val="005D4B9D"/>
    <w:rsid w:val="005E02AA"/>
    <w:rsid w:val="00601064"/>
    <w:rsid w:val="006043E9"/>
    <w:rsid w:val="00610EFD"/>
    <w:rsid w:val="0064709C"/>
    <w:rsid w:val="006575D2"/>
    <w:rsid w:val="006617BC"/>
    <w:rsid w:val="00666B4C"/>
    <w:rsid w:val="00667C11"/>
    <w:rsid w:val="006729F3"/>
    <w:rsid w:val="00672EB6"/>
    <w:rsid w:val="00676C13"/>
    <w:rsid w:val="006A2AC7"/>
    <w:rsid w:val="006B63EA"/>
    <w:rsid w:val="006C0589"/>
    <w:rsid w:val="006D2FFB"/>
    <w:rsid w:val="006E29BD"/>
    <w:rsid w:val="006F2FC4"/>
    <w:rsid w:val="00726ECE"/>
    <w:rsid w:val="00741DA1"/>
    <w:rsid w:val="00750ADF"/>
    <w:rsid w:val="00752D75"/>
    <w:rsid w:val="00757A55"/>
    <w:rsid w:val="00776BBB"/>
    <w:rsid w:val="007773F2"/>
    <w:rsid w:val="007B0851"/>
    <w:rsid w:val="007B32FB"/>
    <w:rsid w:val="007B3E03"/>
    <w:rsid w:val="007D6314"/>
    <w:rsid w:val="007E5B36"/>
    <w:rsid w:val="007F49C6"/>
    <w:rsid w:val="007F7EB9"/>
    <w:rsid w:val="00802355"/>
    <w:rsid w:val="00803AF6"/>
    <w:rsid w:val="00812037"/>
    <w:rsid w:val="00821660"/>
    <w:rsid w:val="00830AD8"/>
    <w:rsid w:val="00847349"/>
    <w:rsid w:val="008571F8"/>
    <w:rsid w:val="00875F81"/>
    <w:rsid w:val="008A172A"/>
    <w:rsid w:val="008A201F"/>
    <w:rsid w:val="008A2729"/>
    <w:rsid w:val="008B2231"/>
    <w:rsid w:val="008C2229"/>
    <w:rsid w:val="008E1469"/>
    <w:rsid w:val="008E74D6"/>
    <w:rsid w:val="008F33CE"/>
    <w:rsid w:val="009007E0"/>
    <w:rsid w:val="009073CF"/>
    <w:rsid w:val="009125AD"/>
    <w:rsid w:val="00915A0A"/>
    <w:rsid w:val="009266C3"/>
    <w:rsid w:val="00927A37"/>
    <w:rsid w:val="00933157"/>
    <w:rsid w:val="00940E51"/>
    <w:rsid w:val="009425D8"/>
    <w:rsid w:val="00962546"/>
    <w:rsid w:val="00982943"/>
    <w:rsid w:val="00983B69"/>
    <w:rsid w:val="009A6E24"/>
    <w:rsid w:val="009C76AC"/>
    <w:rsid w:val="009E0C1F"/>
    <w:rsid w:val="009F280A"/>
    <w:rsid w:val="009F28A7"/>
    <w:rsid w:val="00A01227"/>
    <w:rsid w:val="00A132D2"/>
    <w:rsid w:val="00A14E4F"/>
    <w:rsid w:val="00A25172"/>
    <w:rsid w:val="00A3687F"/>
    <w:rsid w:val="00A4137A"/>
    <w:rsid w:val="00A460F4"/>
    <w:rsid w:val="00A470F9"/>
    <w:rsid w:val="00A6061B"/>
    <w:rsid w:val="00A90821"/>
    <w:rsid w:val="00A93193"/>
    <w:rsid w:val="00A966BB"/>
    <w:rsid w:val="00AA76CF"/>
    <w:rsid w:val="00AB2A0E"/>
    <w:rsid w:val="00AC6C5E"/>
    <w:rsid w:val="00AE5488"/>
    <w:rsid w:val="00AF3932"/>
    <w:rsid w:val="00B1537E"/>
    <w:rsid w:val="00B34F86"/>
    <w:rsid w:val="00B430DF"/>
    <w:rsid w:val="00B43871"/>
    <w:rsid w:val="00B5130B"/>
    <w:rsid w:val="00B53348"/>
    <w:rsid w:val="00B576FE"/>
    <w:rsid w:val="00B61A4B"/>
    <w:rsid w:val="00B65DC6"/>
    <w:rsid w:val="00B80EF5"/>
    <w:rsid w:val="00B957C8"/>
    <w:rsid w:val="00B96AB6"/>
    <w:rsid w:val="00BA1EFB"/>
    <w:rsid w:val="00BC66B6"/>
    <w:rsid w:val="00BD1CF7"/>
    <w:rsid w:val="00BD4674"/>
    <w:rsid w:val="00BE4454"/>
    <w:rsid w:val="00BF1EB9"/>
    <w:rsid w:val="00C0614F"/>
    <w:rsid w:val="00C13BFC"/>
    <w:rsid w:val="00C27942"/>
    <w:rsid w:val="00C31CC1"/>
    <w:rsid w:val="00C34483"/>
    <w:rsid w:val="00C4056B"/>
    <w:rsid w:val="00C63EE2"/>
    <w:rsid w:val="00C853D7"/>
    <w:rsid w:val="00C94149"/>
    <w:rsid w:val="00CA1BB0"/>
    <w:rsid w:val="00CA5A93"/>
    <w:rsid w:val="00CB4478"/>
    <w:rsid w:val="00CE47AA"/>
    <w:rsid w:val="00CE7A5B"/>
    <w:rsid w:val="00CE7C5A"/>
    <w:rsid w:val="00CF028D"/>
    <w:rsid w:val="00D01E84"/>
    <w:rsid w:val="00D03499"/>
    <w:rsid w:val="00D057C7"/>
    <w:rsid w:val="00D15E89"/>
    <w:rsid w:val="00D17308"/>
    <w:rsid w:val="00D260B7"/>
    <w:rsid w:val="00D316F3"/>
    <w:rsid w:val="00D324AE"/>
    <w:rsid w:val="00D50955"/>
    <w:rsid w:val="00D52F8F"/>
    <w:rsid w:val="00D53014"/>
    <w:rsid w:val="00D65394"/>
    <w:rsid w:val="00D849FE"/>
    <w:rsid w:val="00DB277C"/>
    <w:rsid w:val="00DB6F5F"/>
    <w:rsid w:val="00DC5127"/>
    <w:rsid w:val="00DD2703"/>
    <w:rsid w:val="00DE382A"/>
    <w:rsid w:val="00E134EE"/>
    <w:rsid w:val="00E506F9"/>
    <w:rsid w:val="00E53BD7"/>
    <w:rsid w:val="00E60C60"/>
    <w:rsid w:val="00E66648"/>
    <w:rsid w:val="00E70064"/>
    <w:rsid w:val="00EA26B3"/>
    <w:rsid w:val="00EA66B9"/>
    <w:rsid w:val="00EB2070"/>
    <w:rsid w:val="00ED0B3D"/>
    <w:rsid w:val="00ED2639"/>
    <w:rsid w:val="00ED29DA"/>
    <w:rsid w:val="00EE005F"/>
    <w:rsid w:val="00EF692A"/>
    <w:rsid w:val="00F02D58"/>
    <w:rsid w:val="00F035F8"/>
    <w:rsid w:val="00F1307F"/>
    <w:rsid w:val="00F1605C"/>
    <w:rsid w:val="00F20C27"/>
    <w:rsid w:val="00F60495"/>
    <w:rsid w:val="00F61DF9"/>
    <w:rsid w:val="00F64629"/>
    <w:rsid w:val="00F81354"/>
    <w:rsid w:val="00F83E5B"/>
    <w:rsid w:val="00F93C1C"/>
    <w:rsid w:val="00FA1446"/>
    <w:rsid w:val="00FA191B"/>
    <w:rsid w:val="00FA710D"/>
    <w:rsid w:val="00FB289E"/>
    <w:rsid w:val="00FC0978"/>
    <w:rsid w:val="00FC38D7"/>
    <w:rsid w:val="00FC75CA"/>
    <w:rsid w:val="00FD59C8"/>
    <w:rsid w:val="00FE1530"/>
    <w:rsid w:val="00FE71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2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9125AD"/>
    <w:pPr>
      <w:spacing w:before="60" w:after="60" w:line="360" w:lineRule="auto"/>
      <w:jc w:val="both"/>
    </w:pPr>
    <w:rPr>
      <w:rFonts w:ascii="Verdana" w:hAnsi="Verdana"/>
      <w:sz w:val="18"/>
      <w:szCs w:val="18"/>
    </w:rPr>
  </w:style>
  <w:style w:type="paragraph" w:styleId="Nadpis1">
    <w:name w:val="heading 1"/>
    <w:basedOn w:val="Normln"/>
    <w:next w:val="Odstavecseseznamem"/>
    <w:link w:val="Nadpis1Char"/>
    <w:uiPriority w:val="9"/>
    <w:qFormat/>
    <w:rsid w:val="00541979"/>
    <w:pPr>
      <w:keepNext/>
      <w:keepLines/>
      <w:numPr>
        <w:numId w:val="48"/>
      </w:numPr>
      <w:spacing w:before="480" w:after="240"/>
      <w:ind w:left="0"/>
      <w:jc w:val="center"/>
      <w:outlineLvl w:val="0"/>
    </w:pPr>
    <w:rPr>
      <w:rFonts w:eastAsiaTheme="majorEastAsia" w:cstheme="majorBidi"/>
      <w:b/>
      <w:bCs/>
      <w:caps/>
      <w:sz w:val="20"/>
      <w:szCs w:val="28"/>
    </w:rPr>
  </w:style>
  <w:style w:type="paragraph" w:styleId="Nadpis2">
    <w:name w:val="heading 2"/>
    <w:basedOn w:val="Odstavecseseznamem"/>
    <w:next w:val="Normln"/>
    <w:link w:val="Nadpis2Char"/>
    <w:unhideWhenUsed/>
    <w:qFormat/>
    <w:rsid w:val="00DB6F5F"/>
    <w:pPr>
      <w:numPr>
        <w:ilvl w:val="1"/>
        <w:numId w:val="48"/>
      </w:numPr>
      <w:contextualSpacing w:val="0"/>
      <w:outlineLvl w:val="1"/>
    </w:pPr>
  </w:style>
  <w:style w:type="paragraph" w:styleId="Nadpis3">
    <w:name w:val="heading 3"/>
    <w:basedOn w:val="Odstavecseseznamem"/>
    <w:next w:val="Normln"/>
    <w:link w:val="Nadpis3Char"/>
    <w:unhideWhenUsed/>
    <w:qFormat/>
    <w:rsid w:val="00DB6F5F"/>
    <w:pPr>
      <w:numPr>
        <w:ilvl w:val="2"/>
        <w:numId w:val="48"/>
      </w:numPr>
      <w:ind w:hanging="709"/>
      <w:contextualSpacing w:val="0"/>
      <w:outlineLvl w:val="2"/>
    </w:pPr>
    <w:rPr>
      <w:lang w:eastAsia="cs-CZ"/>
    </w:rPr>
  </w:style>
  <w:style w:type="paragraph" w:styleId="Nadpis4">
    <w:name w:val="heading 4"/>
    <w:basedOn w:val="Nadpis3"/>
    <w:next w:val="Normln"/>
    <w:link w:val="Nadpis4Char"/>
    <w:unhideWhenUsed/>
    <w:qFormat/>
    <w:rsid w:val="005C4CF3"/>
    <w:pPr>
      <w:numPr>
        <w:ilvl w:val="3"/>
      </w:numPr>
      <w:ind w:left="2268" w:hanging="850"/>
      <w:outlineLvl w:val="3"/>
    </w:pPr>
    <w:rPr>
      <w:lang w:eastAsia="en-US"/>
    </w:rPr>
  </w:style>
  <w:style w:type="paragraph" w:styleId="Nadpis5">
    <w:name w:val="heading 5"/>
    <w:basedOn w:val="Normln"/>
    <w:next w:val="Normln"/>
    <w:link w:val="Nadpis5Char"/>
    <w:unhideWhenUsed/>
    <w:rsid w:val="00CB4478"/>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AE5488"/>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E5488"/>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1979"/>
    <w:rPr>
      <w:rFonts w:ascii="Verdana" w:eastAsiaTheme="majorEastAsia" w:hAnsi="Verdana" w:cstheme="majorBidi"/>
      <w:b/>
      <w:bCs/>
      <w:caps/>
      <w:sz w:val="20"/>
      <w:szCs w:val="28"/>
    </w:rPr>
  </w:style>
  <w:style w:type="character" w:customStyle="1" w:styleId="Nadpis2Char">
    <w:name w:val="Nadpis 2 Char"/>
    <w:basedOn w:val="Standardnpsmoodstavce"/>
    <w:link w:val="Nadpis2"/>
    <w:rsid w:val="00DB6F5F"/>
    <w:rPr>
      <w:rFonts w:ascii="Verdana" w:hAnsi="Verdana"/>
      <w:sz w:val="18"/>
      <w:szCs w:val="18"/>
    </w:rPr>
  </w:style>
  <w:style w:type="character" w:customStyle="1" w:styleId="Nadpis3Char">
    <w:name w:val="Nadpis 3 Char"/>
    <w:basedOn w:val="Standardnpsmoodstavce"/>
    <w:link w:val="Nadpis3"/>
    <w:rsid w:val="00DB6F5F"/>
    <w:rPr>
      <w:rFonts w:ascii="Verdana" w:hAnsi="Verdana"/>
      <w:sz w:val="18"/>
      <w:szCs w:val="18"/>
      <w:lang w:eastAsia="cs-CZ"/>
    </w:rPr>
  </w:style>
  <w:style w:type="character" w:customStyle="1" w:styleId="Nadpis4Char">
    <w:name w:val="Nadpis 4 Char"/>
    <w:basedOn w:val="Standardnpsmoodstavce"/>
    <w:link w:val="Nadpis4"/>
    <w:rsid w:val="005C4CF3"/>
    <w:rPr>
      <w:rFonts w:ascii="Verdana" w:hAnsi="Verdana"/>
      <w:sz w:val="18"/>
      <w:szCs w:val="18"/>
    </w:rPr>
  </w:style>
  <w:style w:type="character" w:customStyle="1" w:styleId="Nadpis5Char">
    <w:name w:val="Nadpis 5 Char"/>
    <w:basedOn w:val="Standardnpsmoodstavce"/>
    <w:link w:val="Nadpis5"/>
    <w:rsid w:val="00CB4478"/>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Bullet Number"/>
    <w:basedOn w:val="Normln"/>
    <w:link w:val="OdstavecseseznamemChar"/>
    <w:uiPriority w:val="34"/>
    <w:rsid w:val="00CB4478"/>
    <w:pPr>
      <w:ind w:left="680" w:hanging="680"/>
      <w:contextualSpacing/>
    </w:pPr>
  </w:style>
  <w:style w:type="paragraph" w:styleId="Textbubliny">
    <w:name w:val="Balloon Text"/>
    <w:basedOn w:val="Normln"/>
    <w:link w:val="TextbublinyChar"/>
    <w:uiPriority w:val="99"/>
    <w:semiHidden/>
    <w:unhideWhenUsed/>
    <w:rsid w:val="00CB44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4478"/>
    <w:rPr>
      <w:rFonts w:ascii="Tahoma" w:hAnsi="Tahoma" w:cs="Tahoma"/>
      <w:sz w:val="16"/>
      <w:szCs w:val="16"/>
    </w:rPr>
  </w:style>
  <w:style w:type="table" w:styleId="Mkatabulky">
    <w:name w:val="Table Grid"/>
    <w:basedOn w:val="Normlntabulka"/>
    <w:uiPriority w:val="3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25172"/>
    <w:rPr>
      <w:color w:val="0000FF" w:themeColor="hyperlink"/>
      <w:u w:val="single"/>
    </w:rPr>
  </w:style>
  <w:style w:type="character" w:styleId="Odkaznakoment">
    <w:name w:val="annotation reference"/>
    <w:basedOn w:val="Standardnpsmoodstavce"/>
    <w:uiPriority w:val="99"/>
    <w:semiHidden/>
    <w:unhideWhenUsed/>
    <w:rsid w:val="00ED0B3D"/>
    <w:rPr>
      <w:sz w:val="16"/>
      <w:szCs w:val="16"/>
    </w:rPr>
  </w:style>
  <w:style w:type="paragraph" w:styleId="Textkomente">
    <w:name w:val="annotation text"/>
    <w:basedOn w:val="Normln"/>
    <w:link w:val="TextkomenteChar"/>
    <w:unhideWhenUsed/>
    <w:rsid w:val="00ED0B3D"/>
    <w:pPr>
      <w:spacing w:before="120" w:after="0" w:line="240" w:lineRule="auto"/>
    </w:pPr>
    <w:rPr>
      <w:rFonts w:cs="Times New Roman"/>
      <w:sz w:val="20"/>
      <w:szCs w:val="20"/>
    </w:rPr>
  </w:style>
  <w:style w:type="character" w:customStyle="1" w:styleId="TextkomenteChar">
    <w:name w:val="Text komentáře Char"/>
    <w:basedOn w:val="Standardnpsmoodstavce"/>
    <w:link w:val="Textkomente"/>
    <w:rsid w:val="00ED0B3D"/>
    <w:rPr>
      <w:rFonts w:ascii="Verdana" w:hAnsi="Verdana" w:cs="Times New Roman"/>
      <w:sz w:val="20"/>
      <w:szCs w:val="20"/>
    </w:rPr>
  </w:style>
  <w:style w:type="character" w:customStyle="1" w:styleId="OdstavecseseznamemChar">
    <w:name w:val="Odstavec se seznamem Char"/>
    <w:aliases w:val="Bullet Number Char"/>
    <w:link w:val="Odstavecseseznamem"/>
    <w:uiPriority w:val="34"/>
    <w:locked/>
    <w:rsid w:val="005442C8"/>
    <w:rPr>
      <w:rFonts w:ascii="Verdana" w:hAnsi="Verdana"/>
      <w:sz w:val="18"/>
      <w:szCs w:val="18"/>
    </w:rPr>
  </w:style>
  <w:style w:type="paragraph" w:styleId="Pedmtkomente">
    <w:name w:val="annotation subject"/>
    <w:basedOn w:val="Textkomente"/>
    <w:next w:val="Textkomente"/>
    <w:link w:val="PedmtkomenteChar"/>
    <w:uiPriority w:val="99"/>
    <w:semiHidden/>
    <w:unhideWhenUsed/>
    <w:rsid w:val="009007E0"/>
    <w:pPr>
      <w:spacing w:before="0" w:after="200"/>
      <w:jc w:val="left"/>
    </w:pPr>
    <w:rPr>
      <w:rFonts w:cstheme="minorBidi"/>
      <w:b/>
      <w:bCs/>
    </w:rPr>
  </w:style>
  <w:style w:type="character" w:customStyle="1" w:styleId="PedmtkomenteChar">
    <w:name w:val="Předmět komentáře Char"/>
    <w:basedOn w:val="TextkomenteChar"/>
    <w:link w:val="Pedmtkomente"/>
    <w:uiPriority w:val="99"/>
    <w:semiHidden/>
    <w:rsid w:val="009007E0"/>
    <w:rPr>
      <w:rFonts w:ascii="Verdana" w:hAnsi="Verdana" w:cs="Times New Roman"/>
      <w:b/>
      <w:bCs/>
      <w:sz w:val="20"/>
      <w:szCs w:val="20"/>
    </w:rPr>
  </w:style>
  <w:style w:type="paragraph" w:styleId="Zhlav">
    <w:name w:val="header"/>
    <w:basedOn w:val="Normln"/>
    <w:link w:val="ZhlavChar"/>
    <w:uiPriority w:val="99"/>
    <w:unhideWhenUsed/>
    <w:rsid w:val="00D316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16F3"/>
    <w:rPr>
      <w:rFonts w:ascii="Verdana" w:hAnsi="Verdana"/>
      <w:sz w:val="18"/>
    </w:rPr>
  </w:style>
  <w:style w:type="paragraph" w:styleId="Zpat">
    <w:name w:val="footer"/>
    <w:basedOn w:val="Normln"/>
    <w:link w:val="ZpatChar"/>
    <w:uiPriority w:val="99"/>
    <w:unhideWhenUsed/>
    <w:rsid w:val="00D316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316F3"/>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9125AD"/>
    <w:pPr>
      <w:spacing w:before="60" w:after="60" w:line="360" w:lineRule="auto"/>
      <w:jc w:val="both"/>
    </w:pPr>
    <w:rPr>
      <w:rFonts w:ascii="Verdana" w:hAnsi="Verdana"/>
      <w:sz w:val="18"/>
      <w:szCs w:val="18"/>
    </w:rPr>
  </w:style>
  <w:style w:type="paragraph" w:styleId="Nadpis1">
    <w:name w:val="heading 1"/>
    <w:basedOn w:val="Normln"/>
    <w:next w:val="Odstavecseseznamem"/>
    <w:link w:val="Nadpis1Char"/>
    <w:uiPriority w:val="9"/>
    <w:qFormat/>
    <w:rsid w:val="00541979"/>
    <w:pPr>
      <w:keepNext/>
      <w:keepLines/>
      <w:numPr>
        <w:numId w:val="48"/>
      </w:numPr>
      <w:spacing w:before="480" w:after="240"/>
      <w:ind w:left="0"/>
      <w:jc w:val="center"/>
      <w:outlineLvl w:val="0"/>
    </w:pPr>
    <w:rPr>
      <w:rFonts w:eastAsiaTheme="majorEastAsia" w:cstheme="majorBidi"/>
      <w:b/>
      <w:bCs/>
      <w:caps/>
      <w:sz w:val="20"/>
      <w:szCs w:val="28"/>
    </w:rPr>
  </w:style>
  <w:style w:type="paragraph" w:styleId="Nadpis2">
    <w:name w:val="heading 2"/>
    <w:basedOn w:val="Odstavecseseznamem"/>
    <w:next w:val="Normln"/>
    <w:link w:val="Nadpis2Char"/>
    <w:unhideWhenUsed/>
    <w:qFormat/>
    <w:rsid w:val="00DB6F5F"/>
    <w:pPr>
      <w:numPr>
        <w:ilvl w:val="1"/>
        <w:numId w:val="48"/>
      </w:numPr>
      <w:contextualSpacing w:val="0"/>
      <w:outlineLvl w:val="1"/>
    </w:pPr>
  </w:style>
  <w:style w:type="paragraph" w:styleId="Nadpis3">
    <w:name w:val="heading 3"/>
    <w:basedOn w:val="Odstavecseseznamem"/>
    <w:next w:val="Normln"/>
    <w:link w:val="Nadpis3Char"/>
    <w:unhideWhenUsed/>
    <w:qFormat/>
    <w:rsid w:val="00DB6F5F"/>
    <w:pPr>
      <w:numPr>
        <w:ilvl w:val="2"/>
        <w:numId w:val="48"/>
      </w:numPr>
      <w:ind w:hanging="709"/>
      <w:contextualSpacing w:val="0"/>
      <w:outlineLvl w:val="2"/>
    </w:pPr>
    <w:rPr>
      <w:lang w:eastAsia="cs-CZ"/>
    </w:rPr>
  </w:style>
  <w:style w:type="paragraph" w:styleId="Nadpis4">
    <w:name w:val="heading 4"/>
    <w:basedOn w:val="Nadpis3"/>
    <w:next w:val="Normln"/>
    <w:link w:val="Nadpis4Char"/>
    <w:unhideWhenUsed/>
    <w:qFormat/>
    <w:rsid w:val="005C4CF3"/>
    <w:pPr>
      <w:numPr>
        <w:ilvl w:val="3"/>
      </w:numPr>
      <w:ind w:left="2268" w:hanging="850"/>
      <w:outlineLvl w:val="3"/>
    </w:pPr>
    <w:rPr>
      <w:lang w:eastAsia="en-US"/>
    </w:rPr>
  </w:style>
  <w:style w:type="paragraph" w:styleId="Nadpis5">
    <w:name w:val="heading 5"/>
    <w:basedOn w:val="Normln"/>
    <w:next w:val="Normln"/>
    <w:link w:val="Nadpis5Char"/>
    <w:unhideWhenUsed/>
    <w:rsid w:val="00CB4478"/>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AE5488"/>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E5488"/>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1979"/>
    <w:rPr>
      <w:rFonts w:ascii="Verdana" w:eastAsiaTheme="majorEastAsia" w:hAnsi="Verdana" w:cstheme="majorBidi"/>
      <w:b/>
      <w:bCs/>
      <w:caps/>
      <w:sz w:val="20"/>
      <w:szCs w:val="28"/>
    </w:rPr>
  </w:style>
  <w:style w:type="character" w:customStyle="1" w:styleId="Nadpis2Char">
    <w:name w:val="Nadpis 2 Char"/>
    <w:basedOn w:val="Standardnpsmoodstavce"/>
    <w:link w:val="Nadpis2"/>
    <w:rsid w:val="00DB6F5F"/>
    <w:rPr>
      <w:rFonts w:ascii="Verdana" w:hAnsi="Verdana"/>
      <w:sz w:val="18"/>
      <w:szCs w:val="18"/>
    </w:rPr>
  </w:style>
  <w:style w:type="character" w:customStyle="1" w:styleId="Nadpis3Char">
    <w:name w:val="Nadpis 3 Char"/>
    <w:basedOn w:val="Standardnpsmoodstavce"/>
    <w:link w:val="Nadpis3"/>
    <w:rsid w:val="00DB6F5F"/>
    <w:rPr>
      <w:rFonts w:ascii="Verdana" w:hAnsi="Verdana"/>
      <w:sz w:val="18"/>
      <w:szCs w:val="18"/>
      <w:lang w:eastAsia="cs-CZ"/>
    </w:rPr>
  </w:style>
  <w:style w:type="character" w:customStyle="1" w:styleId="Nadpis4Char">
    <w:name w:val="Nadpis 4 Char"/>
    <w:basedOn w:val="Standardnpsmoodstavce"/>
    <w:link w:val="Nadpis4"/>
    <w:rsid w:val="005C4CF3"/>
    <w:rPr>
      <w:rFonts w:ascii="Verdana" w:hAnsi="Verdana"/>
      <w:sz w:val="18"/>
      <w:szCs w:val="18"/>
    </w:rPr>
  </w:style>
  <w:style w:type="character" w:customStyle="1" w:styleId="Nadpis5Char">
    <w:name w:val="Nadpis 5 Char"/>
    <w:basedOn w:val="Standardnpsmoodstavce"/>
    <w:link w:val="Nadpis5"/>
    <w:rsid w:val="00CB4478"/>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Bullet Number"/>
    <w:basedOn w:val="Normln"/>
    <w:link w:val="OdstavecseseznamemChar"/>
    <w:uiPriority w:val="34"/>
    <w:rsid w:val="00CB4478"/>
    <w:pPr>
      <w:ind w:left="680" w:hanging="680"/>
      <w:contextualSpacing/>
    </w:pPr>
  </w:style>
  <w:style w:type="paragraph" w:styleId="Textbubliny">
    <w:name w:val="Balloon Text"/>
    <w:basedOn w:val="Normln"/>
    <w:link w:val="TextbublinyChar"/>
    <w:uiPriority w:val="99"/>
    <w:semiHidden/>
    <w:unhideWhenUsed/>
    <w:rsid w:val="00CB44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4478"/>
    <w:rPr>
      <w:rFonts w:ascii="Tahoma" w:hAnsi="Tahoma" w:cs="Tahoma"/>
      <w:sz w:val="16"/>
      <w:szCs w:val="16"/>
    </w:rPr>
  </w:style>
  <w:style w:type="table" w:styleId="Mkatabulky">
    <w:name w:val="Table Grid"/>
    <w:basedOn w:val="Normlntabulka"/>
    <w:uiPriority w:val="3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25172"/>
    <w:rPr>
      <w:color w:val="0000FF" w:themeColor="hyperlink"/>
      <w:u w:val="single"/>
    </w:rPr>
  </w:style>
  <w:style w:type="character" w:styleId="Odkaznakoment">
    <w:name w:val="annotation reference"/>
    <w:basedOn w:val="Standardnpsmoodstavce"/>
    <w:uiPriority w:val="99"/>
    <w:semiHidden/>
    <w:unhideWhenUsed/>
    <w:rsid w:val="00ED0B3D"/>
    <w:rPr>
      <w:sz w:val="16"/>
      <w:szCs w:val="16"/>
    </w:rPr>
  </w:style>
  <w:style w:type="paragraph" w:styleId="Textkomente">
    <w:name w:val="annotation text"/>
    <w:basedOn w:val="Normln"/>
    <w:link w:val="TextkomenteChar"/>
    <w:unhideWhenUsed/>
    <w:rsid w:val="00ED0B3D"/>
    <w:pPr>
      <w:spacing w:before="120" w:after="0" w:line="240" w:lineRule="auto"/>
    </w:pPr>
    <w:rPr>
      <w:rFonts w:cs="Times New Roman"/>
      <w:sz w:val="20"/>
      <w:szCs w:val="20"/>
    </w:rPr>
  </w:style>
  <w:style w:type="character" w:customStyle="1" w:styleId="TextkomenteChar">
    <w:name w:val="Text komentáře Char"/>
    <w:basedOn w:val="Standardnpsmoodstavce"/>
    <w:link w:val="Textkomente"/>
    <w:rsid w:val="00ED0B3D"/>
    <w:rPr>
      <w:rFonts w:ascii="Verdana" w:hAnsi="Verdana" w:cs="Times New Roman"/>
      <w:sz w:val="20"/>
      <w:szCs w:val="20"/>
    </w:rPr>
  </w:style>
  <w:style w:type="character" w:customStyle="1" w:styleId="OdstavecseseznamemChar">
    <w:name w:val="Odstavec se seznamem Char"/>
    <w:aliases w:val="Bullet Number Char"/>
    <w:link w:val="Odstavecseseznamem"/>
    <w:uiPriority w:val="34"/>
    <w:locked/>
    <w:rsid w:val="005442C8"/>
    <w:rPr>
      <w:rFonts w:ascii="Verdana" w:hAnsi="Verdana"/>
      <w:sz w:val="18"/>
      <w:szCs w:val="18"/>
    </w:rPr>
  </w:style>
  <w:style w:type="paragraph" w:styleId="Pedmtkomente">
    <w:name w:val="annotation subject"/>
    <w:basedOn w:val="Textkomente"/>
    <w:next w:val="Textkomente"/>
    <w:link w:val="PedmtkomenteChar"/>
    <w:uiPriority w:val="99"/>
    <w:semiHidden/>
    <w:unhideWhenUsed/>
    <w:rsid w:val="009007E0"/>
    <w:pPr>
      <w:spacing w:before="0" w:after="200"/>
      <w:jc w:val="left"/>
    </w:pPr>
    <w:rPr>
      <w:rFonts w:cstheme="minorBidi"/>
      <w:b/>
      <w:bCs/>
    </w:rPr>
  </w:style>
  <w:style w:type="character" w:customStyle="1" w:styleId="PedmtkomenteChar">
    <w:name w:val="Předmět komentáře Char"/>
    <w:basedOn w:val="TextkomenteChar"/>
    <w:link w:val="Pedmtkomente"/>
    <w:uiPriority w:val="99"/>
    <w:semiHidden/>
    <w:rsid w:val="009007E0"/>
    <w:rPr>
      <w:rFonts w:ascii="Verdana" w:hAnsi="Verdana" w:cs="Times New Roman"/>
      <w:b/>
      <w:bCs/>
      <w:sz w:val="20"/>
      <w:szCs w:val="20"/>
    </w:rPr>
  </w:style>
  <w:style w:type="paragraph" w:styleId="Zhlav">
    <w:name w:val="header"/>
    <w:basedOn w:val="Normln"/>
    <w:link w:val="ZhlavChar"/>
    <w:uiPriority w:val="99"/>
    <w:unhideWhenUsed/>
    <w:rsid w:val="00D316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16F3"/>
    <w:rPr>
      <w:rFonts w:ascii="Verdana" w:hAnsi="Verdana"/>
      <w:sz w:val="18"/>
    </w:rPr>
  </w:style>
  <w:style w:type="paragraph" w:styleId="Zpat">
    <w:name w:val="footer"/>
    <w:basedOn w:val="Normln"/>
    <w:link w:val="ZpatChar"/>
    <w:uiPriority w:val="99"/>
    <w:unhideWhenUsed/>
    <w:rsid w:val="00D316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316F3"/>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1327-E023-4977-8754-9C36DB62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4849</Words>
  <Characters>29728</Characters>
  <Application>Microsoft Office Word</Application>
  <DocSecurity>0</DocSecurity>
  <Lines>571</Lines>
  <Paragraphs>265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2017-08-25T14:09:00Z</dcterms:created>
  <dcterms:modified xsi:type="dcterms:W3CDTF">2017-08-25T14:09:00Z</dcterms:modified>
</cp:coreProperties>
</file>