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67E3" w14:textId="77777777" w:rsidR="00796795" w:rsidRDefault="00E20EDF" w:rsidP="005A5901"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00D69CA1" wp14:editId="44437F5D">
            <wp:simplePos x="0" y="0"/>
            <wp:positionH relativeFrom="column">
              <wp:posOffset>-2074545</wp:posOffset>
            </wp:positionH>
            <wp:positionV relativeFrom="paragraph">
              <wp:posOffset>-1431925</wp:posOffset>
            </wp:positionV>
            <wp:extent cx="7799705" cy="5853430"/>
            <wp:effectExtent l="0" t="0" r="0" b="0"/>
            <wp:wrapNone/>
            <wp:docPr id="4" name="Obrázek 4" descr="C:\000___STC_dokumenty_local\005___marketing NDC\nabidka_vzor_uprava\b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0___STC_dokumenty_local\005___marketing NDC\nabidka_vzor_uprava\bg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585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08CF4375" w14:textId="752D2E91" w:rsidR="00A054A3" w:rsidRDefault="004977C4" w:rsidP="005A5901">
          <w:pPr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2336" behindDoc="0" locked="0" layoutInCell="1" allowOverlap="1" wp14:anchorId="6C79F970" wp14:editId="1E631D26">
                <wp:simplePos x="0" y="0"/>
                <wp:positionH relativeFrom="column">
                  <wp:posOffset>148590</wp:posOffset>
                </wp:positionH>
                <wp:positionV relativeFrom="paragraph">
                  <wp:posOffset>2952115</wp:posOffset>
                </wp:positionV>
                <wp:extent cx="2486025" cy="1040765"/>
                <wp:effectExtent l="0" t="0" r="9525" b="6985"/>
                <wp:wrapNone/>
                <wp:docPr id="1" name="Obrázek 1" descr="C:\000___STC_dokumenty_local\005___marketing NDC\LOGO\final\png_RGB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000___STC_dokumenty_local\005___marketing NDC\LOGO\final\png_RGB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Mkatabulky"/>
            <w:tblpPr w:leftFromText="141" w:rightFromText="141" w:vertAnchor="text" w:horzAnchor="margin" w:tblpXSpec="center" w:tblpY="6719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44"/>
            <w:gridCol w:w="318"/>
            <w:gridCol w:w="4110"/>
          </w:tblGrid>
          <w:tr w:rsidR="00A054A3" w:rsidRPr="00546C79" w14:paraId="1EAA041C" w14:textId="77777777" w:rsidTr="00696001">
            <w:trPr>
              <w:trHeight w:val="1425"/>
              <w:jc w:val="center"/>
            </w:trPr>
            <w:tc>
              <w:tcPr>
                <w:tcW w:w="9072" w:type="dxa"/>
                <w:gridSpan w:val="3"/>
                <w:tcBorders>
                  <w:bottom w:val="single" w:sz="2" w:space="0" w:color="004666"/>
                </w:tcBorders>
              </w:tcPr>
              <w:p w14:paraId="125B94EE" w14:textId="77777777" w:rsidR="00A054A3" w:rsidRPr="004977C4" w:rsidRDefault="008C7E9B" w:rsidP="003943ED">
                <w:pPr>
                  <w:widowControl w:val="0"/>
                  <w:spacing w:before="120" w:after="120" w:line="240" w:lineRule="auto"/>
                  <w:jc w:val="left"/>
                  <w:rPr>
                    <w:sz w:val="24"/>
                    <w:szCs w:val="24"/>
                  </w:rPr>
                </w:pPr>
                <w:r w:rsidRPr="004977C4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>ZADÁVACÍ DOKUMENTACE</w:t>
                </w:r>
                <w:r w:rsidR="00742F73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 xml:space="preserve"> </w:t>
                </w:r>
                <w:r w:rsidR="00742F73" w:rsidRPr="00742F73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>P</w:t>
                </w:r>
                <w:r w:rsidR="00742F73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 xml:space="preserve">RO ZAVEDENÍ </w:t>
                </w:r>
                <w:r w:rsidR="00742F73" w:rsidRPr="00742F73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>DYNAMICKÉHO NÁKUPNÍHO SYSTÉMU</w:t>
                </w:r>
              </w:p>
              <w:p w14:paraId="5E6D357E" w14:textId="0A9E04D5" w:rsidR="00A054A3" w:rsidRPr="00E94044" w:rsidRDefault="00742F73" w:rsidP="003943ED">
                <w:pPr>
                  <w:widowControl w:val="0"/>
                  <w:spacing w:before="120" w:after="240" w:line="240" w:lineRule="auto"/>
                  <w:jc w:val="left"/>
                  <w:rPr>
                    <w:rFonts w:cs="Calibri"/>
                    <w:b/>
                    <w:bCs/>
                    <w:color w:val="004666"/>
                    <w:sz w:val="28"/>
                    <w:szCs w:val="28"/>
                  </w:rPr>
                </w:pPr>
                <w:r>
                  <w:rPr>
                    <w:szCs w:val="18"/>
                  </w:rPr>
                  <w:t xml:space="preserve">dle </w:t>
                </w:r>
                <w:r w:rsidR="00A054A3" w:rsidRPr="004D4592">
                  <w:rPr>
                    <w:szCs w:val="18"/>
                  </w:rPr>
                  <w:t xml:space="preserve">zákona č. </w:t>
                </w:r>
                <w:r w:rsidR="00F87094">
                  <w:rPr>
                    <w:szCs w:val="18"/>
                  </w:rPr>
                  <w:t>134/2016</w:t>
                </w:r>
                <w:r w:rsidR="00A054A3" w:rsidRPr="004D4592">
                  <w:rPr>
                    <w:szCs w:val="18"/>
                  </w:rPr>
                  <w:t xml:space="preserve"> Sb., o </w:t>
                </w:r>
                <w:r w:rsidR="00A11EC6">
                  <w:rPr>
                    <w:szCs w:val="18"/>
                  </w:rPr>
                  <w:t>zadávání veřejných zakázek</w:t>
                </w:r>
                <w:r w:rsidR="00A054A3" w:rsidRPr="004D4592">
                  <w:rPr>
                    <w:szCs w:val="18"/>
                  </w:rPr>
                  <w:t>, ve znění pozdějších předpisů</w:t>
                </w:r>
                <w:r w:rsidR="004017AF">
                  <w:rPr>
                    <w:szCs w:val="18"/>
                  </w:rPr>
                  <w:t xml:space="preserve"> </w:t>
                </w:r>
                <w:r w:rsidR="004017AF" w:rsidRPr="003570A8">
                  <w:t>(dále jen „</w:t>
                </w:r>
                <w:r w:rsidR="004017AF" w:rsidRPr="003570A8">
                  <w:rPr>
                    <w:b/>
                  </w:rPr>
                  <w:t>ZZVZ</w:t>
                </w:r>
                <w:r w:rsidR="004017AF" w:rsidRPr="003570A8">
                  <w:t>“</w:t>
                </w:r>
                <w:r w:rsidR="00796795">
                  <w:t>)</w:t>
                </w:r>
              </w:p>
            </w:tc>
          </w:tr>
          <w:tr w:rsidR="00A054A3" w:rsidRPr="00546C79" w14:paraId="18102705" w14:textId="77777777" w:rsidTr="00696001">
            <w:trPr>
              <w:trHeight w:val="1045"/>
              <w:jc w:val="center"/>
            </w:trPr>
            <w:tc>
              <w:tcPr>
                <w:tcW w:w="9072" w:type="dxa"/>
                <w:gridSpan w:val="3"/>
                <w:tcBorders>
                  <w:top w:val="single" w:sz="2" w:space="0" w:color="004666"/>
                </w:tcBorders>
              </w:tcPr>
              <w:p w14:paraId="7B6C57C5" w14:textId="78E67CA0" w:rsidR="00696001" w:rsidRPr="00E20EDF" w:rsidRDefault="00045A99" w:rsidP="00045A99">
                <w:pPr>
                  <w:widowControl w:val="0"/>
                  <w:spacing w:before="60" w:after="120" w:line="240" w:lineRule="auto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n</w:t>
                </w:r>
                <w:r w:rsidR="00691B61" w:rsidRPr="00E20EDF">
                  <w:rPr>
                    <w:szCs w:val="18"/>
                  </w:rPr>
                  <w:t>ázev veřejné zakázky:</w:t>
                </w:r>
              </w:p>
              <w:p w14:paraId="06702A37" w14:textId="5EED701D" w:rsidR="00A054A3" w:rsidRPr="004977C4" w:rsidRDefault="00481C1F" w:rsidP="00EF776D">
                <w:pPr>
                  <w:widowControl w:val="0"/>
                  <w:spacing w:before="120" w:after="120" w:line="24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 xml:space="preserve">DYNAMICKÝ NÁKUPNÍ </w:t>
                </w:r>
                <w:r w:rsidR="00796795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>SYSTÉM – NÁKUP</w:t>
                </w:r>
                <w:r w:rsidR="00EF776D" w:rsidRPr="00EF776D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 xml:space="preserve"> SERVERŮ </w:t>
                </w:r>
                <w:r w:rsidR="002C2239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>S PROCESORY POWER9</w:t>
                </w:r>
              </w:p>
            </w:tc>
          </w:tr>
          <w:tr w:rsidR="00A054A3" w:rsidRPr="00546C79" w14:paraId="1F16BCF7" w14:textId="77777777" w:rsidTr="00EA7960">
            <w:trPr>
              <w:trHeight w:val="371"/>
              <w:jc w:val="center"/>
            </w:trPr>
            <w:tc>
              <w:tcPr>
                <w:tcW w:w="4644" w:type="dxa"/>
                <w:tcBorders>
                  <w:bottom w:val="single" w:sz="2" w:space="0" w:color="auto"/>
                </w:tcBorders>
              </w:tcPr>
              <w:p w14:paraId="3EB5B6A5" w14:textId="77777777" w:rsidR="00A054A3" w:rsidRPr="00BD4093" w:rsidRDefault="00A054A3" w:rsidP="00696001">
                <w:pPr>
                  <w:widowControl w:val="0"/>
                  <w:spacing w:before="60" w:after="120" w:line="240" w:lineRule="auto"/>
                  <w:rPr>
                    <w:b/>
                    <w:szCs w:val="18"/>
                  </w:rPr>
                </w:pPr>
                <w:r w:rsidRPr="00BD4093">
                  <w:rPr>
                    <w:b/>
                    <w:szCs w:val="18"/>
                  </w:rPr>
                  <w:t>Zadavatel:</w:t>
                </w:r>
              </w:p>
            </w:tc>
            <w:tc>
              <w:tcPr>
                <w:tcW w:w="318" w:type="dxa"/>
              </w:tcPr>
              <w:p w14:paraId="5C2CAAE3" w14:textId="77777777" w:rsidR="00A054A3" w:rsidRPr="00BD4093" w:rsidRDefault="00A054A3" w:rsidP="00696001">
                <w:pPr>
                  <w:widowControl w:val="0"/>
                  <w:spacing w:before="60" w:after="120" w:line="240" w:lineRule="auto"/>
                  <w:rPr>
                    <w:b/>
                    <w:szCs w:val="18"/>
                  </w:rPr>
                </w:pPr>
              </w:p>
            </w:tc>
            <w:tc>
              <w:tcPr>
                <w:tcW w:w="4110" w:type="dxa"/>
                <w:tcBorders>
                  <w:bottom w:val="single" w:sz="4" w:space="0" w:color="auto"/>
                </w:tcBorders>
              </w:tcPr>
              <w:p w14:paraId="38A4A33A" w14:textId="77777777" w:rsidR="00A054A3" w:rsidRPr="00BD4093" w:rsidRDefault="00A054A3" w:rsidP="00696001">
                <w:pPr>
                  <w:widowControl w:val="0"/>
                  <w:spacing w:before="60" w:after="120" w:line="240" w:lineRule="auto"/>
                  <w:rPr>
                    <w:b/>
                    <w:szCs w:val="18"/>
                  </w:rPr>
                </w:pPr>
                <w:r w:rsidRPr="00BD4093">
                  <w:rPr>
                    <w:b/>
                    <w:szCs w:val="18"/>
                  </w:rPr>
                  <w:t>Evidenční číslo veřejné zakázky:</w:t>
                </w:r>
              </w:p>
            </w:tc>
          </w:tr>
          <w:tr w:rsidR="00A054A3" w:rsidRPr="00546C79" w14:paraId="614CBDCE" w14:textId="77777777" w:rsidTr="00EA7960">
            <w:trPr>
              <w:trHeight w:val="1314"/>
              <w:jc w:val="center"/>
            </w:trPr>
            <w:tc>
              <w:tcPr>
                <w:tcW w:w="4644" w:type="dxa"/>
                <w:tcBorders>
                  <w:top w:val="single" w:sz="4" w:space="0" w:color="auto"/>
                </w:tcBorders>
              </w:tcPr>
              <w:p w14:paraId="465C21DA" w14:textId="77777777" w:rsidR="00A054A3" w:rsidRDefault="00A054A3" w:rsidP="00437C3B">
                <w:pPr>
                  <w:spacing w:before="120" w:after="120" w:line="240" w:lineRule="auto"/>
                  <w:jc w:val="left"/>
                  <w:rPr>
                    <w:szCs w:val="18"/>
                  </w:rPr>
                </w:pPr>
                <w:r w:rsidRPr="00BD4093">
                  <w:rPr>
                    <w:szCs w:val="18"/>
                  </w:rPr>
                  <w:t>St</w:t>
                </w:r>
                <w:r>
                  <w:rPr>
                    <w:szCs w:val="18"/>
                  </w:rPr>
                  <w:t>átní pokladna Centrum sdílených služeb</w:t>
                </w:r>
                <w:r w:rsidR="009A02BF">
                  <w:rPr>
                    <w:szCs w:val="18"/>
                  </w:rPr>
                  <w:t>,</w:t>
                </w:r>
                <w:r>
                  <w:rPr>
                    <w:szCs w:val="18"/>
                  </w:rPr>
                  <w:t> s. </w:t>
                </w:r>
                <w:r w:rsidRPr="00BD4093">
                  <w:rPr>
                    <w:szCs w:val="18"/>
                  </w:rPr>
                  <w:t>p.</w:t>
                </w:r>
                <w:r>
                  <w:rPr>
                    <w:szCs w:val="18"/>
                  </w:rPr>
                  <w:t xml:space="preserve"> </w:t>
                </w:r>
                <w:r w:rsidR="00437C3B">
                  <w:rPr>
                    <w:szCs w:val="18"/>
                  </w:rPr>
                  <w:t>se sídlem Na V</w:t>
                </w:r>
                <w:r w:rsidRPr="00BD4093">
                  <w:rPr>
                    <w:szCs w:val="18"/>
                  </w:rPr>
                  <w:t>ápence 915/14, 130 00 Praha 3</w:t>
                </w:r>
                <w:r>
                  <w:rPr>
                    <w:szCs w:val="18"/>
                  </w:rPr>
                  <w:t xml:space="preserve"> </w:t>
                </w:r>
                <w:r w:rsidRPr="00546C79">
                  <w:rPr>
                    <w:szCs w:val="18"/>
                  </w:rPr>
                  <w:t>IČ</w:t>
                </w:r>
                <w:r w:rsidR="001371B9">
                  <w:rPr>
                    <w:szCs w:val="18"/>
                  </w:rPr>
                  <w:t>O</w:t>
                </w:r>
                <w:r w:rsidRPr="00546C79">
                  <w:rPr>
                    <w:szCs w:val="18"/>
                  </w:rPr>
                  <w:t>: 03630919, DIČ: CZ03630919</w:t>
                </w:r>
              </w:p>
              <w:p w14:paraId="578B8508" w14:textId="7A02594F" w:rsidR="00A054A3" w:rsidRPr="00BD4093" w:rsidRDefault="00A054A3" w:rsidP="008E39F7">
                <w:pPr>
                  <w:spacing w:before="120" w:after="120" w:line="240" w:lineRule="auto"/>
                  <w:ind w:left="1313" w:hanging="1313"/>
                  <w:jc w:val="left"/>
                  <w:rPr>
                    <w:szCs w:val="18"/>
                  </w:rPr>
                </w:pPr>
                <w:r w:rsidRPr="00E51278">
                  <w:rPr>
                    <w:b/>
                    <w:szCs w:val="18"/>
                  </w:rPr>
                  <w:t>Zastoupený:</w:t>
                </w:r>
                <w:r w:rsidRPr="00E51278">
                  <w:rPr>
                    <w:szCs w:val="18"/>
                  </w:rPr>
                  <w:t xml:space="preserve"> </w:t>
                </w:r>
                <w:r w:rsidR="008A39EB" w:rsidRPr="00E71C2B">
                  <w:rPr>
                    <w:rFonts w:cs="Arial"/>
                    <w:szCs w:val="18"/>
                  </w:rPr>
                  <w:t>Mgr. Jakubem Richterem</w:t>
                </w:r>
                <w:r w:rsidR="008E39F7">
                  <w:rPr>
                    <w:szCs w:val="18"/>
                  </w:rPr>
                  <w:br/>
                </w:r>
                <w:r w:rsidR="008A39EB" w:rsidRPr="00E71C2B">
                  <w:rPr>
                    <w:szCs w:val="18"/>
                  </w:rPr>
                  <w:t>1. zástupcem generálního ředitele</w:t>
                </w:r>
              </w:p>
            </w:tc>
            <w:tc>
              <w:tcPr>
                <w:tcW w:w="318" w:type="dxa"/>
              </w:tcPr>
              <w:p w14:paraId="1E7B5FC5" w14:textId="77777777" w:rsidR="00A054A3" w:rsidRPr="00E51278" w:rsidRDefault="00A054A3" w:rsidP="00A46DBC">
                <w:pPr>
                  <w:spacing w:before="120" w:after="120" w:line="240" w:lineRule="auto"/>
                  <w:rPr>
                    <w:szCs w:val="18"/>
                  </w:rPr>
                </w:pPr>
              </w:p>
            </w:tc>
            <w:tc>
              <w:tcPr>
                <w:tcW w:w="4110" w:type="dxa"/>
                <w:tcBorders>
                  <w:top w:val="single" w:sz="4" w:space="0" w:color="auto"/>
                </w:tcBorders>
              </w:tcPr>
              <w:p w14:paraId="7E15D690" w14:textId="6E496890" w:rsidR="00A054A3" w:rsidRDefault="00483857" w:rsidP="00C46504">
                <w:pPr>
                  <w:spacing w:before="120" w:after="120" w:line="240" w:lineRule="auto"/>
                  <w:rPr>
                    <w:szCs w:val="18"/>
                  </w:rPr>
                </w:pPr>
                <w:r>
                  <w:rPr>
                    <w:szCs w:val="18"/>
                  </w:rPr>
                  <w:t>VZ_</w:t>
                </w:r>
                <w:r w:rsidR="00EA1BF2">
                  <w:rPr>
                    <w:szCs w:val="18"/>
                  </w:rPr>
                  <w:t>201</w:t>
                </w:r>
                <w:r w:rsidR="008E39F7">
                  <w:rPr>
                    <w:szCs w:val="18"/>
                  </w:rPr>
                  <w:t>9</w:t>
                </w:r>
                <w:r w:rsidR="00EA1BF2">
                  <w:rPr>
                    <w:szCs w:val="18"/>
                  </w:rPr>
                  <w:t>_0</w:t>
                </w:r>
                <w:r w:rsidR="00EA1BF2" w:rsidRPr="00EA7960">
                  <w:rPr>
                    <w:szCs w:val="18"/>
                  </w:rPr>
                  <w:t>0</w:t>
                </w:r>
                <w:r w:rsidR="00EF776D">
                  <w:rPr>
                    <w:szCs w:val="18"/>
                  </w:rPr>
                  <w:t>2</w:t>
                </w:r>
                <w:r w:rsidR="005125CF">
                  <w:rPr>
                    <w:szCs w:val="18"/>
                  </w:rPr>
                  <w:t>6</w:t>
                </w:r>
              </w:p>
              <w:p w14:paraId="26D555E3" w14:textId="76CB2153" w:rsidR="00E20EDF" w:rsidRPr="00E20EDF" w:rsidRDefault="00E20EDF" w:rsidP="00EA1BF2">
                <w:pPr>
                  <w:spacing w:before="640" w:after="120" w:line="240" w:lineRule="auto"/>
                  <w:rPr>
                    <w:b/>
                    <w:bCs/>
                    <w:szCs w:val="18"/>
                  </w:rPr>
                </w:pPr>
                <w:r w:rsidRPr="00E20EDF">
                  <w:rPr>
                    <w:b/>
                    <w:szCs w:val="18"/>
                  </w:rPr>
                  <w:t>Č. j.</w:t>
                </w:r>
                <w:r>
                  <w:rPr>
                    <w:b/>
                    <w:szCs w:val="18"/>
                  </w:rPr>
                  <w:t xml:space="preserve"> </w:t>
                </w:r>
                <w:r w:rsidR="00EE330F" w:rsidRPr="00EE330F">
                  <w:rPr>
                    <w:szCs w:val="18"/>
                  </w:rPr>
                  <w:t>SPCSS-02587/2019</w:t>
                </w:r>
                <w:bookmarkStart w:id="0" w:name="_GoBack"/>
                <w:bookmarkEnd w:id="0"/>
              </w:p>
            </w:tc>
          </w:tr>
          <w:tr w:rsidR="00A054A3" w:rsidRPr="00546C79" w14:paraId="0805114E" w14:textId="77777777" w:rsidTr="00A46DBC">
            <w:trPr>
              <w:jc w:val="center"/>
            </w:trPr>
            <w:tc>
              <w:tcPr>
                <w:tcW w:w="9072" w:type="dxa"/>
                <w:gridSpan w:val="3"/>
                <w:tcBorders>
                  <w:bottom w:val="single" w:sz="2" w:space="0" w:color="auto"/>
                </w:tcBorders>
              </w:tcPr>
              <w:p w14:paraId="581A6798" w14:textId="77777777" w:rsidR="00A054A3" w:rsidRPr="00BD4093" w:rsidRDefault="00A054A3" w:rsidP="00691B61">
                <w:pPr>
                  <w:widowControl w:val="0"/>
                  <w:spacing w:before="240" w:after="120" w:line="240" w:lineRule="auto"/>
                  <w:rPr>
                    <w:b/>
                    <w:szCs w:val="18"/>
                    <w:highlight w:val="green"/>
                  </w:rPr>
                </w:pPr>
                <w:r w:rsidRPr="00BD4093">
                  <w:rPr>
                    <w:b/>
                    <w:szCs w:val="18"/>
                  </w:rPr>
                  <w:t>Druh veřejné zakázky:</w:t>
                </w:r>
              </w:p>
            </w:tc>
          </w:tr>
          <w:tr w:rsidR="00A054A3" w:rsidRPr="003570A8" w14:paraId="4D240BFF" w14:textId="77777777" w:rsidTr="00A46DBC">
            <w:trPr>
              <w:jc w:val="center"/>
            </w:trPr>
            <w:tc>
              <w:tcPr>
                <w:tcW w:w="9072" w:type="dxa"/>
                <w:gridSpan w:val="3"/>
                <w:tcBorders>
                  <w:top w:val="single" w:sz="2" w:space="0" w:color="auto"/>
                </w:tcBorders>
              </w:tcPr>
              <w:p w14:paraId="4575A411" w14:textId="68B0348D" w:rsidR="00A054A3" w:rsidRPr="003570A8" w:rsidRDefault="008D3D3F" w:rsidP="004017AF">
                <w:pPr>
                  <w:widowControl w:val="0"/>
                  <w:tabs>
                    <w:tab w:val="left" w:pos="0"/>
                  </w:tabs>
                  <w:spacing w:before="120" w:after="120" w:line="240" w:lineRule="auto"/>
                  <w:rPr>
                    <w:bCs/>
                    <w:szCs w:val="18"/>
                  </w:rPr>
                </w:pPr>
                <w:r>
                  <w:rPr>
                    <w:szCs w:val="18"/>
                  </w:rPr>
                  <w:t>Z</w:t>
                </w:r>
                <w:r w:rsidR="00EA1BF2" w:rsidRPr="00EA1BF2">
                  <w:rPr>
                    <w:szCs w:val="18"/>
                  </w:rPr>
                  <w:t>avedení dynamického nákupního systému pro veřejné zakázky na dodávky dle ZZVZ</w:t>
                </w:r>
                <w:r>
                  <w:rPr>
                    <w:szCs w:val="18"/>
                  </w:rPr>
                  <w:t>.</w:t>
                </w:r>
              </w:p>
            </w:tc>
          </w:tr>
        </w:tbl>
        <w:p w14:paraId="7AED1E15" w14:textId="77777777" w:rsidR="008237E2" w:rsidRDefault="008237E2" w:rsidP="005A5901">
          <w:r>
            <w:br w:type="page"/>
          </w:r>
        </w:p>
      </w:sdtContent>
    </w:sdt>
    <w:p w14:paraId="2506A57C" w14:textId="44BC91F9" w:rsidR="00687E2C" w:rsidRDefault="00025E9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lastRenderedPageBreak/>
        <w:fldChar w:fldCharType="begin"/>
      </w:r>
      <w:r w:rsidR="008E4815">
        <w:instrText xml:space="preserve"> TOC \o "1-1" \h \z \u </w:instrText>
      </w:r>
      <w:r>
        <w:fldChar w:fldCharType="separate"/>
      </w:r>
      <w:hyperlink w:anchor="_Toc10636653" w:history="1">
        <w:r w:rsidR="00687E2C" w:rsidRPr="00B47CED">
          <w:rPr>
            <w:rStyle w:val="Hypertextovodkaz"/>
            <w:noProof/>
          </w:rPr>
          <w:t>1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Identifikační údaje zadavatele a další informace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_Toc10636653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3</w:t>
        </w:r>
        <w:r w:rsidR="00687E2C">
          <w:rPr>
            <w:noProof/>
            <w:webHidden/>
          </w:rPr>
          <w:fldChar w:fldCharType="end"/>
        </w:r>
      </w:hyperlink>
    </w:p>
    <w:p w14:paraId="0B075EEA" w14:textId="7B860BED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54" w:history="1">
        <w:r w:rsidR="00687E2C" w:rsidRPr="00B47CED">
          <w:rPr>
            <w:rStyle w:val="Hypertextovodkaz"/>
            <w:noProof/>
          </w:rPr>
          <w:t>2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Předmět plnění veřejných zakázek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_Toc10636654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4</w:t>
        </w:r>
        <w:r w:rsidR="00687E2C">
          <w:rPr>
            <w:noProof/>
            <w:webHidden/>
          </w:rPr>
          <w:fldChar w:fldCharType="end"/>
        </w:r>
      </w:hyperlink>
    </w:p>
    <w:p w14:paraId="34D0FAD2" w14:textId="45078A28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55" w:history="1">
        <w:r w:rsidR="00687E2C" w:rsidRPr="00B47CED">
          <w:rPr>
            <w:rStyle w:val="Hypertextovodkaz"/>
            <w:noProof/>
          </w:rPr>
          <w:t>3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Doba a místo plnění veřejných zakázek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_Toc10636655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4</w:t>
        </w:r>
        <w:r w:rsidR="00687E2C">
          <w:rPr>
            <w:noProof/>
            <w:webHidden/>
          </w:rPr>
          <w:fldChar w:fldCharType="end"/>
        </w:r>
      </w:hyperlink>
    </w:p>
    <w:p w14:paraId="50330C86" w14:textId="54402F8D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56" w:history="1">
        <w:r w:rsidR="00687E2C" w:rsidRPr="00B47CED">
          <w:rPr>
            <w:rStyle w:val="Hypertextovodkaz"/>
            <w:noProof/>
          </w:rPr>
          <w:t>4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Kvalifikace dodavatelů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_Toc10636656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4</w:t>
        </w:r>
        <w:r w:rsidR="00687E2C">
          <w:rPr>
            <w:noProof/>
            <w:webHidden/>
          </w:rPr>
          <w:fldChar w:fldCharType="end"/>
        </w:r>
      </w:hyperlink>
    </w:p>
    <w:p w14:paraId="51746066" w14:textId="6B48DBC1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0" w:history="1">
        <w:r w:rsidR="00687E2C" w:rsidRPr="00B47CED">
          <w:rPr>
            <w:rStyle w:val="Hypertextovodkaz"/>
            <w:noProof/>
          </w:rPr>
          <w:t>5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Prokazování kvalifikace ve zvláštních případech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_Toc10636670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7</w:t>
        </w:r>
        <w:r w:rsidR="00687E2C">
          <w:rPr>
            <w:noProof/>
            <w:webHidden/>
          </w:rPr>
          <w:fldChar w:fldCharType="end"/>
        </w:r>
      </w:hyperlink>
    </w:p>
    <w:p w14:paraId="78A2FC39" w14:textId="586CC4FA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1" w:history="1">
        <w:r w:rsidR="00687E2C" w:rsidRPr="00B47CED">
          <w:rPr>
            <w:rStyle w:val="Hypertextovodkaz"/>
            <w:noProof/>
          </w:rPr>
          <w:t>6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Doklady o kvalifikaci dodavatele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_Toc10636671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8</w:t>
        </w:r>
        <w:r w:rsidR="00687E2C">
          <w:rPr>
            <w:noProof/>
            <w:webHidden/>
          </w:rPr>
          <w:fldChar w:fldCharType="end"/>
        </w:r>
      </w:hyperlink>
    </w:p>
    <w:p w14:paraId="1FB30860" w14:textId="085FB01A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2" w:history="1">
        <w:r w:rsidR="00687E2C" w:rsidRPr="00B47CED">
          <w:rPr>
            <w:rStyle w:val="Hypertextovodkaz"/>
            <w:noProof/>
          </w:rPr>
          <w:t>7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Podání žádosti o účast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_Toc10636672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9</w:t>
        </w:r>
        <w:r w:rsidR="00687E2C">
          <w:rPr>
            <w:noProof/>
            <w:webHidden/>
          </w:rPr>
          <w:fldChar w:fldCharType="end"/>
        </w:r>
      </w:hyperlink>
    </w:p>
    <w:p w14:paraId="3255137B" w14:textId="1A5238C6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3" w:history="1">
        <w:r w:rsidR="00687E2C" w:rsidRPr="00B47CED">
          <w:rPr>
            <w:rStyle w:val="Hypertextovodkaz"/>
            <w:noProof/>
          </w:rPr>
          <w:t>8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Zařazení do zavedeného dynamického nákupního systému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_Toc10636673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10</w:t>
        </w:r>
        <w:r w:rsidR="00687E2C">
          <w:rPr>
            <w:noProof/>
            <w:webHidden/>
          </w:rPr>
          <w:fldChar w:fldCharType="end"/>
        </w:r>
      </w:hyperlink>
    </w:p>
    <w:p w14:paraId="04D92FE7" w14:textId="56E6398A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4" w:history="1">
        <w:r w:rsidR="00687E2C" w:rsidRPr="00B47CED">
          <w:rPr>
            <w:rStyle w:val="Hypertextovodkaz"/>
            <w:noProof/>
          </w:rPr>
          <w:t>9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Hodnocení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_Toc10636674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10</w:t>
        </w:r>
        <w:r w:rsidR="00687E2C">
          <w:rPr>
            <w:noProof/>
            <w:webHidden/>
          </w:rPr>
          <w:fldChar w:fldCharType="end"/>
        </w:r>
      </w:hyperlink>
    </w:p>
    <w:p w14:paraId="1B0F58B5" w14:textId="2E67723A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5" w:history="1">
        <w:r w:rsidR="00687E2C" w:rsidRPr="00B47CED">
          <w:rPr>
            <w:rStyle w:val="Hypertextovodkaz"/>
            <w:noProof/>
          </w:rPr>
          <w:t>10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Další podmínky a požadavky zadavatele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_Toc10636675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10</w:t>
        </w:r>
        <w:r w:rsidR="00687E2C">
          <w:rPr>
            <w:noProof/>
            <w:webHidden/>
          </w:rPr>
          <w:fldChar w:fldCharType="end"/>
        </w:r>
      </w:hyperlink>
    </w:p>
    <w:p w14:paraId="36CADC8A" w14:textId="4009EBFB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6" w:history="1">
        <w:r w:rsidR="00687E2C" w:rsidRPr="00B47CED">
          <w:rPr>
            <w:rStyle w:val="Hypertextovodkaz"/>
            <w:noProof/>
          </w:rPr>
          <w:t>11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Dostupnost zadávací dokumentace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_Toc10636676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11</w:t>
        </w:r>
        <w:r w:rsidR="00687E2C">
          <w:rPr>
            <w:noProof/>
            <w:webHidden/>
          </w:rPr>
          <w:fldChar w:fldCharType="end"/>
        </w:r>
      </w:hyperlink>
    </w:p>
    <w:p w14:paraId="1F7B6A3C" w14:textId="3DB1C467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7" w:history="1">
        <w:r w:rsidR="00687E2C" w:rsidRPr="00B47CED">
          <w:rPr>
            <w:rStyle w:val="Hypertextovodkaz"/>
            <w:noProof/>
          </w:rPr>
          <w:t>12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Vysvětlení, změna nebo doplnění zadávací dokumentace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_Toc10636677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11</w:t>
        </w:r>
        <w:r w:rsidR="00687E2C">
          <w:rPr>
            <w:noProof/>
            <w:webHidden/>
          </w:rPr>
          <w:fldChar w:fldCharType="end"/>
        </w:r>
      </w:hyperlink>
    </w:p>
    <w:p w14:paraId="5CA739F1" w14:textId="2F0674B4" w:rsidR="00687E2C" w:rsidRDefault="005125C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0636678" w:history="1">
        <w:r w:rsidR="00687E2C" w:rsidRPr="00B47CED">
          <w:rPr>
            <w:rStyle w:val="Hypertextovodkaz"/>
            <w:noProof/>
          </w:rPr>
          <w:t>13</w:t>
        </w:r>
        <w:r w:rsidR="00687E2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87E2C" w:rsidRPr="00B47CED">
          <w:rPr>
            <w:rStyle w:val="Hypertextovodkaz"/>
            <w:noProof/>
          </w:rPr>
          <w:t>Informace o zpracování osobních údajů</w:t>
        </w:r>
        <w:r w:rsidR="00687E2C">
          <w:rPr>
            <w:noProof/>
            <w:webHidden/>
          </w:rPr>
          <w:tab/>
        </w:r>
        <w:r w:rsidR="00687E2C">
          <w:rPr>
            <w:noProof/>
            <w:webHidden/>
          </w:rPr>
          <w:fldChar w:fldCharType="begin"/>
        </w:r>
        <w:r w:rsidR="00687E2C">
          <w:rPr>
            <w:noProof/>
            <w:webHidden/>
          </w:rPr>
          <w:instrText xml:space="preserve"> PAGEREF _Toc10636678 \h </w:instrText>
        </w:r>
        <w:r w:rsidR="00687E2C">
          <w:rPr>
            <w:noProof/>
            <w:webHidden/>
          </w:rPr>
        </w:r>
        <w:r w:rsidR="00687E2C">
          <w:rPr>
            <w:noProof/>
            <w:webHidden/>
          </w:rPr>
          <w:fldChar w:fldCharType="separate"/>
        </w:r>
        <w:r w:rsidR="003F2D78">
          <w:rPr>
            <w:noProof/>
            <w:webHidden/>
          </w:rPr>
          <w:t>11</w:t>
        </w:r>
        <w:r w:rsidR="00687E2C">
          <w:rPr>
            <w:noProof/>
            <w:webHidden/>
          </w:rPr>
          <w:fldChar w:fldCharType="end"/>
        </w:r>
      </w:hyperlink>
    </w:p>
    <w:p w14:paraId="7EAAD13A" w14:textId="224911D4" w:rsidR="008F25E7" w:rsidRDefault="00025E9F" w:rsidP="00EA7960">
      <w:pPr>
        <w:pStyle w:val="Nadpis1"/>
        <w:numPr>
          <w:ilvl w:val="0"/>
          <w:numId w:val="0"/>
        </w:numPr>
        <w:ind w:left="567"/>
        <w:rPr>
          <w:szCs w:val="28"/>
        </w:rPr>
      </w:pPr>
      <w:r>
        <w:fldChar w:fldCharType="end"/>
      </w:r>
      <w:r w:rsidR="008F25E7">
        <w:br w:type="page"/>
      </w:r>
    </w:p>
    <w:p w14:paraId="7A29A829" w14:textId="75E1EE4E" w:rsidR="001271EC" w:rsidRPr="00BC64E8" w:rsidRDefault="005C32E7" w:rsidP="008D3D3F">
      <w:pPr>
        <w:pStyle w:val="Nadpis1"/>
      </w:pPr>
      <w:bookmarkStart w:id="1" w:name="_Toc10636653"/>
      <w:bookmarkStart w:id="2" w:name="_Toc448309248"/>
      <w:r>
        <w:lastRenderedPageBreak/>
        <w:t>Identifikační údaje zadavatele</w:t>
      </w:r>
      <w:r w:rsidR="0004640C">
        <w:t xml:space="preserve"> a</w:t>
      </w:r>
      <w:r>
        <w:t xml:space="preserve"> další informace</w:t>
      </w:r>
      <w:bookmarkEnd w:id="1"/>
    </w:p>
    <w:p w14:paraId="2B25241B" w14:textId="77777777" w:rsidR="001271EC" w:rsidRDefault="005C32E7" w:rsidP="008E39F7">
      <w:pPr>
        <w:pStyle w:val="Nadpis2"/>
      </w:pPr>
      <w:r>
        <w:t>Identifikace zadavatele</w:t>
      </w:r>
    </w:p>
    <w:p w14:paraId="4AE6F959" w14:textId="77777777" w:rsidR="005C32E7" w:rsidRPr="00696001" w:rsidRDefault="005C32E7" w:rsidP="005C32E7">
      <w:pPr>
        <w:rPr>
          <w:b/>
        </w:rPr>
      </w:pPr>
      <w:r>
        <w:t xml:space="preserve">Název zadavatele: </w:t>
      </w:r>
      <w:r>
        <w:tab/>
      </w:r>
      <w:r w:rsidRPr="00696001">
        <w:rPr>
          <w:b/>
        </w:rPr>
        <w:t>Státní pokladna Centrum sdílených služeb, s. p.</w:t>
      </w:r>
    </w:p>
    <w:p w14:paraId="19F8A77F" w14:textId="77777777" w:rsidR="005C32E7" w:rsidRDefault="005C32E7" w:rsidP="005C32E7">
      <w:r>
        <w:t>Sídlo:</w:t>
      </w:r>
      <w:r>
        <w:tab/>
      </w:r>
      <w:r>
        <w:tab/>
      </w:r>
      <w:r>
        <w:tab/>
        <w:t>Na Vápence 915/14, 130 00 Praha 3</w:t>
      </w:r>
    </w:p>
    <w:p w14:paraId="733E76A5" w14:textId="77777777" w:rsidR="005C32E7" w:rsidRPr="005C32E7" w:rsidRDefault="005C32E7" w:rsidP="005C32E7">
      <w:r>
        <w:t>IČO:</w:t>
      </w:r>
      <w:r>
        <w:tab/>
      </w:r>
      <w:r>
        <w:tab/>
      </w:r>
      <w:r>
        <w:tab/>
        <w:t>03630919</w:t>
      </w:r>
    </w:p>
    <w:bookmarkEnd w:id="2"/>
    <w:p w14:paraId="3E5A8B08" w14:textId="77777777" w:rsidR="005C32E7" w:rsidRDefault="00316BC0" w:rsidP="008E39F7">
      <w:pPr>
        <w:pStyle w:val="Nadpis2"/>
      </w:pPr>
      <w:r>
        <w:t>Kontaktní osoba zadavatele</w:t>
      </w:r>
    </w:p>
    <w:p w14:paraId="32948BBF" w14:textId="77777777" w:rsidR="00316BC0" w:rsidRDefault="00027461" w:rsidP="00027461">
      <w:pPr>
        <w:pStyle w:val="Styl1"/>
        <w:spacing w:before="120" w:after="120"/>
        <w:rPr>
          <w:szCs w:val="18"/>
        </w:rPr>
      </w:pPr>
      <w:r w:rsidRPr="00027461">
        <w:rPr>
          <w:rFonts w:cs="Segoe UI"/>
          <w:szCs w:val="18"/>
        </w:rPr>
        <w:t xml:space="preserve">Kontaktní osobou ve věcech souvisejících se zavedením dynamického nákupního systému je MT Legal s.r.o., advokátní kancelář, </w:t>
      </w:r>
      <w:r w:rsidRPr="00027461">
        <w:rPr>
          <w:rFonts w:cs="Segoe UI"/>
          <w:bCs/>
          <w:szCs w:val="18"/>
        </w:rPr>
        <w:t>Jugoslávská 620/29, 120 00 Praha 2</w:t>
      </w:r>
      <w:r w:rsidRPr="00027461">
        <w:rPr>
          <w:rFonts w:cs="Segoe UI"/>
          <w:szCs w:val="18"/>
        </w:rPr>
        <w:t xml:space="preserve">, e-mail: </w:t>
      </w:r>
      <w:hyperlink r:id="rId11" w:history="1"/>
      <w:hyperlink r:id="rId12" w:history="1">
        <w:r w:rsidRPr="00027461">
          <w:rPr>
            <w:rStyle w:val="Hypertextovodkaz"/>
            <w:rFonts w:cs="Segoe UI"/>
            <w:szCs w:val="18"/>
          </w:rPr>
          <w:t>vz@mt-legal.com</w:t>
        </w:r>
      </w:hyperlink>
      <w:r w:rsidRPr="00027461">
        <w:rPr>
          <w:rFonts w:cs="Segoe UI"/>
          <w:szCs w:val="18"/>
        </w:rPr>
        <w:t xml:space="preserve">. Kontaktní osoba zajišťuje veškerou komunikaci zadavatele s dodavateli (tím není dotčeno oprávnění statutárního orgánu či jiné pověřené osoby zadavatele) a je v souladu s § 43 ZZVZ pověřena výkonem zadavatelských činností v tomto zadávacím řízení. </w:t>
      </w:r>
      <w:r w:rsidRPr="00027461">
        <w:rPr>
          <w:rFonts w:cs="Segoe UI"/>
          <w:iCs/>
          <w:szCs w:val="18"/>
        </w:rPr>
        <w:t>Kontaktní osoba je pověřena také k přijímání případných námitek dodavatelů dle § 241 a násl. ZZVZ.</w:t>
      </w:r>
      <w:r w:rsidR="0008272B" w:rsidRPr="00027461">
        <w:rPr>
          <w:szCs w:val="18"/>
        </w:rPr>
        <w:t xml:space="preserve"> </w:t>
      </w:r>
    </w:p>
    <w:p w14:paraId="07C1F010" w14:textId="77777777" w:rsidR="00432778" w:rsidRDefault="00432778" w:rsidP="008E39F7">
      <w:pPr>
        <w:pStyle w:val="Nadpis2"/>
      </w:pPr>
      <w:r>
        <w:t>Informace o zadávacím řízení</w:t>
      </w:r>
    </w:p>
    <w:p w14:paraId="362348D7" w14:textId="7C21EA27" w:rsidR="00432778" w:rsidRPr="00432778" w:rsidRDefault="00432778" w:rsidP="00432778">
      <w:pPr>
        <w:pStyle w:val="Zkladntext"/>
        <w:widowControl w:val="0"/>
        <w:spacing w:before="120"/>
        <w:rPr>
          <w:rFonts w:cs="Segoe UI"/>
          <w:szCs w:val="18"/>
        </w:rPr>
      </w:pPr>
      <w:r w:rsidRPr="00432778">
        <w:rPr>
          <w:rFonts w:cs="Segoe UI"/>
          <w:szCs w:val="18"/>
        </w:rPr>
        <w:t xml:space="preserve">Zadavatel prostřednictvím tohoto zadávacího řízení zavádí dynamický nákupní systém </w:t>
      </w:r>
      <w:r w:rsidR="00FD1CCA">
        <w:rPr>
          <w:rFonts w:cs="Segoe UI"/>
          <w:szCs w:val="18"/>
        </w:rPr>
        <w:t xml:space="preserve">dle § </w:t>
      </w:r>
      <w:r w:rsidR="0004640C">
        <w:rPr>
          <w:rFonts w:cs="Segoe UI"/>
          <w:szCs w:val="18"/>
        </w:rPr>
        <w:t xml:space="preserve">138 </w:t>
      </w:r>
      <w:r w:rsidR="00FD1CCA">
        <w:rPr>
          <w:rFonts w:cs="Segoe UI"/>
          <w:szCs w:val="18"/>
        </w:rPr>
        <w:t>a </w:t>
      </w:r>
      <w:r w:rsidRPr="00432778">
        <w:rPr>
          <w:rFonts w:cs="Segoe UI"/>
          <w:szCs w:val="18"/>
        </w:rPr>
        <w:t xml:space="preserve">násl. ZZVZ (dále </w:t>
      </w:r>
      <w:r w:rsidR="00D870D0">
        <w:rPr>
          <w:rFonts w:cs="Segoe UI"/>
          <w:szCs w:val="18"/>
        </w:rPr>
        <w:t xml:space="preserve">též </w:t>
      </w:r>
      <w:r w:rsidRPr="00432778">
        <w:rPr>
          <w:rFonts w:cs="Segoe UI"/>
          <w:szCs w:val="18"/>
        </w:rPr>
        <w:t>jen „</w:t>
      </w:r>
      <w:r w:rsidRPr="00432778">
        <w:rPr>
          <w:rFonts w:cs="Segoe UI"/>
          <w:i/>
          <w:szCs w:val="18"/>
        </w:rPr>
        <w:t>DNS</w:t>
      </w:r>
      <w:r w:rsidRPr="00432778">
        <w:rPr>
          <w:rFonts w:cs="Segoe UI"/>
          <w:szCs w:val="18"/>
        </w:rPr>
        <w:t xml:space="preserve">“). DNS bude zaveden na dobu </w:t>
      </w:r>
      <w:r w:rsidR="00226268">
        <w:rPr>
          <w:rFonts w:cs="Segoe UI"/>
          <w:szCs w:val="18"/>
        </w:rPr>
        <w:t>neurčitou</w:t>
      </w:r>
      <w:r w:rsidRPr="00432778">
        <w:rPr>
          <w:rFonts w:cs="Segoe UI"/>
          <w:szCs w:val="18"/>
        </w:rPr>
        <w:t>. Zadavatel předpokládá zadávání veřejných zakázek v DNS v předem neurčených nepravidelných intervalech odvislých zejména od provozních potřeb zadavatele. Rovněž objemy jednotlivých veřejných zakázek zadávaných v DNS zadavatel předpokládá od jednotek až po desítky jednotek v</w:t>
      </w:r>
      <w:r w:rsidR="0004640C">
        <w:rPr>
          <w:rFonts w:cs="Segoe UI"/>
          <w:szCs w:val="18"/>
        </w:rPr>
        <w:t> rámci jednotlivé</w:t>
      </w:r>
      <w:r w:rsidR="0004640C" w:rsidRPr="00432778">
        <w:rPr>
          <w:rFonts w:cs="Segoe UI"/>
          <w:szCs w:val="18"/>
        </w:rPr>
        <w:t xml:space="preserve"> </w:t>
      </w:r>
      <w:r w:rsidRPr="00432778">
        <w:rPr>
          <w:rFonts w:cs="Segoe UI"/>
          <w:szCs w:val="18"/>
        </w:rPr>
        <w:t>veřejné zakáz</w:t>
      </w:r>
      <w:r w:rsidR="0004640C">
        <w:rPr>
          <w:rFonts w:cs="Segoe UI"/>
          <w:szCs w:val="18"/>
        </w:rPr>
        <w:t>ky</w:t>
      </w:r>
      <w:r w:rsidRPr="00432778">
        <w:rPr>
          <w:rFonts w:cs="Segoe UI"/>
          <w:szCs w:val="18"/>
        </w:rPr>
        <w:t>.</w:t>
      </w:r>
    </w:p>
    <w:p w14:paraId="02AE2E56" w14:textId="77777777" w:rsidR="00432778" w:rsidRPr="00432778" w:rsidRDefault="00432778" w:rsidP="00432778">
      <w:pPr>
        <w:pStyle w:val="Zkladntext"/>
        <w:widowControl w:val="0"/>
        <w:spacing w:before="120"/>
        <w:rPr>
          <w:rFonts w:cs="Segoe UI"/>
          <w:szCs w:val="18"/>
        </w:rPr>
      </w:pPr>
      <w:r w:rsidRPr="00432778">
        <w:rPr>
          <w:rFonts w:cs="Segoe UI"/>
          <w:szCs w:val="18"/>
        </w:rPr>
        <w:t>DNS je zaváděn elektronicky pomocí elektronického nástroje E-ZAK.</w:t>
      </w:r>
    </w:p>
    <w:p w14:paraId="6F343EA1" w14:textId="77777777" w:rsidR="00432778" w:rsidRDefault="00432778" w:rsidP="00432778">
      <w:pPr>
        <w:pStyle w:val="Styl1"/>
        <w:spacing w:before="120" w:after="120"/>
        <w:rPr>
          <w:rFonts w:cs="Segoe UI"/>
          <w:iCs/>
          <w:szCs w:val="18"/>
        </w:rPr>
      </w:pPr>
      <w:r w:rsidRPr="00432778">
        <w:rPr>
          <w:rFonts w:cs="Segoe UI"/>
          <w:szCs w:val="18"/>
        </w:rPr>
        <w:t xml:space="preserve">Zadávací dokumentace včetně jejích příloh je zveřejněna na profilu zadavatele </w:t>
      </w:r>
      <w:hyperlink r:id="rId13" w:history="1">
        <w:r w:rsidRPr="00432778">
          <w:rPr>
            <w:rStyle w:val="Hypertextovodkaz"/>
            <w:rFonts w:cs="Segoe UI"/>
            <w:iCs/>
            <w:szCs w:val="18"/>
          </w:rPr>
          <w:t>https://mfcr.ezak.cz/profile_display_58.html</w:t>
        </w:r>
      </w:hyperlink>
      <w:r w:rsidRPr="00432778">
        <w:rPr>
          <w:rFonts w:cs="Segoe UI"/>
          <w:iCs/>
          <w:szCs w:val="18"/>
        </w:rPr>
        <w:t>.</w:t>
      </w:r>
    </w:p>
    <w:p w14:paraId="425398D5" w14:textId="77777777" w:rsidR="00FD1CCA" w:rsidRDefault="00FD1CCA" w:rsidP="008E39F7">
      <w:pPr>
        <w:pStyle w:val="Nadpis2"/>
      </w:pPr>
      <w:r>
        <w:t>Elektronický nástroj E-ZAK</w:t>
      </w:r>
    </w:p>
    <w:p w14:paraId="1C1AF4FA" w14:textId="77777777" w:rsidR="00FD1CCA" w:rsidRPr="00FD1CCA" w:rsidRDefault="00FD1CCA" w:rsidP="00FD1CCA">
      <w:pPr>
        <w:pStyle w:val="Zkladntext"/>
        <w:widowControl w:val="0"/>
        <w:spacing w:before="120"/>
        <w:rPr>
          <w:rFonts w:cs="Segoe UI"/>
          <w:iCs/>
          <w:szCs w:val="18"/>
        </w:rPr>
      </w:pPr>
      <w:r w:rsidRPr="00FD1CCA">
        <w:rPr>
          <w:rFonts w:cs="Segoe UI"/>
          <w:iCs/>
          <w:szCs w:val="18"/>
        </w:rPr>
        <w:t>Veškeré úkony v rámci zadávacího řízení se provádějí elektronicky prostřednictvím elektronického nástroje E-ZAK, nestanoví-li zadavatel v zadávacích podmínkách nebo v průběhu zadávacího řízení jinak. Zadavatel dodavatele upozorňuje, že pro plné využití všech možností elektronického nástroje E-ZAK je třeba provést a dokončit tzv. registraci dodavatele.</w:t>
      </w:r>
    </w:p>
    <w:p w14:paraId="5134ED3E" w14:textId="77777777" w:rsidR="00FD1CCA" w:rsidRPr="00FD1CCA" w:rsidRDefault="00FD1CCA" w:rsidP="001E724D">
      <w:pPr>
        <w:pStyle w:val="Styl4"/>
      </w:pPr>
      <w:r w:rsidRPr="00FD1CCA">
        <w:t>Veškeré písemnosti zasílané prostřednictvím elektronického nástroje E-ZAK se považují za řádně doručené dnem jejich doručení do uživatelského účtu adresáta písemnosti v elektronickém nástroji E-ZAK. Na doručení písemnosti nemá vliv, zda byla písemnost jejím adresátem přečtena, případně, zda elektronický nástroj E-ZAK adresátovi odeslal na kontaktní emailovou adresu upozornění o tom, že na jeho uživatelský účet v elektronickém nástroji E-ZAK byla doručena nová zpráva, či nikoli.</w:t>
      </w:r>
    </w:p>
    <w:p w14:paraId="767E35DE" w14:textId="77777777" w:rsidR="00FD1CCA" w:rsidRPr="00FD1CCA" w:rsidRDefault="00FD1CCA" w:rsidP="00FD1CCA">
      <w:pPr>
        <w:pStyle w:val="Styl1"/>
        <w:spacing w:before="120" w:after="120"/>
        <w:rPr>
          <w:szCs w:val="18"/>
        </w:rPr>
      </w:pPr>
      <w:r w:rsidRPr="00FD1CCA">
        <w:rPr>
          <w:rFonts w:cs="Segoe UI"/>
          <w:iCs/>
          <w:szCs w:val="18"/>
        </w:rPr>
        <w:t xml:space="preserve">Podmínky a informace týkající se elektronického nástroje E-ZAK včetně informací o používání elektronického podpisu jsou dostupné na </w:t>
      </w:r>
      <w:hyperlink r:id="rId14" w:history="1">
        <w:r w:rsidRPr="00FD1CCA">
          <w:rPr>
            <w:rStyle w:val="Hypertextovodkaz"/>
            <w:rFonts w:cs="Segoe UI"/>
            <w:iCs/>
            <w:szCs w:val="18"/>
          </w:rPr>
          <w:t>https://mfcr.ezak.cz/manual.html</w:t>
        </w:r>
      </w:hyperlink>
      <w:r w:rsidRPr="00FD1CCA">
        <w:rPr>
          <w:rFonts w:cs="Segoe UI"/>
          <w:iCs/>
          <w:szCs w:val="18"/>
        </w:rPr>
        <w:t>.</w:t>
      </w:r>
    </w:p>
    <w:p w14:paraId="62E57763" w14:textId="77777777" w:rsidR="00A054A3" w:rsidRDefault="00A054A3" w:rsidP="008D3D3F">
      <w:pPr>
        <w:pStyle w:val="Nadpis1"/>
      </w:pPr>
      <w:bookmarkStart w:id="3" w:name="_Toc10636654"/>
      <w:r w:rsidRPr="00903554">
        <w:lastRenderedPageBreak/>
        <w:t>Předmět</w:t>
      </w:r>
      <w:r w:rsidRPr="00194168">
        <w:t xml:space="preserve"> </w:t>
      </w:r>
      <w:r w:rsidR="008C7E9B">
        <w:t xml:space="preserve">plnění </w:t>
      </w:r>
      <w:r w:rsidR="001E724D">
        <w:t>veřejných</w:t>
      </w:r>
      <w:r w:rsidRPr="00194168">
        <w:t xml:space="preserve"> zakáz</w:t>
      </w:r>
      <w:r w:rsidR="001E724D">
        <w:t>ek</w:t>
      </w:r>
      <w:bookmarkEnd w:id="3"/>
    </w:p>
    <w:p w14:paraId="182206FB" w14:textId="77777777" w:rsidR="00F43941" w:rsidRPr="00194168" w:rsidRDefault="00F43941" w:rsidP="008E39F7">
      <w:pPr>
        <w:pStyle w:val="Nadpis2"/>
      </w:pPr>
      <w:r>
        <w:t xml:space="preserve">Předmět </w:t>
      </w:r>
      <w:r w:rsidRPr="002B3E10">
        <w:t>veřejn</w:t>
      </w:r>
      <w:r w:rsidR="001E724D">
        <w:t>ých zakázek</w:t>
      </w:r>
    </w:p>
    <w:p w14:paraId="7FED8580" w14:textId="0075CD60" w:rsidR="00CA4D4C" w:rsidRDefault="001E724D" w:rsidP="00006EF6">
      <w:pPr>
        <w:pStyle w:val="Styl4"/>
      </w:pPr>
      <w:r w:rsidRPr="00EF776D">
        <w:t>Předmětem plnění veřejných zakázek bude nákup</w:t>
      </w:r>
      <w:r w:rsidR="00A00AE8" w:rsidRPr="00EF776D">
        <w:t xml:space="preserve"> serverů s procesory </w:t>
      </w:r>
      <w:r w:rsidR="002C2239">
        <w:t>Power9</w:t>
      </w:r>
      <w:r w:rsidR="00665D31">
        <w:t>. Dodavatel bude povinen</w:t>
      </w:r>
      <w:r w:rsidR="002C436A">
        <w:t xml:space="preserve"> </w:t>
      </w:r>
      <w:r w:rsidR="00665D31" w:rsidRPr="006D4E50">
        <w:t xml:space="preserve">dodat </w:t>
      </w:r>
      <w:r w:rsidR="00665D31">
        <w:t xml:space="preserve">zadavateli </w:t>
      </w:r>
      <w:r w:rsidR="00006EF6" w:rsidRPr="006D4E50">
        <w:t>do místa plnění</w:t>
      </w:r>
      <w:r w:rsidR="00006EF6">
        <w:t xml:space="preserve"> (včetně dopravy)</w:t>
      </w:r>
      <w:r w:rsidR="00006EF6" w:rsidRPr="006D4E50">
        <w:t xml:space="preserve"> jednotlivé typy serverových technologií (HW a SW komponenty), včetně jejich příslušenství, SW licencí, dokladů nezbytných k jejich užívání, případně včetně HW maintenance a/nebo SW maintenance, </w:t>
      </w:r>
      <w:r w:rsidR="00006EF6">
        <w:t>bude</w:t>
      </w:r>
      <w:r w:rsidR="00006EF6" w:rsidRPr="006D4E50">
        <w:t xml:space="preserve">-li maintenance </w:t>
      </w:r>
      <w:r w:rsidR="00006EF6">
        <w:t xml:space="preserve">pro konkrétní dílčí veřejnou zakázku požadována. Podobný </w:t>
      </w:r>
      <w:r w:rsidRPr="00657AA2">
        <w:t xml:space="preserve">popis předmětu plnění </w:t>
      </w:r>
      <w:r w:rsidR="00D870D0">
        <w:t>s požadovanou technickou specifikací bude vždy</w:t>
      </w:r>
      <w:r w:rsidR="00D870D0" w:rsidRPr="00657AA2">
        <w:t xml:space="preserve"> </w:t>
      </w:r>
      <w:r w:rsidRPr="00657AA2">
        <w:t>uveden v zadávací dokumentaci</w:t>
      </w:r>
      <w:r>
        <w:t xml:space="preserve"> pro zadávání veřejných zakázek v</w:t>
      </w:r>
      <w:r w:rsidR="00DC2AAD">
        <w:t> </w:t>
      </w:r>
      <w:r w:rsidR="00D870D0">
        <w:t>DNS</w:t>
      </w:r>
      <w:r w:rsidR="00DC2AAD">
        <w:t xml:space="preserve"> a/nebo výzvě k podání nabídek</w:t>
      </w:r>
      <w:r w:rsidRPr="00657AA2">
        <w:t xml:space="preserve"> a </w:t>
      </w:r>
      <w:r w:rsidR="0004640C">
        <w:t xml:space="preserve">v </w:t>
      </w:r>
      <w:r w:rsidRPr="00657AA2">
        <w:t>jej</w:t>
      </w:r>
      <w:r w:rsidR="00DC2AAD">
        <w:t>i</w:t>
      </w:r>
      <w:r w:rsidRPr="00657AA2">
        <w:t>ch přílohách.</w:t>
      </w:r>
    </w:p>
    <w:p w14:paraId="56278DF0" w14:textId="77777777" w:rsidR="001E724D" w:rsidRPr="00194168" w:rsidRDefault="00C04955" w:rsidP="008E39F7">
      <w:pPr>
        <w:pStyle w:val="Nadpis2"/>
      </w:pPr>
      <w:r>
        <w:t>Předpokládaná hodnota veřejných zakázek</w:t>
      </w:r>
    </w:p>
    <w:p w14:paraId="467D1591" w14:textId="547D845B" w:rsidR="001E724D" w:rsidRPr="00B77126" w:rsidRDefault="00C04955" w:rsidP="001E724D">
      <w:pPr>
        <w:pStyle w:val="Styl4"/>
      </w:pPr>
      <w:r w:rsidRPr="00654E62">
        <w:t xml:space="preserve">Předpokládaná hodnota </w:t>
      </w:r>
      <w:r>
        <w:t>veřejných zakázek, které mohou být v DNS zadány,</w:t>
      </w:r>
      <w:r w:rsidRPr="00654E62">
        <w:t xml:space="preserve"> určená zadavatelem postupem podle § 16 a násl. </w:t>
      </w:r>
      <w:r w:rsidRPr="003C2030">
        <w:t xml:space="preserve">ZZVZ </w:t>
      </w:r>
      <w:r w:rsidRPr="00EF776D">
        <w:t xml:space="preserve">činí </w:t>
      </w:r>
      <w:r w:rsidR="00AB38F2">
        <w:t>50</w:t>
      </w:r>
      <w:r w:rsidR="00833117" w:rsidRPr="00EF776D">
        <w:t> 000 000,</w:t>
      </w:r>
      <w:r w:rsidR="008D3D3F" w:rsidRPr="00EF776D">
        <w:t>00</w:t>
      </w:r>
      <w:r w:rsidR="000A52C5" w:rsidRPr="00EF776D">
        <w:t xml:space="preserve"> </w:t>
      </w:r>
      <w:r w:rsidRPr="00EF776D">
        <w:t>Kč</w:t>
      </w:r>
      <w:r w:rsidR="003C2030">
        <w:t xml:space="preserve"> bez DPH</w:t>
      </w:r>
      <w:r w:rsidRPr="003C2030">
        <w:t>.</w:t>
      </w:r>
    </w:p>
    <w:p w14:paraId="47B12C4C" w14:textId="77777777" w:rsidR="00F43941" w:rsidRDefault="00F43941" w:rsidP="008E39F7">
      <w:pPr>
        <w:pStyle w:val="Nadpis2"/>
      </w:pPr>
      <w:r>
        <w:t xml:space="preserve">Klasifikace </w:t>
      </w:r>
      <w:r w:rsidRPr="002B3E10">
        <w:t>předmětu</w:t>
      </w:r>
      <w:r>
        <w:t xml:space="preserve"> veřejné zakázky (CPV)</w:t>
      </w:r>
    </w:p>
    <w:p w14:paraId="7A2124F6" w14:textId="6605127C" w:rsidR="00C24181" w:rsidRDefault="00C24181" w:rsidP="00C24181">
      <w:pPr>
        <w:pStyle w:val="Styl1"/>
        <w:rPr>
          <w:szCs w:val="18"/>
        </w:rPr>
      </w:pPr>
      <w:r>
        <w:rPr>
          <w:szCs w:val="18"/>
        </w:rPr>
        <w:t>Z</w:t>
      </w:r>
      <w:r w:rsidRPr="00C24181">
        <w:rPr>
          <w:szCs w:val="18"/>
        </w:rPr>
        <w:t>adavatel vymezil v oznámení o zah</w:t>
      </w:r>
      <w:r w:rsidR="00E011B6">
        <w:rPr>
          <w:szCs w:val="18"/>
        </w:rPr>
        <w:t>ájení tohoto zadávacího řízení v</w:t>
      </w:r>
      <w:r w:rsidRPr="00C24181">
        <w:rPr>
          <w:szCs w:val="18"/>
        </w:rPr>
        <w:t>eřejné zakázky její předmět dle</w:t>
      </w:r>
      <w:r w:rsidR="008D3D3F">
        <w:rPr>
          <w:szCs w:val="18"/>
        </w:rPr>
        <w:t> </w:t>
      </w:r>
      <w:r w:rsidRPr="00C24181">
        <w:rPr>
          <w:szCs w:val="18"/>
        </w:rPr>
        <w:t>referenční klasifikace platné pro veřejné zakázky, a to následujícím způsobem: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776D" w:rsidRPr="00EF776D" w14:paraId="541FFE27" w14:textId="77777777" w:rsidTr="00EF776D">
        <w:tc>
          <w:tcPr>
            <w:tcW w:w="4531" w:type="dxa"/>
          </w:tcPr>
          <w:p w14:paraId="11920E99" w14:textId="2FF929A7" w:rsidR="00EF776D" w:rsidRPr="00EF776D" w:rsidRDefault="00EF776D" w:rsidP="00EF776D">
            <w:pPr>
              <w:pStyle w:val="Styl1"/>
              <w:spacing w:before="60" w:after="60" w:line="240" w:lineRule="auto"/>
              <w:rPr>
                <w:szCs w:val="18"/>
              </w:rPr>
            </w:pPr>
            <w:bookmarkStart w:id="4" w:name="_Hlk10640338"/>
            <w:r w:rsidRPr="00EF776D">
              <w:rPr>
                <w:b/>
                <w:szCs w:val="18"/>
              </w:rPr>
              <w:t>Kód CPV</w:t>
            </w:r>
          </w:p>
        </w:tc>
        <w:tc>
          <w:tcPr>
            <w:tcW w:w="4531" w:type="dxa"/>
          </w:tcPr>
          <w:p w14:paraId="2B46BF27" w14:textId="59D0C2AD" w:rsidR="00EF776D" w:rsidRPr="00EF776D" w:rsidRDefault="00EF776D" w:rsidP="00EF776D">
            <w:pPr>
              <w:pStyle w:val="Styl1"/>
              <w:spacing w:before="60" w:after="60" w:line="240" w:lineRule="auto"/>
              <w:rPr>
                <w:szCs w:val="18"/>
              </w:rPr>
            </w:pPr>
            <w:r w:rsidRPr="00EF776D">
              <w:rPr>
                <w:b/>
                <w:szCs w:val="18"/>
              </w:rPr>
              <w:t>Název</w:t>
            </w:r>
          </w:p>
        </w:tc>
      </w:tr>
      <w:tr w:rsidR="00EF776D" w:rsidRPr="00EF776D" w14:paraId="05F1A6CD" w14:textId="77777777" w:rsidTr="00EF776D">
        <w:tc>
          <w:tcPr>
            <w:tcW w:w="4531" w:type="dxa"/>
          </w:tcPr>
          <w:p w14:paraId="6A6606D7" w14:textId="0B45A2C4" w:rsidR="00EF776D" w:rsidRPr="00EF776D" w:rsidRDefault="00EF776D" w:rsidP="00EF776D">
            <w:pPr>
              <w:pStyle w:val="Styl1"/>
              <w:spacing w:before="60" w:after="60" w:line="240" w:lineRule="auto"/>
              <w:rPr>
                <w:szCs w:val="18"/>
              </w:rPr>
            </w:pPr>
            <w:r w:rsidRPr="00EF776D">
              <w:rPr>
                <w:bCs/>
              </w:rPr>
              <w:t>48800000-6</w:t>
            </w:r>
          </w:p>
        </w:tc>
        <w:tc>
          <w:tcPr>
            <w:tcW w:w="4531" w:type="dxa"/>
          </w:tcPr>
          <w:p w14:paraId="67215CCA" w14:textId="13DC682A" w:rsidR="00EF776D" w:rsidRPr="00EF776D" w:rsidRDefault="00EF776D" w:rsidP="00EF776D">
            <w:pPr>
              <w:pStyle w:val="Styl1"/>
              <w:spacing w:before="60" w:after="60" w:line="240" w:lineRule="auto"/>
              <w:rPr>
                <w:szCs w:val="18"/>
              </w:rPr>
            </w:pPr>
            <w:r w:rsidRPr="00EF776D">
              <w:rPr>
                <w:bCs/>
              </w:rPr>
              <w:t>Informační systémy a servery</w:t>
            </w:r>
          </w:p>
        </w:tc>
      </w:tr>
      <w:tr w:rsidR="00EF776D" w14:paraId="5257C655" w14:textId="77777777" w:rsidTr="00EF776D">
        <w:tc>
          <w:tcPr>
            <w:tcW w:w="4531" w:type="dxa"/>
          </w:tcPr>
          <w:p w14:paraId="2298ABCA" w14:textId="53C6D4C1" w:rsidR="00EF776D" w:rsidRPr="00EF776D" w:rsidRDefault="00EF776D" w:rsidP="00EF776D">
            <w:pPr>
              <w:pStyle w:val="Styl1"/>
              <w:spacing w:before="60" w:after="60" w:line="240" w:lineRule="auto"/>
              <w:rPr>
                <w:szCs w:val="18"/>
              </w:rPr>
            </w:pPr>
            <w:r w:rsidRPr="00EF776D">
              <w:rPr>
                <w:bCs/>
              </w:rPr>
              <w:t>48820000-2</w:t>
            </w:r>
          </w:p>
        </w:tc>
        <w:tc>
          <w:tcPr>
            <w:tcW w:w="4531" w:type="dxa"/>
          </w:tcPr>
          <w:p w14:paraId="56032964" w14:textId="35E62022" w:rsidR="00EF776D" w:rsidRDefault="00EF776D" w:rsidP="00EF776D">
            <w:pPr>
              <w:pStyle w:val="Styl1"/>
              <w:spacing w:before="60" w:after="60" w:line="240" w:lineRule="auto"/>
              <w:rPr>
                <w:szCs w:val="18"/>
              </w:rPr>
            </w:pPr>
            <w:r w:rsidRPr="00EF776D">
              <w:rPr>
                <w:bCs/>
              </w:rPr>
              <w:t>Servery</w:t>
            </w:r>
          </w:p>
        </w:tc>
      </w:tr>
    </w:tbl>
    <w:p w14:paraId="5D8BE08B" w14:textId="142C336E" w:rsidR="00D870D0" w:rsidRPr="00285BE9" w:rsidRDefault="00D870D0" w:rsidP="00D870D0">
      <w:pPr>
        <w:pStyle w:val="Nadpis1"/>
        <w:tabs>
          <w:tab w:val="clear" w:pos="567"/>
        </w:tabs>
        <w:ind w:left="432" w:hanging="432"/>
      </w:pPr>
      <w:bookmarkStart w:id="5" w:name="_Toc10636655"/>
      <w:bookmarkEnd w:id="4"/>
      <w:r w:rsidRPr="00285BE9">
        <w:t>Doba a místo plnění veřejných zakáze</w:t>
      </w:r>
      <w:bookmarkStart w:id="6" w:name="_Toc509495950"/>
      <w:bookmarkStart w:id="7" w:name="_Toc528660728"/>
      <w:r w:rsidRPr="00285BE9">
        <w:t>k</w:t>
      </w:r>
      <w:bookmarkEnd w:id="5"/>
      <w:bookmarkEnd w:id="6"/>
      <w:bookmarkEnd w:id="7"/>
    </w:p>
    <w:p w14:paraId="5A3220B1" w14:textId="37AA9446" w:rsidR="00D870D0" w:rsidRPr="00285BE9" w:rsidRDefault="00D870D0" w:rsidP="00D870D0">
      <w:pPr>
        <w:pStyle w:val="Nadpis2"/>
        <w:keepNext/>
        <w:keepLines/>
        <w:widowControl/>
        <w:spacing w:before="120"/>
        <w:ind w:left="142" w:hanging="142"/>
      </w:pPr>
      <w:bookmarkStart w:id="8" w:name="_Toc509495951"/>
      <w:bookmarkStart w:id="9" w:name="_Toc528660729"/>
      <w:r w:rsidRPr="00285BE9">
        <w:t>Předpokládaná doba plnění</w:t>
      </w:r>
      <w:bookmarkEnd w:id="8"/>
      <w:bookmarkEnd w:id="9"/>
    </w:p>
    <w:p w14:paraId="501D0B3B" w14:textId="4AAC9733" w:rsidR="00D870D0" w:rsidRPr="00285BE9" w:rsidRDefault="00D870D0" w:rsidP="00D870D0">
      <w:pPr>
        <w:spacing w:before="120" w:after="120"/>
      </w:pPr>
      <w:r w:rsidRPr="00285BE9">
        <w:t xml:space="preserve">Termín zavedení DNS je podmíněn průběhem zadávacího řízení. </w:t>
      </w:r>
      <w:r w:rsidR="00226268" w:rsidRPr="00432778">
        <w:rPr>
          <w:rFonts w:cs="Segoe UI"/>
          <w:szCs w:val="18"/>
        </w:rPr>
        <w:t xml:space="preserve">DNS bude zaveden na dobu </w:t>
      </w:r>
      <w:r w:rsidR="00226268">
        <w:rPr>
          <w:rFonts w:cs="Segoe UI"/>
          <w:szCs w:val="18"/>
        </w:rPr>
        <w:t>neurčitou;</w:t>
      </w:r>
      <w:r w:rsidR="00226268" w:rsidRPr="00EA3568">
        <w:t xml:space="preserve"> </w:t>
      </w:r>
      <w:r w:rsidR="00226268" w:rsidRPr="00EA3568">
        <w:rPr>
          <w:rFonts w:cs="Segoe UI"/>
          <w:szCs w:val="18"/>
        </w:rPr>
        <w:t>změna doby trvání DNS se však v souladu s § 139 odst. 9 ZZVZ může změnit</w:t>
      </w:r>
      <w:r w:rsidR="00226268" w:rsidRPr="00432778">
        <w:rPr>
          <w:rFonts w:cs="Segoe UI"/>
          <w:szCs w:val="18"/>
        </w:rPr>
        <w:t xml:space="preserve">. </w:t>
      </w:r>
      <w:r w:rsidRPr="00285BE9">
        <w:rPr>
          <w:szCs w:val="18"/>
        </w:rPr>
        <w:t>Doba plnění jednotlivých veřejných zakázek zadávaných v DNS bude vždy stanovena ve výzvě k podání nabídky dle § 141 ZZVZ.</w:t>
      </w:r>
    </w:p>
    <w:p w14:paraId="0544A39D" w14:textId="34E76122" w:rsidR="00D870D0" w:rsidRPr="00285BE9" w:rsidRDefault="00D870D0" w:rsidP="00D870D0">
      <w:pPr>
        <w:pStyle w:val="Nadpis2"/>
        <w:keepNext/>
        <w:keepLines/>
        <w:widowControl/>
        <w:tabs>
          <w:tab w:val="num" w:pos="2420"/>
        </w:tabs>
        <w:ind w:left="709" w:hanging="709"/>
      </w:pPr>
      <w:bookmarkStart w:id="10" w:name="_Toc528660730"/>
      <w:r w:rsidRPr="00285BE9">
        <w:t>Místo plnění veřejných zakázek</w:t>
      </w:r>
      <w:bookmarkEnd w:id="10"/>
    </w:p>
    <w:p w14:paraId="354574F5" w14:textId="77777777" w:rsidR="00D870D0" w:rsidRPr="00285BE9" w:rsidRDefault="00D870D0" w:rsidP="00D870D0">
      <w:pPr>
        <w:spacing w:before="120" w:after="120"/>
      </w:pPr>
      <w:r w:rsidRPr="00285BE9">
        <w:t xml:space="preserve">Místem plnění veřejných zakázek je sídlo zadavatele na adrese Státní pokladna Centrum sdílených služeb, s. p., se sídlem Na Vápence 915/14, Praha 3, PSČ 130 00 </w:t>
      </w:r>
      <w:bookmarkStart w:id="11" w:name="_Hlk528149622"/>
      <w:r w:rsidRPr="00285BE9">
        <w:t>a Středočeský kraj</w:t>
      </w:r>
      <w:bookmarkEnd w:id="11"/>
      <w:r w:rsidRPr="00285BE9">
        <w:t>.</w:t>
      </w:r>
    </w:p>
    <w:p w14:paraId="56DCFE5E" w14:textId="77777777" w:rsidR="00A554A0" w:rsidRPr="00B45E7C" w:rsidRDefault="008C7E9B" w:rsidP="005C4EE2">
      <w:pPr>
        <w:pStyle w:val="Nadpis1"/>
      </w:pPr>
      <w:bookmarkStart w:id="12" w:name="_Toc10636656"/>
      <w:r w:rsidRPr="001271EC">
        <w:lastRenderedPageBreak/>
        <w:t>Kvalifikace dodavatelů</w:t>
      </w:r>
      <w:bookmarkEnd w:id="12"/>
    </w:p>
    <w:p w14:paraId="7717396E" w14:textId="7A2F731B" w:rsidR="00A554A0" w:rsidRPr="00B45E7C" w:rsidRDefault="00A554A0" w:rsidP="005C4EE2">
      <w:pPr>
        <w:pStyle w:val="OdstavecSmlouvy"/>
        <w:keepNext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before="120" w:line="360" w:lineRule="auto"/>
        <w:rPr>
          <w:rFonts w:ascii="Verdana" w:hAnsi="Verdana" w:cs="Segoe UI"/>
          <w:sz w:val="18"/>
          <w:szCs w:val="18"/>
        </w:rPr>
      </w:pPr>
      <w:r w:rsidRPr="00B45E7C">
        <w:rPr>
          <w:rFonts w:ascii="Verdana" w:hAnsi="Verdana" w:cs="Segoe UI"/>
          <w:sz w:val="18"/>
          <w:szCs w:val="18"/>
        </w:rPr>
        <w:t xml:space="preserve">Kvalifikovaným pro plnění veřejné zakázky je v souladu s § 73 </w:t>
      </w:r>
      <w:r w:rsidR="008E39F7">
        <w:rPr>
          <w:rFonts w:ascii="Verdana" w:hAnsi="Verdana" w:cs="Segoe UI"/>
          <w:sz w:val="18"/>
          <w:szCs w:val="18"/>
        </w:rPr>
        <w:t xml:space="preserve">a následně </w:t>
      </w:r>
      <w:r w:rsidRPr="00B45E7C">
        <w:rPr>
          <w:rFonts w:ascii="Verdana" w:hAnsi="Verdana" w:cs="Segoe UI"/>
          <w:sz w:val="18"/>
          <w:szCs w:val="18"/>
        </w:rPr>
        <w:t>ZZVZ dodavatel, který:</w:t>
      </w:r>
    </w:p>
    <w:p w14:paraId="510336A2" w14:textId="19785371" w:rsidR="00A554A0" w:rsidRPr="00EF776D" w:rsidRDefault="00A554A0" w:rsidP="005C4EE2">
      <w:pPr>
        <w:pStyle w:val="OdstavecSmlouvy"/>
        <w:keepNext/>
        <w:widowControl w:val="0"/>
        <w:numPr>
          <w:ilvl w:val="0"/>
          <w:numId w:val="38"/>
        </w:numPr>
        <w:tabs>
          <w:tab w:val="clear" w:pos="426"/>
          <w:tab w:val="clear" w:pos="1701"/>
          <w:tab w:val="left" w:pos="567"/>
        </w:tabs>
        <w:spacing w:before="120" w:line="360" w:lineRule="auto"/>
        <w:ind w:left="0" w:firstLine="0"/>
        <w:contextualSpacing/>
        <w:rPr>
          <w:rFonts w:ascii="Verdana" w:hAnsi="Verdana" w:cs="Segoe UI"/>
          <w:sz w:val="18"/>
          <w:szCs w:val="18"/>
        </w:rPr>
      </w:pPr>
      <w:r w:rsidRPr="00EF776D">
        <w:rPr>
          <w:rFonts w:ascii="Verdana" w:hAnsi="Verdana" w:cs="Segoe UI"/>
          <w:sz w:val="18"/>
          <w:szCs w:val="18"/>
        </w:rPr>
        <w:t xml:space="preserve">prokáže </w:t>
      </w:r>
      <w:r w:rsidRPr="003F2D78">
        <w:rPr>
          <w:rFonts w:ascii="Verdana" w:hAnsi="Verdana" w:cs="Segoe UI"/>
          <w:sz w:val="18"/>
          <w:szCs w:val="18"/>
        </w:rPr>
        <w:t>základní</w:t>
      </w:r>
      <w:r w:rsidRPr="00EF776D">
        <w:rPr>
          <w:rFonts w:ascii="Verdana" w:hAnsi="Verdana" w:cs="Segoe UI"/>
          <w:sz w:val="18"/>
          <w:szCs w:val="18"/>
        </w:rPr>
        <w:t xml:space="preserve"> způsobilost podle § 75 ZZVZ</w:t>
      </w:r>
      <w:r w:rsidR="008E39F7" w:rsidRPr="00EF776D">
        <w:rPr>
          <w:rFonts w:ascii="Verdana" w:hAnsi="Verdana" w:cs="Segoe UI"/>
          <w:sz w:val="18"/>
          <w:szCs w:val="18"/>
        </w:rPr>
        <w:t>;</w:t>
      </w:r>
      <w:r w:rsidR="003943ED" w:rsidRPr="00EF776D">
        <w:rPr>
          <w:rFonts w:ascii="Verdana" w:hAnsi="Verdana" w:cs="Segoe UI"/>
          <w:sz w:val="18"/>
          <w:szCs w:val="18"/>
        </w:rPr>
        <w:t xml:space="preserve"> </w:t>
      </w:r>
    </w:p>
    <w:p w14:paraId="278A857A" w14:textId="1E717D8B" w:rsidR="008E39F7" w:rsidRPr="00EF776D" w:rsidRDefault="00A554A0" w:rsidP="005C4EE2">
      <w:pPr>
        <w:pStyle w:val="OdstavecSmlouvy"/>
        <w:keepNext/>
        <w:widowControl w:val="0"/>
        <w:numPr>
          <w:ilvl w:val="0"/>
          <w:numId w:val="38"/>
        </w:numPr>
        <w:tabs>
          <w:tab w:val="clear" w:pos="426"/>
          <w:tab w:val="clear" w:pos="1701"/>
          <w:tab w:val="left" w:pos="567"/>
        </w:tabs>
        <w:spacing w:before="120" w:line="360" w:lineRule="auto"/>
        <w:ind w:left="0" w:firstLine="0"/>
        <w:contextualSpacing/>
        <w:rPr>
          <w:rFonts w:ascii="Verdana" w:hAnsi="Verdana" w:cs="Segoe UI"/>
          <w:sz w:val="18"/>
          <w:szCs w:val="18"/>
        </w:rPr>
      </w:pPr>
      <w:r w:rsidRPr="00EF776D">
        <w:rPr>
          <w:rFonts w:ascii="Verdana" w:hAnsi="Verdana" w:cs="Segoe UI"/>
          <w:sz w:val="18"/>
          <w:szCs w:val="18"/>
        </w:rPr>
        <w:t xml:space="preserve">prokáže </w:t>
      </w:r>
      <w:r w:rsidRPr="003F2D78">
        <w:rPr>
          <w:rFonts w:ascii="Verdana" w:hAnsi="Verdana" w:cs="Segoe UI"/>
          <w:sz w:val="18"/>
          <w:szCs w:val="18"/>
        </w:rPr>
        <w:t xml:space="preserve">profesní </w:t>
      </w:r>
      <w:r w:rsidRPr="00EF776D">
        <w:rPr>
          <w:rFonts w:ascii="Verdana" w:hAnsi="Verdana" w:cs="Segoe UI"/>
          <w:sz w:val="18"/>
          <w:szCs w:val="18"/>
        </w:rPr>
        <w:t>způsobilost podle § 77 ZZVZ</w:t>
      </w:r>
      <w:r w:rsidR="008E39F7" w:rsidRPr="00EF776D">
        <w:rPr>
          <w:rFonts w:ascii="Verdana" w:hAnsi="Verdana" w:cs="Segoe UI"/>
          <w:sz w:val="18"/>
          <w:szCs w:val="18"/>
        </w:rPr>
        <w:t>;</w:t>
      </w:r>
    </w:p>
    <w:p w14:paraId="35935ECF" w14:textId="529EF6C4" w:rsidR="008E39F7" w:rsidRPr="00EF776D" w:rsidRDefault="008E39F7" w:rsidP="005C4EE2">
      <w:pPr>
        <w:pStyle w:val="OdstavecSmlouvy"/>
        <w:keepNext/>
        <w:widowControl w:val="0"/>
        <w:numPr>
          <w:ilvl w:val="0"/>
          <w:numId w:val="38"/>
        </w:numPr>
        <w:tabs>
          <w:tab w:val="clear" w:pos="426"/>
          <w:tab w:val="clear" w:pos="1701"/>
          <w:tab w:val="left" w:pos="567"/>
        </w:tabs>
        <w:spacing w:before="120" w:line="360" w:lineRule="auto"/>
        <w:ind w:left="0" w:firstLine="0"/>
        <w:contextualSpacing/>
        <w:rPr>
          <w:rFonts w:ascii="Verdana" w:hAnsi="Verdana" w:cs="Segoe UI"/>
          <w:sz w:val="18"/>
          <w:szCs w:val="18"/>
        </w:rPr>
      </w:pPr>
      <w:r w:rsidRPr="00EF776D">
        <w:rPr>
          <w:rFonts w:ascii="Verdana" w:hAnsi="Verdana" w:cs="Segoe UI"/>
          <w:sz w:val="18"/>
          <w:szCs w:val="18"/>
        </w:rPr>
        <w:t xml:space="preserve">prokáže </w:t>
      </w:r>
      <w:r w:rsidR="00BF774D">
        <w:rPr>
          <w:rFonts w:ascii="Verdana" w:hAnsi="Verdana" w:cs="Segoe UI"/>
          <w:sz w:val="18"/>
          <w:szCs w:val="18"/>
        </w:rPr>
        <w:t xml:space="preserve">splnění </w:t>
      </w:r>
      <w:r w:rsidRPr="00EF776D">
        <w:rPr>
          <w:rFonts w:ascii="Verdana" w:hAnsi="Verdana" w:cs="Segoe UI"/>
          <w:sz w:val="18"/>
          <w:szCs w:val="18"/>
        </w:rPr>
        <w:t>technick</w:t>
      </w:r>
      <w:r w:rsidR="00BF774D">
        <w:rPr>
          <w:rFonts w:ascii="Verdana" w:hAnsi="Verdana" w:cs="Segoe UI"/>
          <w:sz w:val="18"/>
          <w:szCs w:val="18"/>
        </w:rPr>
        <w:t>é</w:t>
      </w:r>
      <w:r w:rsidRPr="00EF776D">
        <w:rPr>
          <w:rFonts w:ascii="Verdana" w:hAnsi="Verdana" w:cs="Segoe UI"/>
          <w:sz w:val="18"/>
          <w:szCs w:val="18"/>
        </w:rPr>
        <w:t xml:space="preserve"> kvalifikac</w:t>
      </w:r>
      <w:r w:rsidR="00BF774D">
        <w:rPr>
          <w:rFonts w:ascii="Verdana" w:hAnsi="Verdana" w:cs="Segoe UI"/>
          <w:sz w:val="18"/>
          <w:szCs w:val="18"/>
        </w:rPr>
        <w:t>e</w:t>
      </w:r>
      <w:r w:rsidRPr="00EF776D">
        <w:rPr>
          <w:rFonts w:ascii="Verdana" w:hAnsi="Verdana" w:cs="Segoe UI"/>
          <w:sz w:val="18"/>
          <w:szCs w:val="18"/>
        </w:rPr>
        <w:t>.</w:t>
      </w:r>
    </w:p>
    <w:p w14:paraId="5806E039" w14:textId="77777777" w:rsidR="00A554A0" w:rsidRPr="008E39F7" w:rsidRDefault="00B45E7C" w:rsidP="008E39F7">
      <w:pPr>
        <w:pStyle w:val="Nadpis2"/>
      </w:pPr>
      <w:r w:rsidRPr="008E39F7">
        <w:t>Základní způsobilost dle § 74 ZZVZ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55"/>
      </w:tblGrid>
      <w:tr w:rsidR="00A554A0" w:rsidRPr="000C5440" w14:paraId="0742BD0F" w14:textId="77777777" w:rsidTr="00613732">
        <w:trPr>
          <w:tblHeader/>
        </w:trPr>
        <w:tc>
          <w:tcPr>
            <w:tcW w:w="5315" w:type="dxa"/>
            <w:gridSpan w:val="2"/>
            <w:shd w:val="clear" w:color="auto" w:fill="BFBFBF"/>
          </w:tcPr>
          <w:p w14:paraId="1AD4D8EE" w14:textId="77777777" w:rsidR="00A554A0" w:rsidRPr="00B45E7C" w:rsidRDefault="00A554A0" w:rsidP="00EA7960">
            <w:pPr>
              <w:pStyle w:val="Textkomente"/>
              <w:spacing w:before="60" w:after="6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B45E7C">
              <w:rPr>
                <w:rFonts w:ascii="Verdana" w:hAnsi="Verdana" w:cs="Segoe UI"/>
                <w:b/>
                <w:sz w:val="18"/>
                <w:szCs w:val="18"/>
              </w:rPr>
              <w:t>Způsobilým je dodavatel, který:</w:t>
            </w:r>
          </w:p>
        </w:tc>
        <w:tc>
          <w:tcPr>
            <w:tcW w:w="3855" w:type="dxa"/>
            <w:shd w:val="clear" w:color="auto" w:fill="BFBFBF"/>
          </w:tcPr>
          <w:p w14:paraId="7292DD5A" w14:textId="77777777" w:rsidR="00A554A0" w:rsidRPr="00B45E7C" w:rsidRDefault="00A554A0" w:rsidP="00EA7960">
            <w:pPr>
              <w:pStyle w:val="Textkomente"/>
              <w:spacing w:before="60" w:after="6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B45E7C">
              <w:rPr>
                <w:rFonts w:ascii="Verdana" w:hAnsi="Verdana" w:cs="Segoe UI"/>
                <w:b/>
                <w:sz w:val="18"/>
                <w:szCs w:val="18"/>
              </w:rPr>
              <w:t>Způsob prokázání splnění</w:t>
            </w:r>
          </w:p>
        </w:tc>
      </w:tr>
      <w:tr w:rsidR="00A554A0" w:rsidRPr="000C5440" w14:paraId="11FACD32" w14:textId="77777777" w:rsidTr="00613732">
        <w:tc>
          <w:tcPr>
            <w:tcW w:w="496" w:type="dxa"/>
            <w:vAlign w:val="center"/>
          </w:tcPr>
          <w:p w14:paraId="265BA990" w14:textId="77777777" w:rsidR="00A554A0" w:rsidRPr="00B45E7C" w:rsidRDefault="00A554A0" w:rsidP="00EA7960">
            <w:pPr>
              <w:pStyle w:val="Textkomente"/>
              <w:spacing w:before="60" w:after="60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a)</w:t>
            </w:r>
          </w:p>
        </w:tc>
        <w:tc>
          <w:tcPr>
            <w:tcW w:w="4819" w:type="dxa"/>
            <w:vAlign w:val="center"/>
          </w:tcPr>
          <w:p w14:paraId="2584CD3C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 xml:space="preserve">nebyl v zemi svého sídla v posledních 5 letech před zahájením zadávacího řízení pravomocně odsouzen pro trestný čin uvedený v příloze č. 3 ZZVZ nebo obdobný trestný čin podle právního řádu země sídla dodavatele; k zahlazeným odsouzením se nepřihlíží; </w:t>
            </w:r>
          </w:p>
          <w:p w14:paraId="72C23B0E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14:paraId="20607423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Podává-li nabídku pobočka závodu zahraniční právnické osoby, musí tuto podmínku splňovat tato právnická osoba a vedoucí pobočky závodu;</w:t>
            </w:r>
          </w:p>
          <w:p w14:paraId="2F54137F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      </w:r>
          </w:p>
        </w:tc>
        <w:tc>
          <w:tcPr>
            <w:tcW w:w="3855" w:type="dxa"/>
            <w:vAlign w:val="center"/>
          </w:tcPr>
          <w:p w14:paraId="477CAC21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  <w:r w:rsidRPr="00B45E7C">
              <w:rPr>
                <w:rFonts w:ascii="Verdana" w:hAnsi="Verdana" w:cs="Segoe UI"/>
                <w:i/>
                <w:sz w:val="18"/>
                <w:szCs w:val="18"/>
              </w:rPr>
              <w:t>Výpis z evidence Rejstříku trestů pro každou fyzickou a právnickou osobu, pro kterou je dle ZZVZ a zadávacích podmínek vyžadován.</w:t>
            </w:r>
          </w:p>
          <w:p w14:paraId="619AFD78" w14:textId="77951386" w:rsidR="00A554A0" w:rsidRPr="00B45E7C" w:rsidRDefault="00A554A0" w:rsidP="00EF776D">
            <w:pPr>
              <w:pStyle w:val="Textkomente"/>
              <w:spacing w:before="60" w:after="60"/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  <w:r w:rsidRPr="00B45E7C">
              <w:rPr>
                <w:rFonts w:ascii="Verdana" w:hAnsi="Verdana" w:cs="Segoe UI"/>
                <w:i/>
                <w:sz w:val="18"/>
                <w:szCs w:val="18"/>
              </w:rPr>
              <w:t>K zahraničním osobám viz § 81 ZZVZ.</w:t>
            </w:r>
          </w:p>
        </w:tc>
      </w:tr>
      <w:tr w:rsidR="00A554A0" w:rsidRPr="000C5440" w14:paraId="7B7B4255" w14:textId="77777777" w:rsidTr="00613732">
        <w:tc>
          <w:tcPr>
            <w:tcW w:w="496" w:type="dxa"/>
            <w:vAlign w:val="center"/>
          </w:tcPr>
          <w:p w14:paraId="5D9EC084" w14:textId="77777777" w:rsidR="00A554A0" w:rsidRPr="00B45E7C" w:rsidRDefault="00A554A0" w:rsidP="00EA7960">
            <w:pPr>
              <w:pStyle w:val="Textkomente"/>
              <w:spacing w:before="60" w:after="60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b)</w:t>
            </w:r>
          </w:p>
        </w:tc>
        <w:tc>
          <w:tcPr>
            <w:tcW w:w="4819" w:type="dxa"/>
            <w:vAlign w:val="center"/>
          </w:tcPr>
          <w:p w14:paraId="481063B7" w14:textId="1DE43D18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nemá v České republice ani v zemi svého sídla v evidenci daní zachycen splatný daňový nedoplatek;</w:t>
            </w:r>
          </w:p>
        </w:tc>
        <w:tc>
          <w:tcPr>
            <w:tcW w:w="3855" w:type="dxa"/>
            <w:vAlign w:val="center"/>
          </w:tcPr>
          <w:p w14:paraId="37CE2C03" w14:textId="289FE7D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  <w:r w:rsidRPr="00B45E7C">
              <w:rPr>
                <w:rFonts w:ascii="Verdana" w:hAnsi="Verdana" w:cs="Segoe UI"/>
                <w:i/>
                <w:sz w:val="18"/>
                <w:szCs w:val="18"/>
              </w:rPr>
              <w:t>Potvrzení příslušného finančního úřadu a</w:t>
            </w:r>
            <w:r w:rsidR="003C2030">
              <w:rPr>
                <w:rFonts w:ascii="Verdana" w:hAnsi="Verdana" w:cs="Segoe UI"/>
                <w:i/>
                <w:sz w:val="18"/>
                <w:szCs w:val="18"/>
              </w:rPr>
              <w:t> </w:t>
            </w:r>
            <w:r w:rsidRPr="00B45E7C">
              <w:rPr>
                <w:rFonts w:ascii="Verdana" w:hAnsi="Verdana" w:cs="Segoe UI"/>
                <w:i/>
                <w:sz w:val="18"/>
                <w:szCs w:val="18"/>
              </w:rPr>
              <w:t>ve vztahu ke spotřební dani čestné prohlášení</w:t>
            </w:r>
            <w:r w:rsidRPr="00B45E7C">
              <w:rPr>
                <w:rFonts w:ascii="Verdana" w:hAnsi="Verdana" w:cs="Segoe UI"/>
                <w:bCs/>
                <w:i/>
                <w:iCs/>
                <w:sz w:val="18"/>
                <w:szCs w:val="18"/>
              </w:rPr>
              <w:t xml:space="preserve"> </w:t>
            </w:r>
            <w:r w:rsidRPr="00B45E7C">
              <w:rPr>
                <w:rFonts w:ascii="Verdana" w:hAnsi="Verdana" w:cs="Segoe UI"/>
                <w:i/>
                <w:sz w:val="18"/>
                <w:szCs w:val="18"/>
              </w:rPr>
              <w:t>dodavatele, z něhož jednoznačně vyplývá splnění tohoto kritéria kvalifikace.</w:t>
            </w:r>
          </w:p>
        </w:tc>
      </w:tr>
      <w:tr w:rsidR="00A554A0" w:rsidRPr="000C5440" w14:paraId="04556677" w14:textId="77777777" w:rsidTr="00613732">
        <w:tc>
          <w:tcPr>
            <w:tcW w:w="496" w:type="dxa"/>
            <w:vAlign w:val="center"/>
          </w:tcPr>
          <w:p w14:paraId="42ACAF83" w14:textId="77777777" w:rsidR="00A554A0" w:rsidRPr="00B45E7C" w:rsidRDefault="00A554A0" w:rsidP="00EA7960">
            <w:pPr>
              <w:pStyle w:val="Textkomente"/>
              <w:spacing w:before="60" w:after="60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c)</w:t>
            </w:r>
          </w:p>
        </w:tc>
        <w:tc>
          <w:tcPr>
            <w:tcW w:w="4819" w:type="dxa"/>
            <w:vAlign w:val="center"/>
          </w:tcPr>
          <w:p w14:paraId="75D61F82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nemá v České republice ani v zemi svého sídla splatný nedoplatek na pojistném nebo na penále na veřejné zdravotní pojištění;</w:t>
            </w:r>
          </w:p>
        </w:tc>
        <w:tc>
          <w:tcPr>
            <w:tcW w:w="3855" w:type="dxa"/>
            <w:vAlign w:val="center"/>
          </w:tcPr>
          <w:p w14:paraId="3283C626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  <w:r w:rsidRPr="00B45E7C">
              <w:rPr>
                <w:rFonts w:ascii="Verdana" w:hAnsi="Verdana" w:cs="Segoe UI"/>
                <w:i/>
                <w:sz w:val="18"/>
                <w:szCs w:val="18"/>
              </w:rPr>
              <w:t>Čestné prohlášení dodavatele, z něhož jednoznačně vyplývá splnění tohoto kritéria kvalifikace.</w:t>
            </w:r>
          </w:p>
        </w:tc>
      </w:tr>
      <w:tr w:rsidR="00A554A0" w:rsidRPr="000C5440" w14:paraId="24FAD1F8" w14:textId="77777777" w:rsidTr="00613732">
        <w:tc>
          <w:tcPr>
            <w:tcW w:w="496" w:type="dxa"/>
            <w:vAlign w:val="center"/>
          </w:tcPr>
          <w:p w14:paraId="5B48A1B8" w14:textId="77777777" w:rsidR="00A554A0" w:rsidRPr="00B45E7C" w:rsidRDefault="00A554A0" w:rsidP="00EA7960">
            <w:pPr>
              <w:pStyle w:val="Textkomente"/>
              <w:spacing w:before="60" w:after="60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d)</w:t>
            </w:r>
          </w:p>
        </w:tc>
        <w:tc>
          <w:tcPr>
            <w:tcW w:w="4819" w:type="dxa"/>
            <w:vAlign w:val="center"/>
          </w:tcPr>
          <w:p w14:paraId="0C70FC6B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nemá v České republice ani v zemi svého sídla splatný nedoplatek na pojistném nebo na penále na sociální zabezpečení a příspěvku na státní politiku zaměstnanosti;</w:t>
            </w:r>
          </w:p>
        </w:tc>
        <w:tc>
          <w:tcPr>
            <w:tcW w:w="3855" w:type="dxa"/>
            <w:vAlign w:val="center"/>
          </w:tcPr>
          <w:p w14:paraId="52B5D6B5" w14:textId="59539C03" w:rsidR="00A554A0" w:rsidRPr="00B45E7C" w:rsidRDefault="00A554A0" w:rsidP="00EF776D">
            <w:pPr>
              <w:pStyle w:val="Textkomente"/>
              <w:spacing w:before="60" w:after="60"/>
              <w:jc w:val="both"/>
              <w:rPr>
                <w:rFonts w:ascii="Verdana" w:hAnsi="Verdana" w:cs="Segoe UI"/>
                <w:b/>
                <w:bCs/>
                <w:i/>
                <w:iCs/>
                <w:sz w:val="18"/>
                <w:szCs w:val="18"/>
              </w:rPr>
            </w:pPr>
            <w:r w:rsidRPr="00B45E7C">
              <w:rPr>
                <w:rFonts w:ascii="Verdana" w:hAnsi="Verdana" w:cs="Segoe UI"/>
                <w:i/>
                <w:sz w:val="18"/>
                <w:szCs w:val="18"/>
              </w:rPr>
              <w:t>Potvrzení příslušné okresní správy sociálního zabezpečení.</w:t>
            </w:r>
          </w:p>
        </w:tc>
      </w:tr>
      <w:tr w:rsidR="00A554A0" w:rsidRPr="000C5440" w14:paraId="4D0A7BAD" w14:textId="77777777" w:rsidTr="00613732">
        <w:tc>
          <w:tcPr>
            <w:tcW w:w="496" w:type="dxa"/>
            <w:vAlign w:val="center"/>
          </w:tcPr>
          <w:p w14:paraId="4555E65E" w14:textId="77777777" w:rsidR="00A554A0" w:rsidRPr="00B45E7C" w:rsidRDefault="00A554A0" w:rsidP="00EA7960">
            <w:pPr>
              <w:pStyle w:val="Textkomente"/>
              <w:spacing w:before="60" w:after="60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e)</w:t>
            </w:r>
          </w:p>
        </w:tc>
        <w:tc>
          <w:tcPr>
            <w:tcW w:w="4819" w:type="dxa"/>
            <w:vAlign w:val="center"/>
          </w:tcPr>
          <w:p w14:paraId="0B7384BC" w14:textId="2089388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není v likvidaci, nebylo proti němu vydáno rozhodnutí o úpadku, nebyla vůči němu nařízena nucená správa podle jiného právního předpisu nebo v obdobné situaci podle právního řádu země sídla dodavatele</w:t>
            </w:r>
            <w:r w:rsidR="008E7DAF">
              <w:rPr>
                <w:rFonts w:ascii="Verdana" w:hAnsi="Verdana" w:cs="Segoe UI"/>
                <w:sz w:val="18"/>
                <w:szCs w:val="18"/>
              </w:rPr>
              <w:t>.</w:t>
            </w:r>
          </w:p>
        </w:tc>
        <w:tc>
          <w:tcPr>
            <w:tcW w:w="3855" w:type="dxa"/>
            <w:vAlign w:val="center"/>
          </w:tcPr>
          <w:p w14:paraId="69B7D8F1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bCs/>
                <w:i/>
                <w:iCs/>
                <w:sz w:val="18"/>
                <w:szCs w:val="18"/>
              </w:rPr>
            </w:pPr>
            <w:r w:rsidRPr="00B45E7C">
              <w:rPr>
                <w:rFonts w:ascii="Verdana" w:hAnsi="Verdana" w:cs="Segoe UI"/>
                <w:bCs/>
                <w:i/>
                <w:iCs/>
                <w:sz w:val="18"/>
                <w:szCs w:val="18"/>
              </w:rPr>
              <w:t>Výpis z obchodního rejstříku, nebo čestné prohlášení v případě, že dodavatel není v obchodním rejstříku zapsán.</w:t>
            </w:r>
          </w:p>
        </w:tc>
      </w:tr>
      <w:tr w:rsidR="00A554A0" w:rsidRPr="000C5440" w14:paraId="3BFAAC75" w14:textId="77777777" w:rsidTr="00613732">
        <w:tc>
          <w:tcPr>
            <w:tcW w:w="9170" w:type="dxa"/>
            <w:gridSpan w:val="3"/>
            <w:vAlign w:val="center"/>
          </w:tcPr>
          <w:p w14:paraId="26378BCB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bCs/>
                <w:sz w:val="18"/>
                <w:szCs w:val="18"/>
              </w:rPr>
              <w:t>Doklady prokazující základní způsobilost musí prokazovat splnění požadovaného kritéria způsobilosti nejpozději v době 3 měsíců přede dnem zahájení zadávacího řízení.</w:t>
            </w:r>
          </w:p>
        </w:tc>
      </w:tr>
    </w:tbl>
    <w:p w14:paraId="574A1A82" w14:textId="50E7D081" w:rsidR="00BF774D" w:rsidRDefault="00BF774D" w:rsidP="00BF774D">
      <w:bookmarkStart w:id="13" w:name="_Profesní_kvalifikační_předpoklady"/>
      <w:bookmarkStart w:id="14" w:name="_Ref207324121"/>
      <w:bookmarkEnd w:id="13"/>
    </w:p>
    <w:p w14:paraId="6836D88D" w14:textId="06568FDE" w:rsidR="00BF774D" w:rsidRPr="00BF774D" w:rsidRDefault="00BF774D" w:rsidP="006D03C3">
      <w:r w:rsidRPr="00285BE9">
        <w:rPr>
          <w:szCs w:val="18"/>
        </w:rPr>
        <w:lastRenderedPageBreak/>
        <w:t xml:space="preserve">K prokázání splnění </w:t>
      </w:r>
      <w:r w:rsidRPr="00285BE9">
        <w:rPr>
          <w:szCs w:val="18"/>
          <w:u w:val="single"/>
        </w:rPr>
        <w:t>některých</w:t>
      </w:r>
      <w:r w:rsidRPr="00285BE9">
        <w:rPr>
          <w:szCs w:val="18"/>
        </w:rPr>
        <w:t xml:space="preserve"> kritérií základní způsobilosti dle tohoto článku je dodavatel oprávněn využít vzoru, který je přílohou č. 1 této zadávací dokumentace (</w:t>
      </w:r>
      <w:r w:rsidRPr="00285BE9">
        <w:rPr>
          <w:b/>
          <w:szCs w:val="18"/>
        </w:rPr>
        <w:t>Příloha č. 1 - Vzor čestného prohlášení k prokázání splnění některých kritérií základní způsobilosti dle čl. 4.</w:t>
      </w:r>
      <w:r w:rsidR="009D7FF4">
        <w:rPr>
          <w:b/>
          <w:szCs w:val="18"/>
        </w:rPr>
        <w:t>1</w:t>
      </w:r>
      <w:r w:rsidRPr="00285BE9">
        <w:rPr>
          <w:b/>
          <w:szCs w:val="18"/>
        </w:rPr>
        <w:t xml:space="preserve"> zadávací dokumentace</w:t>
      </w:r>
      <w:r w:rsidRPr="00285BE9">
        <w:rPr>
          <w:szCs w:val="18"/>
        </w:rPr>
        <w:t>).</w:t>
      </w:r>
    </w:p>
    <w:p w14:paraId="1AB6E9CF" w14:textId="163DAE08" w:rsidR="00B45E7C" w:rsidRPr="00B45E7C" w:rsidRDefault="00B45E7C" w:rsidP="008E39F7">
      <w:pPr>
        <w:pStyle w:val="Nadpis2"/>
      </w:pPr>
      <w:r>
        <w:t>Profesní způsobilost dle § 77 ZZVZ</w:t>
      </w:r>
    </w:p>
    <w:bookmarkEnd w:id="14"/>
    <w:p w14:paraId="763473DA" w14:textId="77777777" w:rsidR="00A554A0" w:rsidRPr="00B45E7C" w:rsidRDefault="00A554A0" w:rsidP="00B45E7C">
      <w:pPr>
        <w:pStyle w:val="Styl3"/>
        <w:tabs>
          <w:tab w:val="clear" w:pos="360"/>
        </w:tabs>
        <w:spacing w:after="120" w:line="360" w:lineRule="auto"/>
        <w:ind w:left="0" w:firstLine="0"/>
        <w:rPr>
          <w:rFonts w:ascii="Verdana" w:hAnsi="Verdana" w:cs="Segoe UI"/>
          <w:b w:val="0"/>
          <w:bCs w:val="0"/>
          <w:sz w:val="18"/>
          <w:szCs w:val="18"/>
        </w:rPr>
      </w:pPr>
      <w:r w:rsidRPr="00B45E7C">
        <w:rPr>
          <w:rFonts w:ascii="Verdana" w:hAnsi="Verdana" w:cs="Segoe UI"/>
          <w:b w:val="0"/>
          <w:bCs w:val="0"/>
          <w:sz w:val="18"/>
          <w:szCs w:val="18"/>
        </w:rPr>
        <w:t xml:space="preserve">Splnění profesní způsobilosti prokáže dodavatel, který předloží: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4394"/>
      </w:tblGrid>
      <w:tr w:rsidR="00A554A0" w:rsidRPr="00B45E7C" w14:paraId="303BB3BE" w14:textId="77777777" w:rsidTr="00613732">
        <w:trPr>
          <w:tblHeader/>
        </w:trPr>
        <w:tc>
          <w:tcPr>
            <w:tcW w:w="5315" w:type="dxa"/>
            <w:gridSpan w:val="2"/>
            <w:shd w:val="clear" w:color="auto" w:fill="BFBFBF"/>
          </w:tcPr>
          <w:p w14:paraId="554D613D" w14:textId="77777777" w:rsidR="00A554A0" w:rsidRPr="00B45E7C" w:rsidRDefault="00A554A0" w:rsidP="00EA7960">
            <w:pPr>
              <w:pStyle w:val="Textkomente"/>
              <w:spacing w:before="60" w:after="6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B45E7C">
              <w:rPr>
                <w:rFonts w:ascii="Verdana" w:hAnsi="Verdana" w:cs="Segoe UI"/>
                <w:b/>
                <w:sz w:val="18"/>
                <w:szCs w:val="18"/>
              </w:rPr>
              <w:t>Profesní způsobilost: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1498427F" w14:textId="77777777" w:rsidR="00A554A0" w:rsidRPr="00B45E7C" w:rsidRDefault="00A554A0" w:rsidP="00EA7960">
            <w:pPr>
              <w:pStyle w:val="Textkomente"/>
              <w:spacing w:before="60" w:after="6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B45E7C">
              <w:rPr>
                <w:rFonts w:ascii="Verdana" w:hAnsi="Verdana" w:cs="Segoe UI"/>
                <w:b/>
                <w:sz w:val="18"/>
                <w:szCs w:val="18"/>
              </w:rPr>
              <w:t>Způsob prokázání splnění</w:t>
            </w:r>
          </w:p>
        </w:tc>
      </w:tr>
      <w:tr w:rsidR="00A554A0" w:rsidRPr="00B45E7C" w14:paraId="1B90B6A7" w14:textId="77777777" w:rsidTr="00613732">
        <w:tc>
          <w:tcPr>
            <w:tcW w:w="496" w:type="dxa"/>
            <w:vAlign w:val="center"/>
          </w:tcPr>
          <w:p w14:paraId="7D6B3CF0" w14:textId="77777777" w:rsidR="00A554A0" w:rsidRPr="00B45E7C" w:rsidRDefault="00A554A0" w:rsidP="00EA7960">
            <w:pPr>
              <w:pStyle w:val="Textkomente"/>
              <w:spacing w:before="60" w:after="6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a)</w:t>
            </w:r>
          </w:p>
        </w:tc>
        <w:tc>
          <w:tcPr>
            <w:tcW w:w="4819" w:type="dxa"/>
            <w:vAlign w:val="center"/>
          </w:tcPr>
          <w:p w14:paraId="160DB6E1" w14:textId="4B4A4A5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B45E7C">
              <w:rPr>
                <w:rFonts w:ascii="Verdana" w:hAnsi="Verdana" w:cs="Segoe UI"/>
                <w:sz w:val="18"/>
                <w:szCs w:val="18"/>
              </w:rPr>
              <w:t>výpis z obchodního rejstříku nebo jiné obdobné evidence, pokud jiný právní předpis záp</w:t>
            </w:r>
            <w:r w:rsidR="00B45E7C">
              <w:rPr>
                <w:rFonts w:ascii="Verdana" w:hAnsi="Verdana" w:cs="Segoe UI"/>
                <w:sz w:val="18"/>
                <w:szCs w:val="18"/>
              </w:rPr>
              <w:t>is do takové evidence vyžaduje</w:t>
            </w:r>
            <w:r w:rsidR="008E7DAF">
              <w:rPr>
                <w:rFonts w:ascii="Verdana" w:hAnsi="Verdana" w:cs="Segoe UI"/>
                <w:sz w:val="18"/>
                <w:szCs w:val="18"/>
              </w:rPr>
              <w:t>.</w:t>
            </w:r>
          </w:p>
        </w:tc>
        <w:tc>
          <w:tcPr>
            <w:tcW w:w="4394" w:type="dxa"/>
            <w:vAlign w:val="center"/>
          </w:tcPr>
          <w:p w14:paraId="272D9A99" w14:textId="0A66480F" w:rsidR="00A554A0" w:rsidRPr="00B45E7C" w:rsidRDefault="00A554A0" w:rsidP="00EA7960">
            <w:pPr>
              <w:spacing w:before="60" w:after="60" w:line="240" w:lineRule="auto"/>
              <w:rPr>
                <w:rFonts w:cs="Segoe UI"/>
                <w:i/>
                <w:szCs w:val="18"/>
              </w:rPr>
            </w:pPr>
            <w:r w:rsidRPr="00B45E7C">
              <w:rPr>
                <w:rFonts w:cs="Segoe UI"/>
                <w:i/>
                <w:szCs w:val="18"/>
              </w:rPr>
              <w:t>Výpis z obchodního rejstříku nebo výpis z jiné obdobné evidence, pokud jiný právní předpis zápis do takové evidence vyžaduje</w:t>
            </w:r>
            <w:r w:rsidR="008E7DAF">
              <w:rPr>
                <w:rFonts w:cs="Segoe UI"/>
                <w:i/>
                <w:szCs w:val="18"/>
              </w:rPr>
              <w:t>.</w:t>
            </w:r>
          </w:p>
        </w:tc>
      </w:tr>
      <w:tr w:rsidR="00A554A0" w:rsidRPr="00B45E7C" w14:paraId="5AD9A335" w14:textId="77777777" w:rsidTr="00613732">
        <w:tc>
          <w:tcPr>
            <w:tcW w:w="9709" w:type="dxa"/>
            <w:gridSpan w:val="3"/>
          </w:tcPr>
          <w:p w14:paraId="19BBDAB2" w14:textId="71F15DD6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bCs/>
                <w:sz w:val="18"/>
                <w:szCs w:val="18"/>
              </w:rPr>
            </w:pPr>
            <w:r w:rsidRPr="00B45E7C">
              <w:rPr>
                <w:rFonts w:ascii="Verdana" w:hAnsi="Verdana" w:cs="Segoe UI"/>
                <w:bCs/>
                <w:sz w:val="18"/>
                <w:szCs w:val="18"/>
              </w:rPr>
              <w:t>Výpis z obchodního rejstříku nebo výpis z jiné obdobné evidence</w:t>
            </w:r>
            <w:r w:rsidRPr="00B45E7C" w:rsidDel="00243DC0">
              <w:rPr>
                <w:rFonts w:ascii="Verdana" w:hAnsi="Verdana" w:cs="Segoe UI"/>
                <w:bCs/>
                <w:sz w:val="18"/>
                <w:szCs w:val="18"/>
              </w:rPr>
              <w:t xml:space="preserve"> </w:t>
            </w:r>
            <w:r w:rsidRPr="00B45E7C">
              <w:rPr>
                <w:rFonts w:ascii="Verdana" w:hAnsi="Verdana" w:cs="Segoe UI"/>
                <w:bCs/>
                <w:sz w:val="18"/>
                <w:szCs w:val="18"/>
              </w:rPr>
              <w:t xml:space="preserve">musí prokazovat splnění požadovaného kritéria způsobilosti dle čl. </w:t>
            </w:r>
            <w:r w:rsidR="00481C1F">
              <w:rPr>
                <w:rFonts w:ascii="Verdana" w:hAnsi="Verdana" w:cs="Segoe UI"/>
                <w:bCs/>
                <w:sz w:val="18"/>
                <w:szCs w:val="18"/>
              </w:rPr>
              <w:t>4</w:t>
            </w:r>
            <w:r w:rsidRPr="00B45E7C">
              <w:rPr>
                <w:rFonts w:ascii="Verdana" w:hAnsi="Verdana" w:cs="Segoe UI"/>
                <w:bCs/>
                <w:sz w:val="18"/>
                <w:szCs w:val="18"/>
              </w:rPr>
              <w:t>.2 písm. a) nejpozději v době 3 měsíců přede dnem zahájení zadávacího řízení (tedy nesmí být k okamžiku zahájení zadávacího řízení starší 3 měsíců).</w:t>
            </w:r>
          </w:p>
          <w:p w14:paraId="56C190B7" w14:textId="77777777" w:rsidR="00A554A0" w:rsidRPr="00B45E7C" w:rsidRDefault="00A554A0" w:rsidP="00EA7960">
            <w:pPr>
              <w:pStyle w:val="Textkomente"/>
              <w:spacing w:before="60" w:after="6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B45E7C">
              <w:rPr>
                <w:rFonts w:ascii="Verdana" w:hAnsi="Verdana" w:cs="Segoe UI"/>
                <w:bCs/>
                <w:sz w:val="18"/>
                <w:szCs w:val="18"/>
              </w:rPr>
              <w:t xml:space="preserve">Doklady nemusí dodavatel předložit, pokud </w:t>
            </w:r>
            <w:r w:rsidRPr="00B45E7C">
              <w:rPr>
                <w:rFonts w:ascii="Verdana" w:hAnsi="Verdana" w:cs="Segoe UI"/>
                <w:sz w:val="18"/>
                <w:szCs w:val="18"/>
              </w:rPr>
              <w:t>právní předpisy v zemi jeho sídla obdobnou profesní způsobilost nevyžadují.</w:t>
            </w:r>
          </w:p>
        </w:tc>
      </w:tr>
    </w:tbl>
    <w:p w14:paraId="44DB0020" w14:textId="5D0BD805" w:rsidR="008E39F7" w:rsidRDefault="008E39F7" w:rsidP="008E39F7">
      <w:pPr>
        <w:pStyle w:val="Nadpis2"/>
      </w:pPr>
      <w:bookmarkStart w:id="15" w:name="_Ekonomické_a_finanční"/>
      <w:bookmarkStart w:id="16" w:name="_Technické_kvalifikační_předpoklady"/>
      <w:bookmarkStart w:id="17" w:name="_Toc528137089"/>
      <w:bookmarkEnd w:id="15"/>
      <w:bookmarkEnd w:id="16"/>
      <w:r>
        <w:t>P</w:t>
      </w:r>
      <w:r w:rsidRPr="00F65B28">
        <w:t xml:space="preserve">odmínky prokázání </w:t>
      </w:r>
      <w:r w:rsidR="000B6236">
        <w:t xml:space="preserve">splnění </w:t>
      </w:r>
      <w:r w:rsidRPr="00F65B28">
        <w:t>technické kvalifikace</w:t>
      </w:r>
      <w:bookmarkEnd w:id="17"/>
    </w:p>
    <w:p w14:paraId="20A0A265" w14:textId="6DC74D5C" w:rsidR="008E39F7" w:rsidRDefault="008E39F7" w:rsidP="008E39F7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 xml:space="preserve">Zadavatel </w:t>
      </w:r>
      <w:r w:rsidR="000B6236">
        <w:rPr>
          <w:rFonts w:cs="Arial"/>
          <w:szCs w:val="18"/>
        </w:rPr>
        <w:t>stanovil</w:t>
      </w:r>
      <w:r w:rsidR="000B6236" w:rsidRPr="00F65B28">
        <w:rPr>
          <w:rFonts w:cs="Arial"/>
          <w:szCs w:val="18"/>
        </w:rPr>
        <w:t xml:space="preserve"> </w:t>
      </w:r>
      <w:r w:rsidRPr="00F65B28">
        <w:rPr>
          <w:rFonts w:cs="Arial"/>
          <w:szCs w:val="18"/>
        </w:rPr>
        <w:t>kritéria technické kvalifik</w:t>
      </w:r>
      <w:r>
        <w:rPr>
          <w:rFonts w:cs="Arial"/>
          <w:szCs w:val="18"/>
        </w:rPr>
        <w:t xml:space="preserve">ace za účelem prokázání </w:t>
      </w:r>
      <w:r w:rsidRPr="00F65B28">
        <w:rPr>
          <w:rFonts w:cs="Arial"/>
          <w:szCs w:val="18"/>
        </w:rPr>
        <w:t>odborných schopností a</w:t>
      </w:r>
      <w:r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zkušeností dodavatele, které pokládá za nezbytné pro plnění veřejné zakázky v odpovídající kvalitě. Zadavatel k prokázání kritérií technické kvalifikace požaduje předložit</w:t>
      </w:r>
      <w:r w:rsidR="000B6236">
        <w:rPr>
          <w:rFonts w:cs="Arial"/>
          <w:szCs w:val="18"/>
        </w:rPr>
        <w:t xml:space="preserve"> </w:t>
      </w:r>
      <w:bookmarkStart w:id="18" w:name="_Hlk528142125"/>
      <w:r w:rsidR="000B6236" w:rsidRPr="005E3C36">
        <w:rPr>
          <w:rFonts w:cs="Arial"/>
          <w:b/>
          <w:szCs w:val="18"/>
        </w:rPr>
        <w:t>seznam významných dodávek</w:t>
      </w:r>
      <w:r w:rsidR="000B6236" w:rsidRPr="00B63566">
        <w:rPr>
          <w:rFonts w:cs="Arial"/>
          <w:szCs w:val="18"/>
        </w:rPr>
        <w:t xml:space="preserve">, a to </w:t>
      </w:r>
      <w:bookmarkEnd w:id="18"/>
      <w:r w:rsidR="000B6236" w:rsidRPr="00B63566">
        <w:rPr>
          <w:rFonts w:cs="Arial"/>
          <w:szCs w:val="18"/>
        </w:rPr>
        <w:t>za dále uvedených podmínek</w:t>
      </w:r>
      <w:r w:rsidR="000B6236">
        <w:rPr>
          <w:rFonts w:cs="Arial"/>
          <w:szCs w:val="18"/>
        </w:rPr>
        <w:t>.</w:t>
      </w:r>
    </w:p>
    <w:p w14:paraId="4D82BD34" w14:textId="23772D35" w:rsidR="008E39F7" w:rsidRPr="00991F04" w:rsidRDefault="008E39F7" w:rsidP="008E39F7">
      <w:pPr>
        <w:pStyle w:val="Nadpis3"/>
        <w:spacing w:before="120"/>
      </w:pPr>
      <w:bookmarkStart w:id="19" w:name="_Toc528137090"/>
      <w:r>
        <w:rPr>
          <w:rStyle w:val="Nadpis3Char"/>
          <w:b/>
        </w:rPr>
        <w:t>S</w:t>
      </w:r>
      <w:r w:rsidRPr="00987533">
        <w:rPr>
          <w:rStyle w:val="Nadpis3Char"/>
          <w:b/>
        </w:rPr>
        <w:t xml:space="preserve">eznam </w:t>
      </w:r>
      <w:r w:rsidRPr="00EE4E1C">
        <w:rPr>
          <w:rStyle w:val="Nadpis3Char"/>
          <w:b/>
          <w:bCs/>
        </w:rPr>
        <w:t>významných</w:t>
      </w:r>
      <w:r w:rsidRPr="00987533">
        <w:rPr>
          <w:rStyle w:val="Nadpis3Char"/>
          <w:b/>
        </w:rPr>
        <w:t xml:space="preserve"> </w:t>
      </w:r>
      <w:r w:rsidR="00786138">
        <w:rPr>
          <w:rStyle w:val="Nadpis3Char"/>
          <w:b/>
        </w:rPr>
        <w:t>dodávek</w:t>
      </w:r>
      <w:r w:rsidR="00786138" w:rsidRPr="00987533">
        <w:rPr>
          <w:rStyle w:val="Nadpis3Char"/>
          <w:b/>
        </w:rPr>
        <w:t xml:space="preserve"> </w:t>
      </w:r>
      <w:r w:rsidRPr="000C1BDE">
        <w:rPr>
          <w:rStyle w:val="Nadpis3Char"/>
        </w:rPr>
        <w:t xml:space="preserve">(dále </w:t>
      </w:r>
      <w:r w:rsidR="00357820">
        <w:rPr>
          <w:rStyle w:val="Nadpis3Char"/>
        </w:rPr>
        <w:t>též jen</w:t>
      </w:r>
      <w:r w:rsidR="00357820" w:rsidRPr="000C1BDE">
        <w:rPr>
          <w:rStyle w:val="Nadpis3Char"/>
        </w:rPr>
        <w:t xml:space="preserve"> </w:t>
      </w:r>
      <w:r w:rsidRPr="000C1BDE">
        <w:rPr>
          <w:rStyle w:val="Nadpis3Char"/>
        </w:rPr>
        <w:t>„</w:t>
      </w:r>
      <w:r w:rsidR="00357820" w:rsidRPr="003F2D78">
        <w:rPr>
          <w:rStyle w:val="Nadpis3Char"/>
          <w:i/>
          <w:iCs/>
        </w:rPr>
        <w:t xml:space="preserve">referenční </w:t>
      </w:r>
      <w:r w:rsidRPr="003F2D78">
        <w:rPr>
          <w:rStyle w:val="Nadpis3Char"/>
          <w:i/>
          <w:iCs/>
        </w:rPr>
        <w:t>zakázk</w:t>
      </w:r>
      <w:r w:rsidR="00357820" w:rsidRPr="003F2D78">
        <w:rPr>
          <w:rStyle w:val="Nadpis3Char"/>
          <w:i/>
          <w:iCs/>
        </w:rPr>
        <w:t>a</w:t>
      </w:r>
      <w:r w:rsidRPr="000C1BDE">
        <w:rPr>
          <w:rStyle w:val="Nadpis3Char"/>
        </w:rPr>
        <w:t>“)</w:t>
      </w:r>
      <w:r>
        <w:rPr>
          <w:rStyle w:val="Nadpis3Char"/>
          <w:b/>
        </w:rPr>
        <w:t xml:space="preserve"> poskytnutých</w:t>
      </w:r>
      <w:r w:rsidRPr="00987533">
        <w:t xml:space="preserve"> dodavatelem </w:t>
      </w:r>
      <w:r>
        <w:t>za</w:t>
      </w:r>
      <w:r w:rsidRPr="00987533">
        <w:t xml:space="preserve"> poslední</w:t>
      </w:r>
      <w:r>
        <w:t xml:space="preserve"> tři (3) roky </w:t>
      </w:r>
      <w:r w:rsidRPr="00991F04">
        <w:t>před zahájením tohoto zadávacího řízení včetně uvedení ceny a doby jejich poskytnutí a identifikace objednatele.</w:t>
      </w:r>
      <w:bookmarkEnd w:id="19"/>
      <w:r w:rsidRPr="00991F04">
        <w:t xml:space="preserve"> </w:t>
      </w:r>
    </w:p>
    <w:p w14:paraId="2BA15CCB" w14:textId="32933566" w:rsidR="008E39F7" w:rsidRPr="00786138" w:rsidRDefault="008E39F7" w:rsidP="006D03C3">
      <w:bookmarkStart w:id="20" w:name="_Toc528137091"/>
      <w:r w:rsidRPr="00786138">
        <w:t xml:space="preserve">Seznam významných </w:t>
      </w:r>
      <w:r w:rsidR="00786138">
        <w:t>dodávek</w:t>
      </w:r>
      <w:r w:rsidR="00786138" w:rsidRPr="00786138">
        <w:t xml:space="preserve"> </w:t>
      </w:r>
      <w:r w:rsidRPr="00786138">
        <w:t>bude zpracovaný formou čestného prohlášení dodavatele s uvedením:</w:t>
      </w:r>
      <w:bookmarkEnd w:id="20"/>
    </w:p>
    <w:p w14:paraId="6871969C" w14:textId="02E9F9D1" w:rsidR="008E39F7" w:rsidRPr="00991F04" w:rsidRDefault="008E39F7" w:rsidP="008E39F7">
      <w:pPr>
        <w:widowControl w:val="0"/>
        <w:numPr>
          <w:ilvl w:val="0"/>
          <w:numId w:val="4"/>
        </w:numPr>
        <w:spacing w:before="120" w:after="120"/>
        <w:ind w:left="1418" w:hanging="284"/>
        <w:contextualSpacing/>
        <w:rPr>
          <w:rFonts w:cs="Calibri"/>
          <w:szCs w:val="18"/>
        </w:rPr>
      </w:pPr>
      <w:r w:rsidRPr="00991F04">
        <w:rPr>
          <w:rFonts w:cs="Calibri"/>
          <w:szCs w:val="18"/>
        </w:rPr>
        <w:t xml:space="preserve">identifikace objednatele, pro kterého byla referenční </w:t>
      </w:r>
      <w:r w:rsidR="00357820">
        <w:rPr>
          <w:rFonts w:cs="Calibri"/>
          <w:szCs w:val="18"/>
        </w:rPr>
        <w:t xml:space="preserve">zakázka </w:t>
      </w:r>
      <w:r w:rsidRPr="00991F04">
        <w:rPr>
          <w:rFonts w:cs="Calibri"/>
          <w:szCs w:val="18"/>
        </w:rPr>
        <w:t xml:space="preserve">realizována, vč. uvedení kontaktní osoby (jména a příjmení) příslušného objednatele referenční </w:t>
      </w:r>
      <w:r w:rsidR="00357820">
        <w:rPr>
          <w:rFonts w:cs="Calibri"/>
          <w:szCs w:val="18"/>
        </w:rPr>
        <w:t>zakázky</w:t>
      </w:r>
      <w:r w:rsidR="00357820" w:rsidRPr="00991F04">
        <w:rPr>
          <w:rFonts w:cs="Calibri"/>
          <w:szCs w:val="18"/>
        </w:rPr>
        <w:t xml:space="preserve"> </w:t>
      </w:r>
      <w:r w:rsidRPr="00991F04">
        <w:rPr>
          <w:rFonts w:cs="Calibri"/>
          <w:szCs w:val="18"/>
        </w:rPr>
        <w:t xml:space="preserve">a kontaktních údajů na tuto osobu, u které bude možné údaje </w:t>
      </w:r>
      <w:r w:rsidR="00357820">
        <w:rPr>
          <w:rFonts w:cs="Calibri"/>
          <w:szCs w:val="18"/>
        </w:rPr>
        <w:t>o </w:t>
      </w:r>
      <w:r w:rsidRPr="00991F04">
        <w:rPr>
          <w:rFonts w:cs="Calibri"/>
          <w:szCs w:val="18"/>
        </w:rPr>
        <w:t xml:space="preserve">referenční </w:t>
      </w:r>
      <w:r w:rsidR="00357820">
        <w:rPr>
          <w:rFonts w:cs="Calibri"/>
          <w:szCs w:val="18"/>
        </w:rPr>
        <w:t>zakázce</w:t>
      </w:r>
      <w:r w:rsidR="00357820" w:rsidRPr="00991F04">
        <w:rPr>
          <w:rFonts w:cs="Calibri"/>
          <w:szCs w:val="18"/>
        </w:rPr>
        <w:t xml:space="preserve"> </w:t>
      </w:r>
      <w:r w:rsidRPr="00991F04">
        <w:rPr>
          <w:rFonts w:cs="Calibri"/>
          <w:szCs w:val="18"/>
        </w:rPr>
        <w:t>ověřit;</w:t>
      </w:r>
    </w:p>
    <w:p w14:paraId="68ABC7B8" w14:textId="7F79603D" w:rsidR="008E39F7" w:rsidRDefault="008E39F7" w:rsidP="008E39F7">
      <w:pPr>
        <w:widowControl w:val="0"/>
        <w:numPr>
          <w:ilvl w:val="0"/>
          <w:numId w:val="4"/>
        </w:numPr>
        <w:spacing w:before="120" w:after="120"/>
        <w:ind w:left="1418" w:hanging="284"/>
        <w:contextualSpacing/>
        <w:rPr>
          <w:rFonts w:cs="Calibri"/>
          <w:szCs w:val="18"/>
        </w:rPr>
      </w:pPr>
      <w:r w:rsidRPr="00991F04">
        <w:rPr>
          <w:rFonts w:cs="Calibri"/>
          <w:szCs w:val="18"/>
        </w:rPr>
        <w:t xml:space="preserve">stručného popisu a rozsahu referenční </w:t>
      </w:r>
      <w:r w:rsidR="00357820">
        <w:rPr>
          <w:rFonts w:cs="Calibri"/>
          <w:szCs w:val="18"/>
        </w:rPr>
        <w:t>zakázky</w:t>
      </w:r>
      <w:r>
        <w:rPr>
          <w:rFonts w:cs="Calibri"/>
          <w:szCs w:val="18"/>
        </w:rPr>
        <w:t>;</w:t>
      </w:r>
    </w:p>
    <w:p w14:paraId="2119D103" w14:textId="59E0852E" w:rsidR="008E39F7" w:rsidRPr="00BC2660" w:rsidRDefault="008E39F7" w:rsidP="008E39F7">
      <w:pPr>
        <w:widowControl w:val="0"/>
        <w:numPr>
          <w:ilvl w:val="0"/>
          <w:numId w:val="4"/>
        </w:numPr>
        <w:spacing w:before="120" w:after="120"/>
        <w:ind w:left="1418" w:hanging="284"/>
        <w:contextualSpacing/>
        <w:rPr>
          <w:rFonts w:cs="Calibri"/>
          <w:szCs w:val="18"/>
        </w:rPr>
      </w:pPr>
      <w:r w:rsidRPr="00991F04">
        <w:rPr>
          <w:rFonts w:cs="Calibri"/>
          <w:szCs w:val="18"/>
        </w:rPr>
        <w:t xml:space="preserve">doby jejího poskytnutí s uvedením minimálně měsíce a roku </w:t>
      </w:r>
      <w:r w:rsidR="00234E70">
        <w:rPr>
          <w:rFonts w:cs="Calibri"/>
          <w:szCs w:val="18"/>
        </w:rPr>
        <w:t>dodání</w:t>
      </w:r>
      <w:r w:rsidRPr="00991F04">
        <w:rPr>
          <w:rFonts w:cs="Calibri"/>
          <w:szCs w:val="18"/>
        </w:rPr>
        <w:t>;</w:t>
      </w:r>
    </w:p>
    <w:p w14:paraId="76741A88" w14:textId="1B624A1A" w:rsidR="008E39F7" w:rsidRDefault="008E39F7" w:rsidP="008E39F7">
      <w:pPr>
        <w:widowControl w:val="0"/>
        <w:numPr>
          <w:ilvl w:val="0"/>
          <w:numId w:val="4"/>
        </w:numPr>
        <w:spacing w:before="120" w:after="120"/>
        <w:ind w:left="1418" w:hanging="284"/>
        <w:contextualSpacing/>
        <w:rPr>
          <w:rFonts w:cs="Calibri"/>
          <w:szCs w:val="18"/>
        </w:rPr>
      </w:pPr>
      <w:r w:rsidRPr="00991F04">
        <w:rPr>
          <w:rFonts w:cs="Calibri"/>
          <w:szCs w:val="18"/>
        </w:rPr>
        <w:t>ceny referenční</w:t>
      </w:r>
      <w:r>
        <w:rPr>
          <w:rFonts w:cs="Calibri"/>
          <w:szCs w:val="18"/>
        </w:rPr>
        <w:t xml:space="preserve"> </w:t>
      </w:r>
      <w:r w:rsidR="00234E70">
        <w:rPr>
          <w:rFonts w:cs="Calibri"/>
          <w:szCs w:val="18"/>
        </w:rPr>
        <w:t>zakázky</w:t>
      </w:r>
      <w:r w:rsidR="00234E70" w:rsidRPr="00991F04">
        <w:rPr>
          <w:rFonts w:cs="Calibri"/>
          <w:szCs w:val="18"/>
        </w:rPr>
        <w:t xml:space="preserve"> </w:t>
      </w:r>
      <w:r w:rsidRPr="00991F04">
        <w:rPr>
          <w:rFonts w:cs="Calibri"/>
          <w:szCs w:val="18"/>
        </w:rPr>
        <w:t>v Kč bez DPH</w:t>
      </w:r>
      <w:r>
        <w:rPr>
          <w:rFonts w:cs="Calibri"/>
          <w:szCs w:val="18"/>
        </w:rPr>
        <w:t>;</w:t>
      </w:r>
    </w:p>
    <w:p w14:paraId="5F2AC752" w14:textId="31C2D14C" w:rsidR="008E39F7" w:rsidRPr="00BC2660" w:rsidRDefault="008E39F7" w:rsidP="008E39F7">
      <w:pPr>
        <w:widowControl w:val="0"/>
        <w:numPr>
          <w:ilvl w:val="0"/>
          <w:numId w:val="4"/>
        </w:numPr>
        <w:spacing w:before="120" w:after="120"/>
        <w:ind w:left="1418" w:hanging="284"/>
        <w:contextualSpacing/>
        <w:rPr>
          <w:rFonts w:cs="Calibri"/>
          <w:szCs w:val="18"/>
        </w:rPr>
      </w:pPr>
      <w:r>
        <w:rPr>
          <w:rFonts w:cs="Calibri"/>
          <w:szCs w:val="18"/>
        </w:rPr>
        <w:t xml:space="preserve">místo </w:t>
      </w:r>
      <w:r w:rsidR="006321D0">
        <w:rPr>
          <w:rFonts w:cs="Calibri"/>
          <w:szCs w:val="18"/>
        </w:rPr>
        <w:t>dodání předmětu</w:t>
      </w:r>
      <w:r>
        <w:rPr>
          <w:rFonts w:cs="Calibri"/>
          <w:szCs w:val="18"/>
        </w:rPr>
        <w:t xml:space="preserve"> referenční </w:t>
      </w:r>
      <w:r w:rsidR="006321D0">
        <w:rPr>
          <w:rFonts w:cs="Calibri"/>
          <w:szCs w:val="18"/>
        </w:rPr>
        <w:t>zakázky</w:t>
      </w:r>
      <w:r>
        <w:rPr>
          <w:rFonts w:cs="Calibri"/>
          <w:szCs w:val="18"/>
        </w:rPr>
        <w:t>.</w:t>
      </w:r>
    </w:p>
    <w:p w14:paraId="261E4FD5" w14:textId="5703B77C" w:rsidR="008E39F7" w:rsidRPr="006D03C3" w:rsidRDefault="008E39F7" w:rsidP="008E39F7">
      <w:pPr>
        <w:suppressAutoHyphens/>
        <w:rPr>
          <w:rFonts w:cs="Arial"/>
          <w:b/>
          <w:szCs w:val="18"/>
        </w:rPr>
      </w:pPr>
      <w:bookmarkStart w:id="21" w:name="_Hlk8983480"/>
      <w:r w:rsidRPr="006D03C3">
        <w:rPr>
          <w:rFonts w:cs="Calibri"/>
          <w:b/>
          <w:szCs w:val="18"/>
        </w:rPr>
        <w:t xml:space="preserve">Dodavatel splňuje toto kritérium kvalifikace, pokud za poslední 3 roky před zahájením zadávacího řízení realizoval </w:t>
      </w:r>
      <w:r w:rsidRPr="006D03C3">
        <w:rPr>
          <w:rFonts w:cs="Arial"/>
          <w:b/>
          <w:szCs w:val="18"/>
        </w:rPr>
        <w:t>minimálně 3 významné dodávky HW a SW</w:t>
      </w:r>
      <w:r w:rsidR="006321D0" w:rsidRPr="006D03C3">
        <w:rPr>
          <w:rFonts w:cs="Arial"/>
          <w:b/>
          <w:szCs w:val="18"/>
        </w:rPr>
        <w:t xml:space="preserve"> serverů</w:t>
      </w:r>
      <w:r w:rsidRPr="006D03C3">
        <w:rPr>
          <w:rFonts w:cs="Arial"/>
          <w:b/>
          <w:szCs w:val="18"/>
        </w:rPr>
        <w:t xml:space="preserve"> v rozsahu dodání, instalace a zprovoznění serverů v minimálním celkovém objemu realizovaných dodávek </w:t>
      </w:r>
      <w:r w:rsidR="006D03C3">
        <w:rPr>
          <w:rFonts w:cs="Arial"/>
          <w:b/>
          <w:szCs w:val="18"/>
        </w:rPr>
        <w:t>2</w:t>
      </w:r>
      <w:r w:rsidR="00AB38F2" w:rsidRPr="006D03C3">
        <w:rPr>
          <w:rFonts w:cs="Arial"/>
          <w:b/>
          <w:szCs w:val="18"/>
        </w:rPr>
        <w:t>0 </w:t>
      </w:r>
      <w:r w:rsidRPr="006D03C3">
        <w:rPr>
          <w:rFonts w:cs="Arial"/>
          <w:b/>
          <w:szCs w:val="18"/>
        </w:rPr>
        <w:t>milionů Kč bez DPH, přičemž</w:t>
      </w:r>
    </w:p>
    <w:p w14:paraId="2196E865" w14:textId="37D12833" w:rsidR="008E39F7" w:rsidRDefault="008E39F7" w:rsidP="008E39F7">
      <w:pPr>
        <w:suppressAutoHyphens/>
        <w:rPr>
          <w:rFonts w:cs="Arial"/>
          <w:b/>
          <w:szCs w:val="18"/>
        </w:rPr>
      </w:pPr>
      <w:r w:rsidRPr="006D03C3">
        <w:rPr>
          <w:rFonts w:cs="Arial"/>
          <w:b/>
          <w:szCs w:val="18"/>
        </w:rPr>
        <w:t>-</w:t>
      </w:r>
      <w:r w:rsidRPr="006D03C3">
        <w:rPr>
          <w:rFonts w:cs="Arial"/>
          <w:b/>
          <w:szCs w:val="18"/>
        </w:rPr>
        <w:tab/>
        <w:t xml:space="preserve">alespoň jedna z těchto </w:t>
      </w:r>
      <w:r w:rsidR="00234E70" w:rsidRPr="006D03C3">
        <w:rPr>
          <w:rFonts w:cs="Arial"/>
          <w:b/>
          <w:szCs w:val="18"/>
        </w:rPr>
        <w:t xml:space="preserve">dodavatelem </w:t>
      </w:r>
      <w:r w:rsidRPr="006D03C3">
        <w:rPr>
          <w:rFonts w:cs="Arial"/>
          <w:b/>
          <w:szCs w:val="18"/>
        </w:rPr>
        <w:t xml:space="preserve">uvedených významných dodávek byla ve výši nejméně </w:t>
      </w:r>
      <w:r w:rsidR="006D03C3">
        <w:rPr>
          <w:rFonts w:cs="Arial"/>
          <w:b/>
          <w:szCs w:val="18"/>
        </w:rPr>
        <w:t>8</w:t>
      </w:r>
      <w:r w:rsidRPr="006D03C3">
        <w:rPr>
          <w:rFonts w:cs="Arial"/>
          <w:b/>
          <w:szCs w:val="18"/>
        </w:rPr>
        <w:t xml:space="preserve"> milionů Kč bez DPH.</w:t>
      </w:r>
    </w:p>
    <w:bookmarkEnd w:id="21"/>
    <w:p w14:paraId="324C4649" w14:textId="57BACA6C" w:rsidR="008E39F7" w:rsidRPr="00936E95" w:rsidRDefault="008E39F7" w:rsidP="005C4EE2">
      <w:pPr>
        <w:keepNext/>
        <w:keepLines/>
        <w:suppressAutoHyphens/>
        <w:rPr>
          <w:b/>
          <w:szCs w:val="18"/>
        </w:rPr>
      </w:pPr>
      <w:r w:rsidRPr="0000013C">
        <w:rPr>
          <w:szCs w:val="18"/>
        </w:rPr>
        <w:lastRenderedPageBreak/>
        <w:t xml:space="preserve">K prokázání splnění kritérií technické kvalifikace dle čl. </w:t>
      </w:r>
      <w:r w:rsidR="00247E7E">
        <w:rPr>
          <w:szCs w:val="18"/>
        </w:rPr>
        <w:t>4.3.1</w:t>
      </w:r>
      <w:r w:rsidR="00247E7E" w:rsidRPr="0000013C">
        <w:rPr>
          <w:szCs w:val="18"/>
        </w:rPr>
        <w:t xml:space="preserve"> </w:t>
      </w:r>
      <w:r w:rsidRPr="0000013C">
        <w:rPr>
          <w:szCs w:val="18"/>
        </w:rPr>
        <w:t xml:space="preserve">této zadávací dokumentace je dodavatel oprávněn využít formulář, který je </w:t>
      </w:r>
      <w:r w:rsidRPr="007B135D">
        <w:rPr>
          <w:b/>
          <w:szCs w:val="18"/>
        </w:rPr>
        <w:t xml:space="preserve">přílohou č. </w:t>
      </w:r>
      <w:r w:rsidR="00247E7E">
        <w:rPr>
          <w:b/>
          <w:szCs w:val="18"/>
        </w:rPr>
        <w:t xml:space="preserve">2 </w:t>
      </w:r>
      <w:r w:rsidRPr="007B135D">
        <w:rPr>
          <w:szCs w:val="18"/>
        </w:rPr>
        <w:t>této zadávací</w:t>
      </w:r>
      <w:r w:rsidRPr="00860294">
        <w:rPr>
          <w:szCs w:val="18"/>
        </w:rPr>
        <w:t xml:space="preserve"> dokumentace </w:t>
      </w:r>
      <w:r>
        <w:rPr>
          <w:szCs w:val="18"/>
        </w:rPr>
        <w:t xml:space="preserve">– </w:t>
      </w:r>
      <w:bookmarkStart w:id="22" w:name="_Hlk10637513"/>
      <w:r w:rsidRPr="007B135D">
        <w:rPr>
          <w:b/>
          <w:szCs w:val="18"/>
        </w:rPr>
        <w:t xml:space="preserve">Formulář </w:t>
      </w:r>
      <w:r w:rsidR="00247E7E" w:rsidRPr="00247E7E">
        <w:rPr>
          <w:b/>
          <w:szCs w:val="18"/>
        </w:rPr>
        <w:t>k</w:t>
      </w:r>
      <w:r w:rsidR="00796795">
        <w:rPr>
          <w:b/>
          <w:szCs w:val="18"/>
        </w:rPr>
        <w:t> </w:t>
      </w:r>
      <w:r w:rsidR="00247E7E" w:rsidRPr="00247E7E">
        <w:rPr>
          <w:b/>
          <w:szCs w:val="18"/>
        </w:rPr>
        <w:t>prokázání technické kvalifikace dle čl. 4.</w:t>
      </w:r>
      <w:r w:rsidR="00247E7E">
        <w:rPr>
          <w:b/>
          <w:szCs w:val="18"/>
        </w:rPr>
        <w:t>3.1</w:t>
      </w:r>
      <w:r w:rsidR="00247E7E" w:rsidRPr="00247E7E">
        <w:rPr>
          <w:b/>
          <w:szCs w:val="18"/>
        </w:rPr>
        <w:t xml:space="preserve"> zadávací </w:t>
      </w:r>
      <w:r w:rsidR="00796795" w:rsidRPr="00247E7E">
        <w:rPr>
          <w:b/>
          <w:szCs w:val="18"/>
        </w:rPr>
        <w:t xml:space="preserve">dokumentace </w:t>
      </w:r>
      <w:r w:rsidR="00796795">
        <w:rPr>
          <w:b/>
          <w:szCs w:val="18"/>
        </w:rPr>
        <w:t>– seznam</w:t>
      </w:r>
      <w:r w:rsidRPr="00860294">
        <w:rPr>
          <w:b/>
          <w:szCs w:val="18"/>
        </w:rPr>
        <w:t xml:space="preserve"> významných </w:t>
      </w:r>
      <w:r w:rsidR="00CB0631">
        <w:rPr>
          <w:b/>
          <w:szCs w:val="18"/>
        </w:rPr>
        <w:t>dodávek</w:t>
      </w:r>
      <w:bookmarkEnd w:id="22"/>
      <w:r w:rsidRPr="00936E95">
        <w:rPr>
          <w:b/>
          <w:szCs w:val="18"/>
        </w:rPr>
        <w:t>.</w:t>
      </w:r>
    </w:p>
    <w:p w14:paraId="266EEA9F" w14:textId="095FD950" w:rsidR="00F65B28" w:rsidRPr="008D3D3F" w:rsidRDefault="00A27602" w:rsidP="008D3D3F">
      <w:pPr>
        <w:pStyle w:val="Nadpis1"/>
      </w:pPr>
      <w:bookmarkStart w:id="23" w:name="_Toc10636657"/>
      <w:bookmarkStart w:id="24" w:name="_Toc10636658"/>
      <w:bookmarkStart w:id="25" w:name="_Toc10636659"/>
      <w:bookmarkStart w:id="26" w:name="_Toc10636660"/>
      <w:bookmarkStart w:id="27" w:name="_Toc10636661"/>
      <w:bookmarkStart w:id="28" w:name="_Toc10636670"/>
      <w:bookmarkEnd w:id="23"/>
      <w:bookmarkEnd w:id="24"/>
      <w:bookmarkEnd w:id="25"/>
      <w:bookmarkEnd w:id="26"/>
      <w:bookmarkEnd w:id="27"/>
      <w:r w:rsidRPr="008D3D3F">
        <w:t>Prokazování kvalifikace ve zvláštních případech</w:t>
      </w:r>
      <w:bookmarkEnd w:id="28"/>
    </w:p>
    <w:p w14:paraId="082B9DEC" w14:textId="77777777" w:rsidR="00F65B28" w:rsidRPr="00F65B28" w:rsidRDefault="00521494" w:rsidP="008E39F7">
      <w:pPr>
        <w:pStyle w:val="Nadpis2"/>
      </w:pPr>
      <w:r>
        <w:t>P</w:t>
      </w:r>
      <w:r w:rsidR="00F65B28" w:rsidRPr="00F65B28">
        <w:t>rokazování kvalifikace v </w:t>
      </w:r>
      <w:r w:rsidR="00D649B4">
        <w:t xml:space="preserve">případě podání společné žádosti o účast </w:t>
      </w:r>
      <w:r w:rsidR="00F65B28" w:rsidRPr="00F65B28">
        <w:t xml:space="preserve">více </w:t>
      </w:r>
      <w:r w:rsidR="00F65B28" w:rsidRPr="00A27602">
        <w:t>dodavatelů</w:t>
      </w:r>
    </w:p>
    <w:p w14:paraId="71E52E80" w14:textId="0AF4222C" w:rsidR="003914F4" w:rsidRPr="003914F4" w:rsidRDefault="003914F4" w:rsidP="003914F4">
      <w:pPr>
        <w:suppressAutoHyphens/>
        <w:spacing w:after="120"/>
        <w:rPr>
          <w:rFonts w:cs="Arial"/>
          <w:szCs w:val="18"/>
        </w:rPr>
      </w:pPr>
      <w:r w:rsidRPr="003914F4">
        <w:rPr>
          <w:rFonts w:cs="Arial"/>
          <w:szCs w:val="18"/>
        </w:rPr>
        <w:t>Má-li být předmět veřejné zakázky plněn několika dodavateli společně a za tímto ú</w:t>
      </w:r>
      <w:r>
        <w:rPr>
          <w:rFonts w:cs="Arial"/>
          <w:szCs w:val="18"/>
        </w:rPr>
        <w:t>čelem podávají společnou žádost o účast</w:t>
      </w:r>
      <w:r w:rsidRPr="003914F4">
        <w:rPr>
          <w:rFonts w:cs="Arial"/>
          <w:szCs w:val="18"/>
        </w:rPr>
        <w:t xml:space="preserve">, je každý z dodavatelů povinen prokázat </w:t>
      </w:r>
      <w:r>
        <w:rPr>
          <w:rFonts w:cs="Arial"/>
          <w:szCs w:val="18"/>
        </w:rPr>
        <w:t>splnění základní způsobilosti a </w:t>
      </w:r>
      <w:r w:rsidRPr="003914F4">
        <w:rPr>
          <w:rFonts w:cs="Arial"/>
          <w:szCs w:val="18"/>
        </w:rPr>
        <w:t xml:space="preserve">profesní způsobilosti podle § 77 odst. 1 ZZVZ v plném rozsahu. Splnění </w:t>
      </w:r>
      <w:r w:rsidR="00650CE6">
        <w:rPr>
          <w:rFonts w:cs="Arial"/>
          <w:szCs w:val="18"/>
        </w:rPr>
        <w:t xml:space="preserve">technické </w:t>
      </w:r>
      <w:r w:rsidRPr="003914F4">
        <w:rPr>
          <w:rFonts w:cs="Arial"/>
          <w:szCs w:val="18"/>
        </w:rPr>
        <w:t>kvalifikace podle § 79 ZZVZ musí prokázat všichni dodavatelé společně.</w:t>
      </w:r>
    </w:p>
    <w:p w14:paraId="685811F9" w14:textId="66EEA82C" w:rsidR="003914F4" w:rsidRPr="00091EB3" w:rsidRDefault="003914F4" w:rsidP="003914F4">
      <w:pPr>
        <w:suppressAutoHyphens/>
        <w:spacing w:after="120"/>
        <w:rPr>
          <w:rFonts w:cs="Arial"/>
          <w:szCs w:val="18"/>
        </w:rPr>
      </w:pPr>
      <w:r w:rsidRPr="003914F4">
        <w:rPr>
          <w:rFonts w:cs="Arial"/>
          <w:szCs w:val="18"/>
        </w:rPr>
        <w:t>Zadavatel požaduje, aby v případě společné účasti dodavatelů dodavatelé v</w:t>
      </w:r>
      <w:r w:rsidR="00650CE6">
        <w:rPr>
          <w:rFonts w:cs="Arial"/>
          <w:szCs w:val="18"/>
        </w:rPr>
        <w:t> žádosti o účast</w:t>
      </w:r>
      <w:r w:rsidRPr="003914F4">
        <w:rPr>
          <w:rFonts w:cs="Arial"/>
          <w:szCs w:val="18"/>
        </w:rPr>
        <w:t xml:space="preserve"> doložili, jaké bude rozdělení odpovědnosti za plnění veřejné zakázky. Zadavatel vyžaduje, aby odpovědnost nesli všichni dodavatelé podávající společnou </w:t>
      </w:r>
      <w:r w:rsidR="00650CE6">
        <w:rPr>
          <w:rFonts w:cs="Arial"/>
          <w:szCs w:val="18"/>
        </w:rPr>
        <w:t>žádost o účast</w:t>
      </w:r>
      <w:r w:rsidRPr="003914F4">
        <w:rPr>
          <w:rFonts w:cs="Arial"/>
          <w:szCs w:val="18"/>
        </w:rPr>
        <w:t xml:space="preserve"> společně a nerozdílně. Dodavatel za</w:t>
      </w:r>
      <w:r w:rsidR="008D3D3F">
        <w:rPr>
          <w:rFonts w:cs="Arial"/>
          <w:szCs w:val="18"/>
        </w:rPr>
        <w:t> </w:t>
      </w:r>
      <w:r w:rsidRPr="003914F4">
        <w:rPr>
          <w:rFonts w:cs="Arial"/>
          <w:szCs w:val="18"/>
        </w:rPr>
        <w:t>účelem ověření této skutečnosti doloží v</w:t>
      </w:r>
      <w:r w:rsidR="00650CE6">
        <w:rPr>
          <w:rFonts w:cs="Arial"/>
          <w:szCs w:val="18"/>
        </w:rPr>
        <w:t> žádosti o účast</w:t>
      </w:r>
      <w:r w:rsidRPr="003914F4">
        <w:rPr>
          <w:rFonts w:cs="Arial"/>
          <w:szCs w:val="18"/>
        </w:rPr>
        <w:t xml:space="preserve"> písemný závazek všech těchto dodavatelů.</w:t>
      </w:r>
    </w:p>
    <w:p w14:paraId="3928F0A8" w14:textId="77777777" w:rsidR="00F65B28" w:rsidRPr="00F65B28" w:rsidRDefault="00521494" w:rsidP="008E39F7">
      <w:pPr>
        <w:pStyle w:val="Nadpis2"/>
      </w:pPr>
      <w:r>
        <w:t>P</w:t>
      </w:r>
      <w:r w:rsidR="00F65B28" w:rsidRPr="00F65B28">
        <w:t xml:space="preserve">rokazování kvalifikace </w:t>
      </w:r>
      <w:r w:rsidR="00A27602">
        <w:t>prostřednictvím jiné</w:t>
      </w:r>
      <w:r w:rsidR="00F65B28" w:rsidRPr="00F65B28">
        <w:t xml:space="preserve"> osoby</w:t>
      </w:r>
    </w:p>
    <w:p w14:paraId="625134CD" w14:textId="77777777" w:rsidR="003914F4" w:rsidRPr="00091EB3" w:rsidRDefault="003914F4" w:rsidP="003914F4">
      <w:pPr>
        <w:suppressAutoHyphens/>
        <w:spacing w:after="120"/>
        <w:rPr>
          <w:rFonts w:cs="Arial"/>
          <w:szCs w:val="18"/>
        </w:rPr>
      </w:pPr>
      <w:r w:rsidRPr="00091EB3">
        <w:rPr>
          <w:rFonts w:cs="Arial"/>
          <w:szCs w:val="18"/>
        </w:rPr>
        <w:t xml:space="preserve">Pokud není dodavatel schopen prokázat splnění určité části technické kvalifikace nebo profesní způsobilosti požadované zadavatelem v plném rozsahu, je oprávněn splnění způsobilosti či kvalifikace v chybějícím rozsahu prokázat prostřednictvím jiné osoby (to neplatí v případě profesní způsobilosti podle § 77 odst. 1 ZZVZ). </w:t>
      </w:r>
    </w:p>
    <w:p w14:paraId="606385E5" w14:textId="77777777" w:rsidR="003914F4" w:rsidRPr="00091EB3" w:rsidRDefault="003914F4" w:rsidP="003914F4">
      <w:pPr>
        <w:suppressAutoHyphens/>
        <w:spacing w:after="120"/>
        <w:rPr>
          <w:rFonts w:cs="Arial"/>
          <w:szCs w:val="18"/>
        </w:rPr>
      </w:pPr>
      <w:r w:rsidRPr="00091EB3">
        <w:rPr>
          <w:rFonts w:cs="Arial"/>
          <w:szCs w:val="18"/>
        </w:rPr>
        <w:t>Dodavatel je v takovém případě povinen zadavateli předložit</w:t>
      </w:r>
    </w:p>
    <w:p w14:paraId="651491D5" w14:textId="77777777" w:rsidR="003914F4" w:rsidRPr="00091EB3" w:rsidRDefault="003914F4" w:rsidP="0004640C">
      <w:pPr>
        <w:suppressAutoHyphens/>
        <w:spacing w:after="120"/>
        <w:ind w:left="709" w:hanging="709"/>
        <w:rPr>
          <w:rFonts w:cs="Arial"/>
          <w:szCs w:val="18"/>
        </w:rPr>
      </w:pPr>
      <w:r w:rsidRPr="00091EB3">
        <w:rPr>
          <w:rFonts w:cs="Arial"/>
          <w:szCs w:val="18"/>
        </w:rPr>
        <w:t>a)</w:t>
      </w:r>
      <w:r w:rsidRPr="00091EB3">
        <w:rPr>
          <w:rFonts w:cs="Arial"/>
          <w:szCs w:val="18"/>
        </w:rPr>
        <w:tab/>
        <w:t>doklady prokazující splnění profesní způsobilosti podle § 77 odst. 1 ZZVZ jinou osobou (výpis z obchodního rejstříku či jiné obdobné evidence),</w:t>
      </w:r>
    </w:p>
    <w:p w14:paraId="612B8AF1" w14:textId="77777777" w:rsidR="003914F4" w:rsidRPr="00091EB3" w:rsidRDefault="003914F4" w:rsidP="003914F4">
      <w:pPr>
        <w:suppressAutoHyphens/>
        <w:spacing w:after="120"/>
        <w:rPr>
          <w:rFonts w:cs="Arial"/>
          <w:szCs w:val="18"/>
        </w:rPr>
      </w:pPr>
      <w:r w:rsidRPr="00091EB3">
        <w:rPr>
          <w:rFonts w:cs="Arial"/>
          <w:szCs w:val="18"/>
        </w:rPr>
        <w:t>b)</w:t>
      </w:r>
      <w:r w:rsidRPr="00091EB3">
        <w:rPr>
          <w:rFonts w:cs="Arial"/>
          <w:szCs w:val="18"/>
        </w:rPr>
        <w:tab/>
        <w:t>doklady prokazující splnění chybějící části kvalifikace prostřednictvím jiné osoby,</w:t>
      </w:r>
    </w:p>
    <w:p w14:paraId="5E7E3556" w14:textId="77777777" w:rsidR="003914F4" w:rsidRPr="00091EB3" w:rsidRDefault="003914F4" w:rsidP="003914F4">
      <w:pPr>
        <w:suppressAutoHyphens/>
        <w:spacing w:after="120"/>
        <w:rPr>
          <w:rFonts w:cs="Arial"/>
          <w:szCs w:val="18"/>
        </w:rPr>
      </w:pPr>
      <w:r w:rsidRPr="00091EB3">
        <w:rPr>
          <w:rFonts w:cs="Arial"/>
          <w:szCs w:val="18"/>
        </w:rPr>
        <w:t>c)</w:t>
      </w:r>
      <w:r w:rsidRPr="00091EB3">
        <w:rPr>
          <w:rFonts w:cs="Arial"/>
          <w:szCs w:val="18"/>
        </w:rPr>
        <w:tab/>
        <w:t>doklady o splnění základní způsobilosti § 74 ZZVZ jinou osobou a</w:t>
      </w:r>
    </w:p>
    <w:p w14:paraId="2AD112C3" w14:textId="30231598" w:rsidR="003914F4" w:rsidRPr="00091EB3" w:rsidRDefault="003914F4" w:rsidP="003914F4">
      <w:pPr>
        <w:suppressAutoHyphens/>
        <w:spacing w:after="120"/>
        <w:ind w:left="709" w:hanging="709"/>
        <w:rPr>
          <w:rFonts w:cs="Arial"/>
          <w:szCs w:val="18"/>
        </w:rPr>
      </w:pPr>
      <w:r w:rsidRPr="00091EB3">
        <w:rPr>
          <w:rFonts w:cs="Arial"/>
          <w:szCs w:val="18"/>
        </w:rPr>
        <w:t>d)</w:t>
      </w:r>
      <w:r w:rsidRPr="00091EB3">
        <w:rPr>
          <w:rFonts w:cs="Arial"/>
          <w:szCs w:val="18"/>
        </w:rPr>
        <w:tab/>
        <w:t xml:space="preserve">písemný závazek jiné osoby k poskytnutí plnění určeného </w:t>
      </w:r>
      <w:r>
        <w:rPr>
          <w:rFonts w:cs="Arial"/>
          <w:szCs w:val="18"/>
        </w:rPr>
        <w:t>k plnění veřejné zakázky nebo k </w:t>
      </w:r>
      <w:r w:rsidRPr="00091EB3">
        <w:rPr>
          <w:rFonts w:cs="Arial"/>
          <w:szCs w:val="18"/>
        </w:rPr>
        <w:t>poskytnutí věcí nebo práv, s nimiž bude dodavatel oprávněn disponovat v rámci plnění veřejné zakázky, a to alespoň v rozsahu, v jakém jiná osoba prokázala kvalifikaci za</w:t>
      </w:r>
      <w:r w:rsidR="00F10F6B">
        <w:rPr>
          <w:rFonts w:cs="Arial"/>
          <w:szCs w:val="18"/>
        </w:rPr>
        <w:t> </w:t>
      </w:r>
      <w:r w:rsidRPr="00091EB3">
        <w:rPr>
          <w:rFonts w:cs="Arial"/>
          <w:szCs w:val="18"/>
        </w:rPr>
        <w:t>dodavatele. Má se za to, že tento požadavek je splněn, pokud obsahem písemného závazku jiné osoby je společná a nerozdílná odpovědnost této osoby za plnění veřejné zakázky společně s dodavatelem. Prokazuje-li však dodavatel prostřednictvím jiné osoby kvalifikaci a</w:t>
      </w:r>
      <w:r w:rsidR="003C2030">
        <w:rPr>
          <w:rFonts w:cs="Arial"/>
          <w:szCs w:val="18"/>
        </w:rPr>
        <w:t> </w:t>
      </w:r>
      <w:r w:rsidRPr="00091EB3">
        <w:rPr>
          <w:rFonts w:cs="Arial"/>
          <w:szCs w:val="18"/>
        </w:rPr>
        <w:t>předkládá doklady podle§ 79 odst. 2 písm. a), b) nebo d) ZZVZ vztahující se k</w:t>
      </w:r>
      <w:r w:rsidR="00EA7960">
        <w:rPr>
          <w:rFonts w:cs="Arial"/>
          <w:szCs w:val="18"/>
        </w:rPr>
        <w:t> </w:t>
      </w:r>
      <w:r w:rsidRPr="00091EB3">
        <w:rPr>
          <w:rFonts w:cs="Arial"/>
          <w:szCs w:val="18"/>
        </w:rPr>
        <w:t>takové osobě, musí písemný závazek obsahovat rovněž závazek, že jiná osoba bude vykonávat stavební práce či služby, ke kterým se prokazované kritérium kvalifikace vztahuje.</w:t>
      </w:r>
    </w:p>
    <w:p w14:paraId="64E854F6" w14:textId="75AFB038" w:rsidR="00500899" w:rsidRDefault="003914F4" w:rsidP="003914F4">
      <w:pPr>
        <w:rPr>
          <w:rFonts w:cs="Arial"/>
          <w:szCs w:val="18"/>
        </w:rPr>
      </w:pPr>
      <w:r w:rsidRPr="00091EB3">
        <w:rPr>
          <w:rFonts w:cs="Arial"/>
          <w:szCs w:val="18"/>
        </w:rPr>
        <w:lastRenderedPageBreak/>
        <w:t>Dodavatelé a jiné osoby prokazují (mohou prokázat) kvalifikaci společně.</w:t>
      </w:r>
    </w:p>
    <w:p w14:paraId="401043C0" w14:textId="77777777" w:rsidR="00F65B28" w:rsidRPr="00F65B28" w:rsidRDefault="00F65B28" w:rsidP="008E39F7">
      <w:pPr>
        <w:pStyle w:val="Nadpis2"/>
      </w:pPr>
      <w:r w:rsidRPr="00F65B28">
        <w:t xml:space="preserve">Prokazování </w:t>
      </w:r>
      <w:r w:rsidR="00A27602" w:rsidRPr="00A27602">
        <w:t>způsobilosti</w:t>
      </w:r>
      <w:r w:rsidR="00A27602" w:rsidRPr="00F65B28">
        <w:t xml:space="preserve"> dodavatele</w:t>
      </w:r>
      <w:r w:rsidRPr="00F65B28">
        <w:t xml:space="preserve"> výpisem ze seznamu kvalifikovaných dodavatelů</w:t>
      </w:r>
    </w:p>
    <w:p w14:paraId="4B03E32F" w14:textId="77777777"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Dodavatel může jako doklad prokazující jeho způsobilost předložit výpis ze seznamu kvalifikovaných dodavatelů vydaný provozovatelem seznamu. Předloží-li dodavatel zadavateli výpis ze seznamu kvalifikovaných dodavatelů, tento výpis nahrazuje doklady prokazující:</w:t>
      </w:r>
    </w:p>
    <w:p w14:paraId="6F2F5205" w14:textId="77777777" w:rsidR="00F65B28" w:rsidRPr="00F65B28" w:rsidRDefault="00F65B28" w:rsidP="00336683">
      <w:pPr>
        <w:numPr>
          <w:ilvl w:val="0"/>
          <w:numId w:val="9"/>
        </w:numPr>
        <w:suppressAutoHyphens/>
        <w:ind w:left="567" w:hanging="567"/>
        <w:rPr>
          <w:rFonts w:cs="Arial"/>
          <w:szCs w:val="18"/>
        </w:rPr>
      </w:pPr>
      <w:r w:rsidRPr="00F65B28">
        <w:rPr>
          <w:rFonts w:cs="Arial"/>
          <w:szCs w:val="18"/>
        </w:rPr>
        <w:t xml:space="preserve">profesní způsobilost podle § 77 </w:t>
      </w:r>
      <w:r w:rsidR="00656D74">
        <w:rPr>
          <w:rFonts w:cs="Arial"/>
          <w:szCs w:val="18"/>
        </w:rPr>
        <w:t xml:space="preserve">zákona </w:t>
      </w:r>
      <w:r w:rsidRPr="00F65B28">
        <w:rPr>
          <w:rFonts w:cs="Arial"/>
          <w:szCs w:val="18"/>
        </w:rPr>
        <w:t xml:space="preserve">v tom rozsahu, v jakém údaje ve výpisu ze seznamu kvalifikovaných dodavatelů prokazují splnění kritérií profesní způsobilosti a </w:t>
      </w:r>
    </w:p>
    <w:p w14:paraId="056A82C1" w14:textId="77777777" w:rsidR="00F65B28" w:rsidRPr="00F65B28" w:rsidRDefault="00F65B28" w:rsidP="00336683">
      <w:pPr>
        <w:numPr>
          <w:ilvl w:val="0"/>
          <w:numId w:val="9"/>
        </w:numPr>
        <w:suppressAutoHyphens/>
        <w:ind w:left="567" w:hanging="567"/>
        <w:rPr>
          <w:rFonts w:cs="Arial"/>
          <w:szCs w:val="18"/>
        </w:rPr>
      </w:pPr>
      <w:r w:rsidRPr="00F65B28">
        <w:rPr>
          <w:rFonts w:cs="Arial"/>
          <w:szCs w:val="18"/>
        </w:rPr>
        <w:t>základní způsobilost podle § 74</w:t>
      </w:r>
      <w:r w:rsidR="00656D74">
        <w:rPr>
          <w:rFonts w:cs="Arial"/>
          <w:szCs w:val="18"/>
        </w:rPr>
        <w:t xml:space="preserve"> zákona</w:t>
      </w:r>
      <w:r w:rsidRPr="00F65B28">
        <w:rPr>
          <w:rFonts w:cs="Arial"/>
          <w:szCs w:val="18"/>
        </w:rPr>
        <w:t>.</w:t>
      </w:r>
    </w:p>
    <w:p w14:paraId="6226E02E" w14:textId="77777777"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Zadavatel přijme výpis ze seznamu kvalifikovaných dodavatelů, pokud k poslednímu dni, ke</w:t>
      </w:r>
      <w:r w:rsidR="00A27602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kterému má být prokázána základní způsobilost nebo profesní způsobilost, není výpis ze</w:t>
      </w:r>
      <w:r w:rsidR="00521494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 xml:space="preserve">seznamu kvalifikovaných </w:t>
      </w:r>
      <w:r w:rsidRPr="00123BFB">
        <w:rPr>
          <w:rFonts w:cs="Arial"/>
          <w:szCs w:val="18"/>
        </w:rPr>
        <w:t>dodavatelů starší než 3 měsíce. Zadavatel</w:t>
      </w:r>
      <w:r w:rsidRPr="00F65B28">
        <w:rPr>
          <w:rFonts w:cs="Arial"/>
          <w:szCs w:val="18"/>
        </w:rPr>
        <w:t xml:space="preserve"> nemusí přijmout výpis ze</w:t>
      </w:r>
      <w:r w:rsidR="00521494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seznamu kvalifikovaných dodavatelů, na kterém je vyznačeno zahájení řízení podle § 231 odst. 4</w:t>
      </w:r>
      <w:r w:rsidR="00656D74">
        <w:rPr>
          <w:rFonts w:cs="Arial"/>
          <w:szCs w:val="18"/>
        </w:rPr>
        <w:t xml:space="preserve"> zákona.</w:t>
      </w:r>
      <w:r w:rsidRPr="00F65B28">
        <w:rPr>
          <w:rFonts w:cs="Arial"/>
          <w:szCs w:val="18"/>
        </w:rPr>
        <w:t xml:space="preserve">  Stejně jako výpis ze seznamu kvalifikovaných dodavatelů může dodavatel prokázat kvalifikaci osvědčením, které pochází z jiného členského státu, v němž má dodavatel sídlo, a které je obdobou výpisu ze</w:t>
      </w:r>
      <w:r w:rsidR="00A27602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seznamu kvalifikovaných dodavatelů</w:t>
      </w:r>
      <w:r w:rsidR="00E20D4F">
        <w:rPr>
          <w:rFonts w:cs="Arial"/>
          <w:szCs w:val="18"/>
        </w:rPr>
        <w:t>.</w:t>
      </w:r>
    </w:p>
    <w:p w14:paraId="08733C26" w14:textId="77777777" w:rsidR="00F65B28" w:rsidRPr="00F65B28" w:rsidRDefault="00F65B28" w:rsidP="008E39F7">
      <w:pPr>
        <w:pStyle w:val="Nadpis2"/>
      </w:pPr>
      <w:r w:rsidRPr="00F65B28">
        <w:t xml:space="preserve">Prokazování kvalifikace </w:t>
      </w:r>
      <w:r w:rsidRPr="00A27602">
        <w:t>certifikátem</w:t>
      </w:r>
      <w:r w:rsidRPr="00F65B28">
        <w:t xml:space="preserve"> </w:t>
      </w:r>
    </w:p>
    <w:p w14:paraId="47D745D0" w14:textId="77777777"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Kvalifikaci dodavatele lze prokázat i platným certifikátem vydaným v rámci schváleného systému certifikovaných dodavatelů. Má se za to, že dodavatel je kvalifikovaný v rozsahu uvedeném na</w:t>
      </w:r>
      <w:r w:rsidR="00A27602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certifikátu. Zadavatel bez zvláštních důvodů nebude zpochybňovat údaje uvedené v certifikátu. Stejně jako certifikátem může dodavatel prokázat kvalifikaci osvědčením, které pochází z jiného členského státu, v němž má dodavatel sídlo, a které je obdobou certifikátu vydaného v rámci systému certifikovaných dodavatelů.</w:t>
      </w:r>
    </w:p>
    <w:p w14:paraId="289E0565" w14:textId="77777777" w:rsidR="00F65B28" w:rsidRPr="008D52EB" w:rsidRDefault="00A27602" w:rsidP="008D3D3F">
      <w:pPr>
        <w:pStyle w:val="Nadpis1"/>
      </w:pPr>
      <w:bookmarkStart w:id="29" w:name="_Toc10636671"/>
      <w:r w:rsidRPr="00F65B28">
        <w:t>Doklady o kvalifikaci dodavatele</w:t>
      </w:r>
      <w:bookmarkEnd w:id="29"/>
    </w:p>
    <w:p w14:paraId="5141BC72" w14:textId="77777777" w:rsidR="00F65B28" w:rsidRPr="00F65B28" w:rsidRDefault="00A27602" w:rsidP="008E39F7">
      <w:pPr>
        <w:pStyle w:val="Nadpis2"/>
      </w:pPr>
      <w:r>
        <w:t>F</w:t>
      </w:r>
      <w:r w:rsidR="00F65B28" w:rsidRPr="00F65B28">
        <w:t xml:space="preserve">orma </w:t>
      </w:r>
      <w:r w:rsidR="00F65B28" w:rsidRPr="00A27602">
        <w:t>dokladů</w:t>
      </w:r>
    </w:p>
    <w:p w14:paraId="61E74990" w14:textId="7ABA32BE"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Dodavatel prokáže svoji kvalifikaci předložením kopií dokladů. Dodavatel je ale oprávněn předložit i</w:t>
      </w:r>
      <w:r w:rsidR="004836D6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 xml:space="preserve">originály nebo úředně ověřené kopie těchto dokladů. Dodavatel může vždy nahradit požadované doklady jednotným evropským osvědčením </w:t>
      </w:r>
      <w:r w:rsidR="00500899">
        <w:rPr>
          <w:rFonts w:cs="Arial"/>
          <w:szCs w:val="18"/>
        </w:rPr>
        <w:t xml:space="preserve">pro veřejné zakázky. </w:t>
      </w:r>
      <w:r w:rsidR="008B7A07" w:rsidRPr="008B7A07">
        <w:rPr>
          <w:rFonts w:cs="Segoe UI"/>
          <w:b/>
          <w:szCs w:val="18"/>
          <w:u w:val="single"/>
        </w:rPr>
        <w:t>Zadavatel v souladu s § 86 odst.</w:t>
      </w:r>
      <w:r w:rsidR="00A132EF">
        <w:rPr>
          <w:rFonts w:cs="Segoe UI"/>
          <w:b/>
          <w:szCs w:val="18"/>
          <w:u w:val="single"/>
        </w:rPr>
        <w:t> </w:t>
      </w:r>
      <w:r w:rsidR="008B7A07" w:rsidRPr="008B7A07">
        <w:rPr>
          <w:rFonts w:cs="Segoe UI"/>
          <w:b/>
          <w:szCs w:val="18"/>
          <w:u w:val="single"/>
        </w:rPr>
        <w:t>2 ZZVZ nepřipouští, aby účastník</w:t>
      </w:r>
      <w:r w:rsidR="003C2030">
        <w:rPr>
          <w:rFonts w:cs="Segoe UI"/>
          <w:b/>
          <w:szCs w:val="18"/>
          <w:u w:val="single"/>
        </w:rPr>
        <w:t xml:space="preserve"> zadávacího řízení</w:t>
      </w:r>
      <w:r w:rsidR="008B7A07" w:rsidRPr="008B7A07">
        <w:rPr>
          <w:rFonts w:cs="Segoe UI"/>
          <w:b/>
          <w:szCs w:val="18"/>
          <w:u w:val="single"/>
        </w:rPr>
        <w:t xml:space="preserve"> nahradil předložení dokladů ke kvalifikaci čestným prohlášením.</w:t>
      </w:r>
    </w:p>
    <w:p w14:paraId="00FE0597" w14:textId="77777777" w:rsidR="00F65B28" w:rsidRPr="00A27602" w:rsidRDefault="00A27602" w:rsidP="008E39F7">
      <w:pPr>
        <w:pStyle w:val="Nadpis2"/>
      </w:pPr>
      <w:r w:rsidRPr="00A27602">
        <w:t>Stáří vy</w:t>
      </w:r>
      <w:r w:rsidR="00F65B28" w:rsidRPr="00A27602">
        <w:t>braných dokladů</w:t>
      </w:r>
    </w:p>
    <w:p w14:paraId="2C291107" w14:textId="16E5AA7B" w:rsidR="00F65B28" w:rsidRDefault="00F65B28" w:rsidP="00F65B28">
      <w:pPr>
        <w:pStyle w:val="odstavec"/>
        <w:suppressAutoHyphens/>
        <w:spacing w:before="0" w:line="360" w:lineRule="auto"/>
        <w:ind w:firstLine="0"/>
        <w:rPr>
          <w:rFonts w:ascii="Verdana" w:hAnsi="Verdana" w:cs="Arial"/>
          <w:noProof w:val="0"/>
          <w:sz w:val="18"/>
          <w:szCs w:val="18"/>
        </w:rPr>
      </w:pPr>
      <w:r w:rsidRPr="00F65B28">
        <w:rPr>
          <w:rFonts w:ascii="Verdana" w:hAnsi="Verdana" w:cs="Arial"/>
          <w:noProof w:val="0"/>
          <w:sz w:val="18"/>
          <w:szCs w:val="18"/>
        </w:rPr>
        <w:t>Doklady prokazující základní způsobilost podle § 74 zákona a profesní způsobilost podle § 77 odst. 1 zákona musí prokazovat splnění požadovaného kritéria způsobilosti nejpozději v době 3 měsíců přede dnem zahájení zadávacího řízení.</w:t>
      </w:r>
    </w:p>
    <w:p w14:paraId="3E7F029A" w14:textId="77777777" w:rsidR="00F65B28" w:rsidRPr="00F65B28" w:rsidRDefault="00F65B28" w:rsidP="005C4EE2">
      <w:pPr>
        <w:pStyle w:val="Nadpis2"/>
        <w:keepNext/>
        <w:keepLines/>
      </w:pPr>
      <w:r w:rsidRPr="00A27602">
        <w:lastRenderedPageBreak/>
        <w:t>Rovnocenné</w:t>
      </w:r>
      <w:r w:rsidRPr="00F65B28">
        <w:t xml:space="preserve"> doklady </w:t>
      </w:r>
    </w:p>
    <w:p w14:paraId="299390BF" w14:textId="77777777" w:rsidR="00F65B28" w:rsidRPr="00F65B28" w:rsidRDefault="00F65B28" w:rsidP="005C4EE2">
      <w:pPr>
        <w:pStyle w:val="odstavec"/>
        <w:keepNext/>
        <w:keepLines/>
        <w:suppressAutoHyphens/>
        <w:spacing w:before="0" w:line="360" w:lineRule="auto"/>
        <w:ind w:firstLine="0"/>
        <w:rPr>
          <w:rFonts w:ascii="Verdana" w:hAnsi="Verdana" w:cs="Arial"/>
          <w:noProof w:val="0"/>
          <w:sz w:val="18"/>
          <w:szCs w:val="18"/>
        </w:rPr>
      </w:pPr>
      <w:r w:rsidRPr="00F65B28">
        <w:rPr>
          <w:rFonts w:ascii="Verdana" w:hAnsi="Verdana" w:cs="Arial"/>
          <w:noProof w:val="0"/>
          <w:sz w:val="18"/>
          <w:szCs w:val="18"/>
        </w:rPr>
        <w:t xml:space="preserve">Pokud zadavatel vyžaduje předložení dokladu a dodavatel není z důvodů, které mu nelze přičítat, schopen předložit požadovaný doklad, je oprávněn předložit jiný rovnocenný doklad. </w:t>
      </w:r>
    </w:p>
    <w:p w14:paraId="1D24B36D" w14:textId="77777777" w:rsidR="00F65B28" w:rsidRPr="00F65B28" w:rsidRDefault="00A27602" w:rsidP="008E39F7">
      <w:pPr>
        <w:pStyle w:val="Nadpis2"/>
      </w:pPr>
      <w:r w:rsidRPr="00A27602">
        <w:t>Zahraniční</w:t>
      </w:r>
      <w:r>
        <w:t xml:space="preserve"> d</w:t>
      </w:r>
      <w:r w:rsidR="00F65B28" w:rsidRPr="00F65B28">
        <w:t xml:space="preserve">oklady </w:t>
      </w:r>
    </w:p>
    <w:p w14:paraId="24040D61" w14:textId="7408C5CB" w:rsidR="00F65B28" w:rsidRPr="00F65B28" w:rsidRDefault="00F65B28" w:rsidP="00F65B28">
      <w:pPr>
        <w:pStyle w:val="odstavec"/>
        <w:suppressAutoHyphens/>
        <w:spacing w:before="0" w:line="360" w:lineRule="auto"/>
        <w:ind w:firstLine="0"/>
        <w:rPr>
          <w:rFonts w:ascii="Verdana" w:hAnsi="Verdana" w:cs="Arial"/>
          <w:noProof w:val="0"/>
          <w:sz w:val="18"/>
          <w:szCs w:val="18"/>
        </w:rPr>
      </w:pPr>
      <w:r w:rsidRPr="00F65B28">
        <w:rPr>
          <w:rFonts w:ascii="Verdana" w:hAnsi="Verdana" w:cs="Arial"/>
          <w:noProof w:val="0"/>
          <w:sz w:val="18"/>
          <w:szCs w:val="18"/>
        </w:rPr>
        <w:t>Pokud zákon nebo zadavatel vyžaduje předložení dokladu podle právního řádu České republiky, může dodavatel předložit obdobný doklad podle právního řádu státu, ve kterém se tento doklad vydává; tento doklad dodavatel předloží s překladem do českého jazyka. Doklad ve slovenském jazyce a</w:t>
      </w:r>
      <w:r w:rsidR="003C2030">
        <w:rPr>
          <w:rFonts w:ascii="Verdana" w:hAnsi="Verdana" w:cs="Arial"/>
          <w:noProof w:val="0"/>
          <w:sz w:val="18"/>
          <w:szCs w:val="18"/>
        </w:rPr>
        <w:t> </w:t>
      </w:r>
      <w:r w:rsidRPr="00F65B28">
        <w:rPr>
          <w:rFonts w:ascii="Verdana" w:hAnsi="Verdana" w:cs="Arial"/>
          <w:noProof w:val="0"/>
          <w:sz w:val="18"/>
          <w:szCs w:val="18"/>
        </w:rPr>
        <w:t>doklad o vzdělání v latinském jazyce předkládá dodavatel bez překladu. Pokud se podle příslušného právního řádu požadovaný doklad nevydává, nahradí jej dodavatel čestným prohlášením.</w:t>
      </w:r>
    </w:p>
    <w:p w14:paraId="4A81FF3B" w14:textId="77777777" w:rsidR="00F65B28" w:rsidRPr="00F65B28" w:rsidRDefault="00A27602" w:rsidP="008E39F7">
      <w:pPr>
        <w:pStyle w:val="Nadpis2"/>
      </w:pPr>
      <w:r>
        <w:t>O</w:t>
      </w:r>
      <w:r w:rsidR="00F65B28" w:rsidRPr="00F65B28">
        <w:t xml:space="preserve">dkaz na </w:t>
      </w:r>
      <w:r w:rsidR="001271EC" w:rsidRPr="00A27602">
        <w:t>informace</w:t>
      </w:r>
      <w:r w:rsidR="001271EC" w:rsidRPr="00F65B28">
        <w:t xml:space="preserve"> veřejné</w:t>
      </w:r>
      <w:r w:rsidR="00F65B28" w:rsidRPr="00F65B28">
        <w:t xml:space="preserve"> správy</w:t>
      </w:r>
    </w:p>
    <w:p w14:paraId="78294EBA" w14:textId="7B8E83A0" w:rsidR="00F65B28" w:rsidRPr="00F65B28" w:rsidRDefault="00F65B28" w:rsidP="00F65B28">
      <w:pPr>
        <w:pStyle w:val="odstavec"/>
        <w:suppressAutoHyphens/>
        <w:spacing w:before="0" w:line="360" w:lineRule="auto"/>
        <w:ind w:firstLine="0"/>
        <w:rPr>
          <w:rFonts w:ascii="Verdana" w:hAnsi="Verdana" w:cs="Arial"/>
          <w:noProof w:val="0"/>
          <w:sz w:val="18"/>
          <w:szCs w:val="18"/>
        </w:rPr>
      </w:pPr>
      <w:r w:rsidRPr="00F65B28">
        <w:rPr>
          <w:rFonts w:ascii="Verdana" w:hAnsi="Verdana" w:cs="Arial"/>
          <w:noProof w:val="0"/>
          <w:sz w:val="18"/>
          <w:szCs w:val="18"/>
        </w:rPr>
        <w:t xml:space="preserve">Povinnost předložit doklad může dodavatel splnit i odkazem na </w:t>
      </w:r>
      <w:r w:rsidR="004836D6">
        <w:rPr>
          <w:rFonts w:ascii="Verdana" w:hAnsi="Verdana" w:cs="Arial"/>
          <w:noProof w:val="0"/>
          <w:sz w:val="18"/>
          <w:szCs w:val="18"/>
        </w:rPr>
        <w:t>odpovídající informace vedené v </w:t>
      </w:r>
      <w:r w:rsidRPr="00F65B28">
        <w:rPr>
          <w:rFonts w:ascii="Verdana" w:hAnsi="Verdana" w:cs="Arial"/>
          <w:noProof w:val="0"/>
          <w:sz w:val="18"/>
          <w:szCs w:val="18"/>
        </w:rPr>
        <w:t>informačním systému veřejné správy nebo v obdobném systému vedeném v jiném členském státu, který umožňuje neomezený dálkový přístup. Takový odkaz musí obsahovat internetovou adresu a</w:t>
      </w:r>
      <w:r w:rsidR="003C2030">
        <w:rPr>
          <w:rFonts w:ascii="Verdana" w:hAnsi="Verdana" w:cs="Arial"/>
          <w:noProof w:val="0"/>
          <w:sz w:val="18"/>
          <w:szCs w:val="18"/>
        </w:rPr>
        <w:t> </w:t>
      </w:r>
      <w:r w:rsidRPr="00F65B28">
        <w:rPr>
          <w:rFonts w:ascii="Verdana" w:hAnsi="Verdana" w:cs="Arial"/>
          <w:noProof w:val="0"/>
          <w:sz w:val="18"/>
          <w:szCs w:val="18"/>
        </w:rPr>
        <w:t>údaje pro přihlášení a vyhledání požadované informace.</w:t>
      </w:r>
    </w:p>
    <w:p w14:paraId="63BE1CAB" w14:textId="77777777" w:rsidR="009F7EE7" w:rsidRPr="00713187" w:rsidRDefault="00C826F7" w:rsidP="008D3D3F">
      <w:pPr>
        <w:pStyle w:val="Nadpis1"/>
      </w:pPr>
      <w:bookmarkStart w:id="30" w:name="_Toc10636672"/>
      <w:r>
        <w:t>Podání žádosti o účast</w:t>
      </w:r>
      <w:bookmarkEnd w:id="30"/>
    </w:p>
    <w:p w14:paraId="0F5EC9EE" w14:textId="77777777" w:rsidR="009F7EE7" w:rsidRDefault="009F7EE7" w:rsidP="009F7EE7">
      <w:r>
        <w:t>Z</w:t>
      </w:r>
      <w:r w:rsidRPr="0024770F">
        <w:t xml:space="preserve">adavatel žádá </w:t>
      </w:r>
      <w:r>
        <w:t>dodavatele</w:t>
      </w:r>
      <w:r w:rsidR="00447B78">
        <w:t>, aby žádost o účast</w:t>
      </w:r>
      <w:r w:rsidRPr="0024770F">
        <w:t xml:space="preserve"> byla zpracována v souladu s níže uvedenými požadavky </w:t>
      </w:r>
      <w:r>
        <w:t>z</w:t>
      </w:r>
      <w:r w:rsidRPr="0024770F">
        <w:t>adavatele na formální ú</w:t>
      </w:r>
      <w:r w:rsidR="007042C8">
        <w:t>pravu, strukturu a obsah žádosti o účast</w:t>
      </w:r>
      <w:r w:rsidRPr="0024770F">
        <w:t>.</w:t>
      </w:r>
    </w:p>
    <w:p w14:paraId="427561F6" w14:textId="77777777" w:rsidR="0062526E" w:rsidRPr="0062526E" w:rsidRDefault="00593F8A" w:rsidP="008E39F7">
      <w:pPr>
        <w:pStyle w:val="Nadpis2"/>
      </w:pPr>
      <w:r>
        <w:t>Podmínky pro podání žádosti o účast</w:t>
      </w:r>
      <w:r w:rsidR="0062526E" w:rsidRPr="0062526E">
        <w:t xml:space="preserve"> v elektronické podobě</w:t>
      </w:r>
    </w:p>
    <w:p w14:paraId="321CEA19" w14:textId="6346336B" w:rsidR="00796795" w:rsidRDefault="00796795" w:rsidP="00796795">
      <w:pPr>
        <w:tabs>
          <w:tab w:val="left" w:pos="1620"/>
        </w:tabs>
      </w:pPr>
      <w:r w:rsidRPr="000C5440">
        <w:t>Lhůta pro podání žádostí o účast</w:t>
      </w:r>
      <w:r>
        <w:t xml:space="preserve"> (pro zavedení </w:t>
      </w:r>
      <w:r w:rsidRPr="005B5AD5">
        <w:t>DNS)</w:t>
      </w:r>
      <w:r>
        <w:t xml:space="preserve"> dle </w:t>
      </w:r>
      <w:r w:rsidRPr="007A4D63">
        <w:t xml:space="preserve">termínu uveřejněného v oznámení o zahájení zadávacího řízení ve Věstníku veřejných zakázek a na profilu zadavatele: </w:t>
      </w:r>
      <w:hyperlink r:id="rId15" w:history="1">
        <w:r w:rsidRPr="00BB3D2C">
          <w:rPr>
            <w:rStyle w:val="Hypertextovodkaz"/>
          </w:rPr>
          <w:t>https://mfcr.ezak.cz/profile_display_58.html</w:t>
        </w:r>
      </w:hyperlink>
      <w:r>
        <w:t xml:space="preserve"> .</w:t>
      </w:r>
    </w:p>
    <w:p w14:paraId="3A32F9AB" w14:textId="4537DB0C" w:rsidR="00DA296F" w:rsidRDefault="00DA296F" w:rsidP="00EA7960">
      <w:pPr>
        <w:spacing w:before="120" w:after="120"/>
      </w:pPr>
      <w:r>
        <w:t>Žádost o účast lze podat pouze v elektronické podobě, a to prostřednictvím elektronického nástroje</w:t>
      </w:r>
      <w:r w:rsidR="00EA7960">
        <w:t xml:space="preserve"> </w:t>
      </w:r>
      <w:r>
        <w:t>E-ZAK.</w:t>
      </w:r>
    </w:p>
    <w:p w14:paraId="635B48EE" w14:textId="14AC0D30" w:rsidR="00DA296F" w:rsidRDefault="00DA296F" w:rsidP="00EA7960">
      <w:pPr>
        <w:spacing w:before="120" w:after="120"/>
      </w:pPr>
      <w:r>
        <w:t>Žádost o účast musí být šifrována v souladu s požadavky elektronického nástroje E-ZAK. Podrobné</w:t>
      </w:r>
      <w:r w:rsidR="00EA7960">
        <w:t xml:space="preserve"> </w:t>
      </w:r>
      <w:r>
        <w:t>instrukce elektronického nástroje se nacházejí v „uživatelské příručce“ na internetové adrese</w:t>
      </w:r>
      <w:r w:rsidR="00EA7960">
        <w:t xml:space="preserve"> </w:t>
      </w:r>
      <w:r>
        <w:rPr>
          <w:color w:val="0000FF"/>
        </w:rPr>
        <w:t>https://mfcr.ezak.cz/test_index.html</w:t>
      </w:r>
      <w:r>
        <w:t>.</w:t>
      </w:r>
    </w:p>
    <w:p w14:paraId="6A86BAE9" w14:textId="77777777" w:rsidR="00EA7960" w:rsidRDefault="00DA296F" w:rsidP="00EA7960">
      <w:pPr>
        <w:spacing w:before="120" w:after="120"/>
      </w:pPr>
      <w:r>
        <w:t>Žádost o účast bude účastníkem zadávacího řízení vložena v elektronické podobě do elektronické</w:t>
      </w:r>
      <w:r w:rsidR="00EA7960">
        <w:t xml:space="preserve"> </w:t>
      </w:r>
      <w:r>
        <w:t>žádosti o účast vytvořené v elektronickém nástroji E-ZAK, který zaručuje splnění všech podmínek</w:t>
      </w:r>
      <w:r w:rsidR="00EA7960">
        <w:t xml:space="preserve"> </w:t>
      </w:r>
      <w:r>
        <w:t>bezpečnosti a důvěrnosti vkládaných dat, vč. absolutní nepřístupnosti žádostí o účast na straně</w:t>
      </w:r>
      <w:r w:rsidR="00EA7960">
        <w:t xml:space="preserve"> </w:t>
      </w:r>
      <w:r>
        <w:t>zadavatele před uplynutím stanovené lhůty pro jejich protokolární zpřístupnění.</w:t>
      </w:r>
    </w:p>
    <w:p w14:paraId="3403D3ED" w14:textId="39850D88" w:rsidR="00EA7960" w:rsidRDefault="00DA296F" w:rsidP="00EA7960">
      <w:pPr>
        <w:spacing w:before="120" w:after="120"/>
      </w:pPr>
      <w:r>
        <w:t>Systémové požadavky na PC pro podání a elektronický podpis v aplikaci E-ZAK jsou k dispozici na</w:t>
      </w:r>
      <w:r w:rsidR="00796795">
        <w:t> </w:t>
      </w:r>
      <w:r>
        <w:t xml:space="preserve">internetové adrese </w:t>
      </w:r>
      <w:hyperlink r:id="rId16" w:history="1">
        <w:r w:rsidR="00EA7960" w:rsidRPr="00E53F66">
          <w:rPr>
            <w:rStyle w:val="Hypertextovodkaz"/>
          </w:rPr>
          <w:t>http://www.ezak.cz/faq/pozadavky-na-system</w:t>
        </w:r>
      </w:hyperlink>
      <w:r>
        <w:t>.</w:t>
      </w:r>
    </w:p>
    <w:p w14:paraId="42D583CE" w14:textId="7C5DEE38" w:rsidR="00DA296F" w:rsidRDefault="00DA296F" w:rsidP="00EA7960">
      <w:pPr>
        <w:spacing w:before="120" w:after="120"/>
      </w:pPr>
      <w:r>
        <w:t xml:space="preserve">Adresa pro podání elektronických žádostí o účast je </w:t>
      </w:r>
      <w:hyperlink r:id="rId17" w:history="1">
        <w:r w:rsidR="00EA7960" w:rsidRPr="00E53F66">
          <w:rPr>
            <w:rStyle w:val="Hypertextovodkaz"/>
          </w:rPr>
          <w:t>https://mfcr.ezak.cz/profile_display_58.html</w:t>
        </w:r>
      </w:hyperlink>
      <w:r>
        <w:t>,</w:t>
      </w:r>
      <w:r w:rsidR="00EA7960">
        <w:t xml:space="preserve"> </w:t>
      </w:r>
      <w:r>
        <w:t>prostřednictvím odkazu v sekci této veřejné zakázky.</w:t>
      </w:r>
    </w:p>
    <w:p w14:paraId="1A9F6790" w14:textId="64EFDB22" w:rsidR="00252525" w:rsidRDefault="00BF7687" w:rsidP="00796795">
      <w:pPr>
        <w:pStyle w:val="Styl4"/>
        <w:keepNext/>
        <w:keepLines/>
        <w:rPr>
          <w:rFonts w:cs="TimesNewRomanPSMT"/>
          <w:color w:val="000000"/>
        </w:rPr>
      </w:pPr>
      <w:r>
        <w:lastRenderedPageBreak/>
        <w:t>Žádost o účast</w:t>
      </w:r>
      <w:r w:rsidRPr="0032490A">
        <w:t xml:space="preserve"> musí být zpracována ve všech částech v českém jazyce (výjimku tvoří odborné názvy a údaje). V případě cizojazyčných dokumentů připojí </w:t>
      </w:r>
      <w:r>
        <w:t>dodavatel</w:t>
      </w:r>
      <w:r w:rsidRPr="0032490A">
        <w:t xml:space="preserve"> k dokumentům překlad do českého jazyka. Povinnost připojit k dokladům překlad do českého jazyka se nevztahuje na doklady ve</w:t>
      </w:r>
      <w:r w:rsidR="00A132EF">
        <w:t> </w:t>
      </w:r>
      <w:r w:rsidRPr="0032490A">
        <w:t>slovenském jazyce a na doklady o dosaženém vzdělání v latinském jazyce.</w:t>
      </w:r>
    </w:p>
    <w:p w14:paraId="1118CE51" w14:textId="7A34EE35" w:rsidR="003B7B62" w:rsidRDefault="003B7B62" w:rsidP="008D3D3F">
      <w:pPr>
        <w:pStyle w:val="Nadpis1"/>
      </w:pPr>
      <w:bookmarkStart w:id="31" w:name="_Toc10636673"/>
      <w:r>
        <w:t>Zařazení do zavedeného dynamického nákupního systému</w:t>
      </w:r>
      <w:bookmarkEnd w:id="31"/>
    </w:p>
    <w:p w14:paraId="6925ACB0" w14:textId="7E717B6B" w:rsidR="003B7B62" w:rsidRPr="003B7B62" w:rsidRDefault="003B7B62" w:rsidP="003B7B62">
      <w:pPr>
        <w:pStyle w:val="Styl4"/>
      </w:pPr>
      <w:r w:rsidRPr="00E95E8A">
        <w:t>Zadavatel umožní po celou dobu trvání DNS každému dodavateli podat žádost o účast dle této zadávací dokumentace. Pravidla pro podání žádosti o účast a její posouzení jsou vymezeny v § 140 ZZVZ.</w:t>
      </w:r>
    </w:p>
    <w:p w14:paraId="6298B5AD" w14:textId="77777777" w:rsidR="003B7B62" w:rsidRDefault="003B7B62" w:rsidP="003B7B62">
      <w:pPr>
        <w:pStyle w:val="Styl4"/>
      </w:pPr>
      <w:r w:rsidRPr="00E95E8A">
        <w:t xml:space="preserve">S ohledem na § 140 odst. 1 ZZVZ, podle kterého zadavatel umožní po celou dobu trvání DNS každému dodavateli podat žádost o účast, zadavatel upozorňuje, že </w:t>
      </w:r>
      <w:r w:rsidRPr="00E95E8A">
        <w:rPr>
          <w:bCs/>
        </w:rPr>
        <w:t xml:space="preserve">je možné, aby dodavatelé podali žádost o účast </w:t>
      </w:r>
      <w:r w:rsidRPr="00E95E8A">
        <w:t xml:space="preserve">pomocí elektronického nástroje E-ZAK </w:t>
      </w:r>
      <w:r w:rsidRPr="00613732">
        <w:t>(</w:t>
      </w:r>
      <w:hyperlink r:id="rId18" w:history="1">
        <w:r w:rsidRPr="006D03C3">
          <w:rPr>
            <w:rStyle w:val="Hypertextovodkaz"/>
            <w:iCs w:val="0"/>
          </w:rPr>
          <w:t>https://mfcr.ezak.cz/profile_display_58.html</w:t>
        </w:r>
      </w:hyperlink>
      <w:r w:rsidRPr="00613732">
        <w:t>)</w:t>
      </w:r>
      <w:r w:rsidRPr="00E95E8A">
        <w:t xml:space="preserve"> </w:t>
      </w:r>
      <w:r w:rsidRPr="00E95E8A">
        <w:rPr>
          <w:bCs/>
        </w:rPr>
        <w:t>kdykoliv po celou dobu trvání DNS (po zavedení DNS)</w:t>
      </w:r>
      <w:r w:rsidRPr="00E95E8A">
        <w:t>.</w:t>
      </w:r>
    </w:p>
    <w:p w14:paraId="7FAFA6C1" w14:textId="7C12C764" w:rsidR="003B7B62" w:rsidRPr="00E63782" w:rsidRDefault="003B7B62" w:rsidP="00E63782">
      <w:pPr>
        <w:pStyle w:val="Styl4"/>
      </w:pPr>
      <w:r>
        <w:t xml:space="preserve">V případě, kdy tato zadávací dokumentace obsahuje požadavek na prokázání určitých skutečností na straně dodavatele a/nebo na předložení dokladů a jejich stáří </w:t>
      </w:r>
      <w:r w:rsidRPr="00E95E8A">
        <w:rPr>
          <w:i/>
          <w:iCs w:val="0"/>
        </w:rPr>
        <w:t>ve vazbě na okamžik zahájení zadávacího řízení</w:t>
      </w:r>
      <w:r>
        <w:t xml:space="preserve">, platí odchylně pro dodavatele žádající o zařazení do již zavedeného DNS, že </w:t>
      </w:r>
      <w:r w:rsidRPr="00E95E8A">
        <w:rPr>
          <w:b/>
          <w:iCs w:val="0"/>
        </w:rPr>
        <w:t>tímto okamžikem je podání žádosti o účast.</w:t>
      </w:r>
      <w:r>
        <w:t xml:space="preserve"> </w:t>
      </w:r>
    </w:p>
    <w:p w14:paraId="5CDA8F18" w14:textId="77777777" w:rsidR="00CC0553" w:rsidRPr="00285BE9" w:rsidRDefault="00CC0553" w:rsidP="00CC0553">
      <w:pPr>
        <w:pStyle w:val="Nadpis1"/>
        <w:tabs>
          <w:tab w:val="clear" w:pos="567"/>
        </w:tabs>
        <w:ind w:left="432" w:hanging="432"/>
      </w:pPr>
      <w:bookmarkStart w:id="32" w:name="_Toc528625241"/>
      <w:bookmarkStart w:id="33" w:name="_Toc10636674"/>
      <w:r>
        <w:t>Hodnocení</w:t>
      </w:r>
      <w:bookmarkEnd w:id="32"/>
      <w:bookmarkEnd w:id="33"/>
    </w:p>
    <w:p w14:paraId="47B06B67" w14:textId="77777777" w:rsidR="00CC0553" w:rsidRPr="00BD1A42" w:rsidRDefault="00CC0553" w:rsidP="00CC0553">
      <w:pPr>
        <w:pStyle w:val="Styl4"/>
      </w:pPr>
      <w:bookmarkStart w:id="34" w:name="_Toc505346255"/>
      <w:bookmarkStart w:id="35" w:name="_Toc505347249"/>
      <w:bookmarkStart w:id="36" w:name="_Toc325009689"/>
      <w:bookmarkStart w:id="37" w:name="_Toc325026977"/>
      <w:r>
        <w:t>Při zavádění DNS nejsou nabídky hodnoceny. při zadávání jednotlivých veřejných zakázek v DNS bude h</w:t>
      </w:r>
      <w:r w:rsidRPr="00BD1A42">
        <w:t xml:space="preserve">odnocení nabídek provedeno v souladu s ustanovením § 114 a násl. ZZVZ podle ekonomické výhodnosti nabídek, na základě </w:t>
      </w:r>
      <w:r w:rsidRPr="00524D88">
        <w:rPr>
          <w:b/>
        </w:rPr>
        <w:t>nejnižší nabídkové ceny</w:t>
      </w:r>
      <w:r w:rsidRPr="00BD1A42">
        <w:t>.</w:t>
      </w:r>
      <w:bookmarkEnd w:id="34"/>
      <w:bookmarkEnd w:id="35"/>
    </w:p>
    <w:p w14:paraId="56152688" w14:textId="77777777" w:rsidR="00CC0553" w:rsidRPr="00BD1A42" w:rsidRDefault="00CC0553" w:rsidP="00CC0553">
      <w:pPr>
        <w:pStyle w:val="Styl4"/>
      </w:pPr>
      <w:r w:rsidRPr="00BD1A42">
        <w:t xml:space="preserve">Předmětem hodnocení bude celková nabídková cena </w:t>
      </w:r>
      <w:r w:rsidRPr="00524D88">
        <w:rPr>
          <w:b/>
        </w:rPr>
        <w:t>v Kč bez DPH</w:t>
      </w:r>
      <w:r>
        <w:t xml:space="preserve"> </w:t>
      </w:r>
      <w:r w:rsidRPr="00BD1A42">
        <w:t xml:space="preserve">stanovená </w:t>
      </w:r>
      <w:r>
        <w:t>dodavatelem v jeho nabídce v souladu s výzvou k podání nabídky</w:t>
      </w:r>
      <w:r w:rsidRPr="00BD1A42">
        <w:t>. Jako nejvýhodnější nabídka bude vyhodnocena nabídka s nejnižší celkovou nabídkovou cenou v Kč bez DPH.</w:t>
      </w:r>
    </w:p>
    <w:p w14:paraId="047420A0" w14:textId="77777777" w:rsidR="00CC0553" w:rsidRPr="00285BE9" w:rsidRDefault="00CC0553" w:rsidP="00CC0553">
      <w:pPr>
        <w:spacing w:before="120" w:after="120"/>
      </w:pPr>
      <w:r w:rsidRPr="00E859B8">
        <w:t>V případě rovnosti cen rozhodne los.</w:t>
      </w:r>
      <w:bookmarkEnd w:id="36"/>
      <w:bookmarkEnd w:id="37"/>
    </w:p>
    <w:p w14:paraId="7054AF6A" w14:textId="77777777" w:rsidR="007B45EE" w:rsidRDefault="00110720" w:rsidP="008D3D3F">
      <w:pPr>
        <w:pStyle w:val="Nadpis1"/>
      </w:pPr>
      <w:bookmarkStart w:id="38" w:name="_Toc10636675"/>
      <w:r>
        <w:t>Další podmínky a požadavky zadavatele</w:t>
      </w:r>
      <w:bookmarkEnd w:id="38"/>
    </w:p>
    <w:p w14:paraId="7BDA66DF" w14:textId="3EAC8517" w:rsidR="00110720" w:rsidRPr="00FA4C77" w:rsidRDefault="00110720" w:rsidP="00110720">
      <w:pPr>
        <w:pStyle w:val="Styl4"/>
      </w:pPr>
      <w:r w:rsidRPr="00FA4C77">
        <w:t xml:space="preserve">V případě, že v době trvání DNS dojde ke změně skutečností a údajů </w:t>
      </w:r>
      <w:r w:rsidR="0043306A">
        <w:t>o kvalifikaci účastníka</w:t>
      </w:r>
      <w:r w:rsidR="003C2030">
        <w:t xml:space="preserve"> zadávacího řízení</w:t>
      </w:r>
      <w:r w:rsidRPr="00FA4C77">
        <w:t>, je účastník zadávacího řízení povinen o této změně zadavatele informovat dle § 88 ZZVZ.</w:t>
      </w:r>
    </w:p>
    <w:p w14:paraId="04A97279" w14:textId="3C21D49E" w:rsidR="00110720" w:rsidRPr="00FA4C77" w:rsidRDefault="00110720" w:rsidP="00110720">
      <w:pPr>
        <w:pStyle w:val="Styl4"/>
      </w:pPr>
      <w:r w:rsidRPr="00FA4C77">
        <w:t xml:space="preserve">Před uzavřením smlouvy </w:t>
      </w:r>
      <w:r w:rsidR="0004640C">
        <w:t xml:space="preserve">pro jednotlivou dílčí veřejnou zakázku zadávanou v rámci DNS </w:t>
      </w:r>
      <w:r w:rsidRPr="00FA4C77">
        <w:t>si zadavatel od vybraného dodavatele vždy vyžádá předložení originálů nebo ověřených kopií dokladů o</w:t>
      </w:r>
      <w:r w:rsidR="003943ED">
        <w:t> </w:t>
      </w:r>
      <w:r w:rsidRPr="00FA4C77">
        <w:t>kvalifikaci, pokud již nebyly zadavateli předloženy.</w:t>
      </w:r>
    </w:p>
    <w:p w14:paraId="7399505D" w14:textId="6DB31F76" w:rsidR="00110720" w:rsidRPr="00FA4C77" w:rsidRDefault="00110720" w:rsidP="005C4EE2">
      <w:pPr>
        <w:pStyle w:val="Styl4"/>
        <w:keepNext/>
        <w:keepLines/>
      </w:pPr>
      <w:r w:rsidRPr="00FA4C77">
        <w:lastRenderedPageBreak/>
        <w:t>Zadavatel posoudí došlé žádosti o účast z hlediska splnění požadavků zadavatele uvedených v zadávací dokumentaci. Do DNS budou zařazení účastníci zadávacíh</w:t>
      </w:r>
      <w:r w:rsidR="008D0A90">
        <w:t>o řízení, kteří podali žádost o </w:t>
      </w:r>
      <w:r w:rsidRPr="00FA4C77">
        <w:t>účast prokazující splnění požadavků dle zadávací dokumentace. Účastník zadávacího řízení, jehož žádost o účast nesplňuje zadávací podmínky, zadavatel vyloučí z účasti v zadávacím řízení a do DNS tohoto účastníka zadávacího řízení nezařadí.</w:t>
      </w:r>
    </w:p>
    <w:p w14:paraId="5BACF9C4" w14:textId="10C7C110" w:rsidR="00110720" w:rsidRDefault="00110720" w:rsidP="00110720">
      <w:pPr>
        <w:pStyle w:val="Styl4"/>
      </w:pPr>
      <w:r w:rsidRPr="00FA4C77">
        <w:t>Žádost o účast zadavateli umožňuje posoudit splnění podmínek pro zařazení dodavatele do DNS, nikoliv zadat konkrétní veřejnou zakázku v DNS.</w:t>
      </w:r>
    </w:p>
    <w:p w14:paraId="4E9F40D8" w14:textId="77777777" w:rsidR="00BD1934" w:rsidRPr="00285BE9" w:rsidRDefault="00BD1934" w:rsidP="00BD1934">
      <w:pPr>
        <w:pStyle w:val="Nadpis1"/>
        <w:tabs>
          <w:tab w:val="clear" w:pos="567"/>
        </w:tabs>
        <w:ind w:left="432" w:hanging="432"/>
      </w:pPr>
      <w:bookmarkStart w:id="39" w:name="_Toc505684569"/>
      <w:bookmarkStart w:id="40" w:name="_Toc528660753"/>
      <w:bookmarkStart w:id="41" w:name="_Toc10636676"/>
      <w:bookmarkEnd w:id="39"/>
      <w:r w:rsidRPr="00285BE9">
        <w:t>Dostupnost zadávací dokumentace</w:t>
      </w:r>
      <w:bookmarkEnd w:id="40"/>
      <w:bookmarkEnd w:id="41"/>
    </w:p>
    <w:p w14:paraId="4E877636" w14:textId="77777777" w:rsidR="00BD1934" w:rsidRPr="00285BE9" w:rsidRDefault="00BD1934" w:rsidP="00BD1934">
      <w:pPr>
        <w:spacing w:before="120" w:after="120"/>
      </w:pPr>
      <w:r w:rsidRPr="00285BE9">
        <w:t>Zadávací dokumentací se rozumí zadávací dokumentace v užším smyslu, tj. veškeré písemné dokumenty obsahující zadávací podmínky, sdělované nebo zpřístupňované dodavatelům zadávacího řízení při zahájení zadávacího řízení, včetně změn či doplnění zadávací dokumentace.</w:t>
      </w:r>
    </w:p>
    <w:p w14:paraId="3DCEC3FE" w14:textId="77777777" w:rsidR="00BD1934" w:rsidRPr="00285BE9" w:rsidRDefault="00BD1934" w:rsidP="00BD1934">
      <w:pPr>
        <w:spacing w:before="120" w:after="120"/>
        <w:rPr>
          <w:u w:val="single"/>
        </w:rPr>
      </w:pPr>
      <w:r w:rsidRPr="00285BE9">
        <w:rPr>
          <w:u w:val="single"/>
        </w:rPr>
        <w:t xml:space="preserve">Zadávací dokumentace včetně jejích příloh je zveřejněna v souladu s § 96 odst. 1 ZZVZ na profilu zadavatele </w:t>
      </w:r>
      <w:hyperlink r:id="rId19" w:history="1">
        <w:r w:rsidRPr="00285BE9">
          <w:rPr>
            <w:rStyle w:val="Hypertextovodkaz"/>
          </w:rPr>
          <w:t>https://mfcr.ezak.cz/profile_display_58.html</w:t>
        </w:r>
      </w:hyperlink>
      <w:r w:rsidRPr="00285BE9">
        <w:rPr>
          <w:u w:val="single"/>
        </w:rPr>
        <w:t>.</w:t>
      </w:r>
    </w:p>
    <w:p w14:paraId="3795FE98" w14:textId="77777777" w:rsidR="00110720" w:rsidRDefault="00110720" w:rsidP="008D3D3F">
      <w:pPr>
        <w:pStyle w:val="Nadpis1"/>
      </w:pPr>
      <w:bookmarkStart w:id="42" w:name="_Toc10636677"/>
      <w:r>
        <w:t>Vysvětlení, změna nebo doplnění zadávací dokumentace</w:t>
      </w:r>
      <w:bookmarkEnd w:id="42"/>
    </w:p>
    <w:p w14:paraId="1054E2B7" w14:textId="338171D1" w:rsidR="00110720" w:rsidRPr="006F253F" w:rsidRDefault="00110720" w:rsidP="00110720">
      <w:pPr>
        <w:pStyle w:val="Styl4"/>
      </w:pPr>
      <w:r w:rsidRPr="006F253F">
        <w:t xml:space="preserve">Přestože zadávací dokumentace vymezuje </w:t>
      </w:r>
      <w:r>
        <w:t>požadavky zadavatele</w:t>
      </w:r>
      <w:r w:rsidRPr="006F253F">
        <w:t xml:space="preserve"> v podrobnostech nezbytných pro zpracování </w:t>
      </w:r>
      <w:r>
        <w:t>žádosti o účast</w:t>
      </w:r>
      <w:r w:rsidRPr="006F253F">
        <w:t>, mohou dodavatelé požadovat vysvětlení zadávacích podmínek. Písemná žádost musí být zadavateli doručena ve lhůtě dle § 98 odst. 3 ZZVZ (8 pracovních dní před koncem lhůty pro podání žádostí o</w:t>
      </w:r>
      <w:r>
        <w:t> </w:t>
      </w:r>
      <w:r w:rsidRPr="006F253F">
        <w:t xml:space="preserve">účast). </w:t>
      </w:r>
    </w:p>
    <w:p w14:paraId="238A43A0" w14:textId="77777777" w:rsidR="00110720" w:rsidRDefault="00110720" w:rsidP="00110720">
      <w:pPr>
        <w:pStyle w:val="Styl4"/>
      </w:pPr>
      <w:r w:rsidRPr="006F253F">
        <w:t xml:space="preserve">Žádosti o vysvětlení zadávací dokumentace </w:t>
      </w:r>
      <w:r>
        <w:t xml:space="preserve">by měli </w:t>
      </w:r>
      <w:r w:rsidRPr="006F253F">
        <w:t xml:space="preserve">dodavatelé zasílat prostřednictvím </w:t>
      </w:r>
      <w:r>
        <w:t>elektronického nástroje E-ZAK</w:t>
      </w:r>
      <w:r w:rsidRPr="006F253F">
        <w:t>. Zadavatel v zákonné lhůtě 3 pracovních dní uveřejní vysvětlení zadávací dokumentace včetně přesného znění žádosti na profilu zadavatele.</w:t>
      </w:r>
    </w:p>
    <w:p w14:paraId="0A510CFF" w14:textId="6B05FC04" w:rsidR="00110720" w:rsidRDefault="00110720" w:rsidP="00110720">
      <w:pPr>
        <w:pStyle w:val="Styl4"/>
      </w:pPr>
      <w:r w:rsidRPr="006F253F">
        <w:t>Zadavatel je oprávněn uveřejnit na profilu zadavatele za podmínek § 98 odst. 1</w:t>
      </w:r>
      <w:r>
        <w:t xml:space="preserve"> ZZVZ</w:t>
      </w:r>
      <w:r w:rsidRPr="006F253F">
        <w:t xml:space="preserve"> vysvětlení zadávací dokumentace i z vlastního podnětu. Dle § 99 </w:t>
      </w:r>
      <w:r>
        <w:t xml:space="preserve">ZZVZ </w:t>
      </w:r>
      <w:r w:rsidRPr="006F253F">
        <w:t>může takto rovněž uveřejnit změnu nebo doplnění zadávací dokumentace.</w:t>
      </w:r>
    </w:p>
    <w:p w14:paraId="22779BED" w14:textId="1C8CFB5B" w:rsidR="00C128AD" w:rsidRPr="00C128AD" w:rsidRDefault="00C128AD" w:rsidP="00C128AD">
      <w:pPr>
        <w:pStyle w:val="Nadpis1"/>
      </w:pPr>
      <w:bookmarkStart w:id="43" w:name="_Toc519253010"/>
      <w:bookmarkStart w:id="44" w:name="_Toc10636678"/>
      <w:r>
        <w:t>Informace o zpracování osobních údajů</w:t>
      </w:r>
      <w:bookmarkEnd w:id="43"/>
      <w:bookmarkEnd w:id="44"/>
    </w:p>
    <w:p w14:paraId="61A58E5D" w14:textId="77777777" w:rsidR="00C128AD" w:rsidRDefault="00C128AD" w:rsidP="00C128AD">
      <w:pPr>
        <w:autoSpaceDE w:val="0"/>
        <w:autoSpaceDN w:val="0"/>
        <w:adjustRightInd w:val="0"/>
        <w:spacing w:before="120" w:after="120"/>
        <w:rPr>
          <w:rFonts w:cs="Segoe UI"/>
          <w:iCs/>
          <w:color w:val="000000"/>
          <w:szCs w:val="18"/>
        </w:rPr>
      </w:pPr>
      <w:r>
        <w:rPr>
          <w:rFonts w:cs="Segoe UI"/>
          <w:iCs/>
          <w:color w:val="000000"/>
          <w:szCs w:val="18"/>
        </w:rPr>
        <w:t xml:space="preserve">Zadavatel v postavení správce osobních údajů tímto informuje ve smyslu čl. 13 Nařízení Evropského parlamentu a Rady (EU) 2016/679 o ochraně fyzických osob v souvislosti se zpracováním osobních údajů a o volném pohybu těchto údajů (dále </w:t>
      </w:r>
      <w:r w:rsidRPr="00C128AD">
        <w:rPr>
          <w:rFonts w:cs="Segoe UI"/>
          <w:iCs/>
          <w:color w:val="000000"/>
          <w:szCs w:val="18"/>
        </w:rPr>
        <w:t>jen „</w:t>
      </w:r>
      <w:r w:rsidRPr="00C128AD">
        <w:rPr>
          <w:rFonts w:cs="Segoe UI"/>
          <w:i/>
          <w:iCs/>
          <w:color w:val="000000"/>
          <w:szCs w:val="18"/>
        </w:rPr>
        <w:t>GDPR</w:t>
      </w:r>
      <w:r w:rsidRPr="00C128AD">
        <w:rPr>
          <w:rFonts w:cs="Segoe UI"/>
          <w:iCs/>
          <w:color w:val="000000"/>
          <w:szCs w:val="18"/>
        </w:rPr>
        <w:t>“) účastníky</w:t>
      </w:r>
      <w:r>
        <w:rPr>
          <w:rFonts w:cs="Segoe UI"/>
          <w:iCs/>
          <w:color w:val="000000"/>
          <w:szCs w:val="18"/>
        </w:rPr>
        <w:t xml:space="preserve"> zadávacího řízení o zpracování osobních údajů za účelem realizace zadávacího řízení dle ZZVZ. </w:t>
      </w:r>
    </w:p>
    <w:p w14:paraId="275379A0" w14:textId="77777777" w:rsidR="00C128AD" w:rsidRDefault="00C128AD" w:rsidP="00C128AD">
      <w:pPr>
        <w:autoSpaceDE w:val="0"/>
        <w:autoSpaceDN w:val="0"/>
        <w:adjustRightInd w:val="0"/>
        <w:spacing w:before="120" w:after="120"/>
        <w:rPr>
          <w:rFonts w:cs="Segoe UI"/>
          <w:iCs/>
          <w:color w:val="000000"/>
          <w:szCs w:val="18"/>
        </w:rPr>
      </w:pPr>
      <w:r>
        <w:rPr>
          <w:rFonts w:cs="Segoe UI"/>
          <w:iCs/>
          <w:color w:val="000000"/>
          <w:szCs w:val="18"/>
        </w:rPr>
        <w:t xml:space="preserve">Zadavatel může v rámci realizace zadávacího řízení zpracovávat osobní údaje dodavatelů a jejich poddodavatelů (z řad FO podnikajících), členů statutárních orgánů a kontaktních osob dodavatelů a jejich poddodavatelů, osob, prostřednictvím kterých je dodavatelem prokazována kvalifikace, členů </w:t>
      </w:r>
      <w:r>
        <w:rPr>
          <w:rFonts w:cs="Segoe UI"/>
          <w:iCs/>
          <w:color w:val="000000"/>
          <w:szCs w:val="18"/>
        </w:rPr>
        <w:lastRenderedPageBreak/>
        <w:t xml:space="preserve">realizačního týmu dodavatele a skutečných majitelů dodavatele. Zadavatel bude zpracovávat osobní údaje v pouze v rozsahu nezbytném pro realizaci zadávacího řízení a pouze po dobu stanovenou právními předpisy, zejména ZZVZ. Subjekty údajů jsou oprávněny uplatňovat jejich práva dle čl. 13 až 22 GDPR v písemné formě na adrese sídla zadavatele. </w:t>
      </w:r>
    </w:p>
    <w:p w14:paraId="486DC1EC" w14:textId="67938FB9" w:rsidR="00C128AD" w:rsidRDefault="00C128AD" w:rsidP="00C128AD">
      <w:pPr>
        <w:autoSpaceDE w:val="0"/>
        <w:autoSpaceDN w:val="0"/>
        <w:adjustRightInd w:val="0"/>
        <w:spacing w:before="120" w:after="120"/>
        <w:rPr>
          <w:rFonts w:cs="Segoe UI"/>
          <w:color w:val="000000"/>
          <w:szCs w:val="18"/>
        </w:rPr>
      </w:pPr>
      <w:r>
        <w:rPr>
          <w:rFonts w:cs="Segoe UI"/>
          <w:iCs/>
          <w:color w:val="000000"/>
          <w:szCs w:val="18"/>
        </w:rPr>
        <w:t>Zadavatel předává osobní údaje ke zpracování MT Legal, s.r.o. advokátní kancelář, se sídlem Brno 2, Jakubská 121/1, PSČ 602 00, IČO: 28305043 jako zpracovateli osobních údajů, za účelem administrace zadávacího řízení dle § 43 ZZVZ.</w:t>
      </w:r>
    </w:p>
    <w:p w14:paraId="19B9F3BC" w14:textId="79793A4B" w:rsidR="00C128AD" w:rsidRDefault="00C128AD" w:rsidP="00C128AD">
      <w:pPr>
        <w:autoSpaceDE w:val="0"/>
        <w:autoSpaceDN w:val="0"/>
        <w:adjustRightInd w:val="0"/>
        <w:spacing w:before="120" w:after="120"/>
        <w:rPr>
          <w:rFonts w:cs="Segoe UI"/>
          <w:iCs/>
          <w:color w:val="000000"/>
          <w:szCs w:val="18"/>
        </w:rPr>
      </w:pPr>
      <w:r>
        <w:rPr>
          <w:rFonts w:cs="Segoe UI"/>
          <w:iCs/>
          <w:color w:val="000000"/>
          <w:szCs w:val="18"/>
        </w:rPr>
        <w:t xml:space="preserve">Podrobné informace o zpracování osobních údajů zadavatelem jsou obsaženy na webové stránce dostupné na adrese </w:t>
      </w:r>
      <w:hyperlink r:id="rId20" w:history="1">
        <w:r w:rsidR="00AA0C0E" w:rsidRPr="00134FBB">
          <w:rPr>
            <w:rStyle w:val="Hypertextovodkaz"/>
            <w:rFonts w:cs="Segoe UI"/>
            <w:iCs/>
            <w:szCs w:val="18"/>
          </w:rPr>
          <w:t>https://www.spcss.cz/</w:t>
        </w:r>
      </w:hyperlink>
      <w:r>
        <w:rPr>
          <w:rFonts w:cs="Segoe UI"/>
          <w:iCs/>
          <w:color w:val="000000"/>
          <w:szCs w:val="18"/>
        </w:rPr>
        <w:t>.</w:t>
      </w:r>
    </w:p>
    <w:p w14:paraId="3ABE51B2" w14:textId="77777777" w:rsidR="00AA0C0E" w:rsidRPr="00285BE9" w:rsidRDefault="00AA0C0E" w:rsidP="00AA0C0E">
      <w:pPr>
        <w:pStyle w:val="Nadpis1"/>
        <w:tabs>
          <w:tab w:val="clear" w:pos="567"/>
        </w:tabs>
        <w:ind w:left="432" w:hanging="432"/>
      </w:pPr>
      <w:bookmarkStart w:id="45" w:name="_Toc528660758"/>
      <w:r w:rsidRPr="00285BE9">
        <w:t>Přílohy</w:t>
      </w:r>
      <w:bookmarkEnd w:id="45"/>
    </w:p>
    <w:p w14:paraId="3250FCA5" w14:textId="77777777" w:rsidR="00AA0C0E" w:rsidRPr="00285BE9" w:rsidRDefault="00AA0C0E" w:rsidP="00AA0C0E">
      <w:bookmarkStart w:id="46" w:name="_Hlk10733636"/>
      <w:r w:rsidRPr="00285BE9">
        <w:t>Nedílnou součást této zadávací dokumentace tvoří následující přílohy</w:t>
      </w:r>
    </w:p>
    <w:p w14:paraId="67F91DC1" w14:textId="438743E3" w:rsidR="00AA0C0E" w:rsidRPr="006D03C3" w:rsidRDefault="00AA0C0E" w:rsidP="00AA0C0E">
      <w:pPr>
        <w:pStyle w:val="Odstavecseseznamem"/>
        <w:numPr>
          <w:ilvl w:val="0"/>
          <w:numId w:val="45"/>
        </w:numPr>
        <w:ind w:left="426" w:hanging="426"/>
        <w:rPr>
          <w:b/>
          <w:bCs/>
        </w:rPr>
      </w:pPr>
      <w:r w:rsidRPr="006D03C3">
        <w:rPr>
          <w:b/>
          <w:bCs/>
        </w:rPr>
        <w:t>Příloha č. 1 - Vzor čestného prohlášení k prokázání splnění některých kritérií základní způsobilosti dle čl. 4.1 zadávací dokumentace</w:t>
      </w:r>
    </w:p>
    <w:p w14:paraId="5AF770D2" w14:textId="38837C70" w:rsidR="00AA0C0E" w:rsidRPr="006D03C3" w:rsidRDefault="00AA0C0E" w:rsidP="00AA0C0E">
      <w:pPr>
        <w:pStyle w:val="Odstavecseseznamem"/>
        <w:numPr>
          <w:ilvl w:val="0"/>
          <w:numId w:val="45"/>
        </w:numPr>
        <w:ind w:left="426" w:hanging="426"/>
        <w:rPr>
          <w:b/>
          <w:bCs/>
        </w:rPr>
      </w:pPr>
      <w:r w:rsidRPr="006D03C3">
        <w:rPr>
          <w:b/>
          <w:bCs/>
        </w:rPr>
        <w:t>Příloha č.</w:t>
      </w:r>
      <w:r w:rsidR="00796795">
        <w:rPr>
          <w:b/>
          <w:bCs/>
        </w:rPr>
        <w:t xml:space="preserve"> </w:t>
      </w:r>
      <w:r w:rsidRPr="006D03C3">
        <w:rPr>
          <w:b/>
          <w:bCs/>
        </w:rPr>
        <w:t xml:space="preserve">2 - Formulář k prokázání technické kvalifikace dle čl. 4.3.1 zadávací </w:t>
      </w:r>
      <w:r w:rsidR="00796795" w:rsidRPr="006D03C3">
        <w:rPr>
          <w:b/>
          <w:bCs/>
        </w:rPr>
        <w:t>dokumentace – seznam</w:t>
      </w:r>
      <w:r w:rsidRPr="006D03C3">
        <w:rPr>
          <w:b/>
          <w:bCs/>
        </w:rPr>
        <w:t xml:space="preserve"> významných dodávek</w:t>
      </w:r>
    </w:p>
    <w:p w14:paraId="5E12813B" w14:textId="4EEDEA3B" w:rsidR="002D69C1" w:rsidRPr="002D69C1" w:rsidRDefault="002D69C1" w:rsidP="006D03C3">
      <w:pPr>
        <w:pStyle w:val="Odstavecseseznamem"/>
        <w:ind w:left="0"/>
        <w:rPr>
          <w:szCs w:val="18"/>
        </w:rPr>
      </w:pPr>
      <w:r>
        <w:rPr>
          <w:szCs w:val="18"/>
        </w:rPr>
        <w:t>Společně s touto zadávací dokumentací jsou dále uveřejněny</w:t>
      </w:r>
    </w:p>
    <w:p w14:paraId="37AAA508" w14:textId="2C941FE8" w:rsidR="00AA0C0E" w:rsidRPr="002D1DAA" w:rsidRDefault="00DA5E3F" w:rsidP="00AA0C0E">
      <w:pPr>
        <w:pStyle w:val="Odstavecseseznamem"/>
        <w:numPr>
          <w:ilvl w:val="0"/>
          <w:numId w:val="45"/>
        </w:numPr>
        <w:ind w:left="426" w:hanging="426"/>
        <w:rPr>
          <w:szCs w:val="18"/>
        </w:rPr>
      </w:pPr>
      <w:r w:rsidRPr="006D03C3">
        <w:rPr>
          <w:rFonts w:cs="Arial"/>
          <w:b/>
          <w:iCs/>
          <w:szCs w:val="18"/>
        </w:rPr>
        <w:t>Zadávací dokumentace k zadávání dílčích veřejných zakázek</w:t>
      </w:r>
      <w:r w:rsidR="002D1DAA">
        <w:rPr>
          <w:rFonts w:cs="Arial"/>
          <w:bCs/>
          <w:iCs/>
          <w:szCs w:val="18"/>
        </w:rPr>
        <w:t>, a to včetně</w:t>
      </w:r>
      <w:r w:rsidR="0030089B">
        <w:rPr>
          <w:rFonts w:cs="Arial"/>
          <w:bCs/>
          <w:iCs/>
          <w:szCs w:val="18"/>
        </w:rPr>
        <w:t xml:space="preserve"> následujících příloh</w:t>
      </w:r>
    </w:p>
    <w:p w14:paraId="52D7E9CB" w14:textId="77777777" w:rsidR="002D1DAA" w:rsidRPr="006D03C3" w:rsidRDefault="002D1DAA" w:rsidP="002D1DAA">
      <w:pPr>
        <w:pStyle w:val="Odstavecseseznamem"/>
        <w:numPr>
          <w:ilvl w:val="0"/>
          <w:numId w:val="45"/>
        </w:numPr>
        <w:rPr>
          <w:rFonts w:cs="Segoe UI"/>
          <w:b/>
          <w:szCs w:val="18"/>
        </w:rPr>
      </w:pPr>
      <w:r w:rsidRPr="006D03C3">
        <w:rPr>
          <w:b/>
          <w:szCs w:val="18"/>
        </w:rPr>
        <w:t xml:space="preserve">Příloha č. 1 – </w:t>
      </w:r>
      <w:r w:rsidRPr="006D03C3">
        <w:rPr>
          <w:rFonts w:cs="Segoe UI"/>
          <w:b/>
          <w:szCs w:val="18"/>
        </w:rPr>
        <w:t>Vzor kupní smlouvy</w:t>
      </w:r>
      <w:r w:rsidRPr="006D03C3">
        <w:rPr>
          <w:rFonts w:cs="Segoe UI"/>
          <w:b/>
          <w:szCs w:val="18"/>
        </w:rPr>
        <w:tab/>
      </w:r>
    </w:p>
    <w:p w14:paraId="4030E1BE" w14:textId="7FE4CEF6" w:rsidR="002D1DAA" w:rsidRPr="006D03C3" w:rsidRDefault="002D1DAA" w:rsidP="006D03C3">
      <w:pPr>
        <w:pStyle w:val="Odstavecseseznamem"/>
        <w:numPr>
          <w:ilvl w:val="0"/>
          <w:numId w:val="46"/>
        </w:numPr>
        <w:tabs>
          <w:tab w:val="left" w:pos="1560"/>
        </w:tabs>
        <w:ind w:left="1560" w:hanging="426"/>
        <w:rPr>
          <w:rFonts w:cs="Segoe UI"/>
          <w:b/>
          <w:i/>
          <w:iCs/>
          <w:szCs w:val="18"/>
        </w:rPr>
      </w:pPr>
      <w:r w:rsidRPr="006D03C3">
        <w:rPr>
          <w:rFonts w:cs="Segoe UI"/>
          <w:b/>
          <w:szCs w:val="18"/>
        </w:rPr>
        <w:tab/>
      </w:r>
      <w:bookmarkStart w:id="47" w:name="_Hlk10728645"/>
      <w:r w:rsidRPr="006D03C3">
        <w:rPr>
          <w:rFonts w:cs="Segoe UI"/>
          <w:b/>
          <w:i/>
          <w:iCs/>
          <w:szCs w:val="18"/>
        </w:rPr>
        <w:t>Příloha č. 1 – Kupní cena</w:t>
      </w:r>
    </w:p>
    <w:p w14:paraId="2E511D6D" w14:textId="77777777" w:rsidR="002D1DAA" w:rsidRPr="006D03C3" w:rsidRDefault="002D1DAA" w:rsidP="006D03C3">
      <w:pPr>
        <w:pStyle w:val="Odstavecseseznamem"/>
        <w:numPr>
          <w:ilvl w:val="0"/>
          <w:numId w:val="46"/>
        </w:numPr>
        <w:tabs>
          <w:tab w:val="left" w:pos="1560"/>
        </w:tabs>
        <w:ind w:left="1560" w:hanging="426"/>
        <w:rPr>
          <w:rFonts w:cs="Segoe UI"/>
          <w:b/>
          <w:i/>
          <w:iCs/>
          <w:szCs w:val="18"/>
        </w:rPr>
      </w:pPr>
      <w:r w:rsidRPr="006D03C3">
        <w:rPr>
          <w:rFonts w:cs="Segoe UI"/>
          <w:b/>
          <w:i/>
          <w:iCs/>
          <w:szCs w:val="18"/>
        </w:rPr>
        <w:tab/>
        <w:t>Příloha č. 2 – Specifikace serverů</w:t>
      </w:r>
    </w:p>
    <w:p w14:paraId="3BFE9BD3" w14:textId="6D070EED" w:rsidR="002D1DAA" w:rsidRPr="006D03C3" w:rsidRDefault="002D1DAA" w:rsidP="006D03C3">
      <w:pPr>
        <w:pStyle w:val="Odstavecseseznamem"/>
        <w:numPr>
          <w:ilvl w:val="0"/>
          <w:numId w:val="46"/>
        </w:numPr>
        <w:tabs>
          <w:tab w:val="left" w:pos="1560"/>
        </w:tabs>
        <w:ind w:left="1560" w:hanging="426"/>
        <w:rPr>
          <w:rFonts w:cs="Segoe UI"/>
          <w:i/>
          <w:iCs/>
          <w:szCs w:val="18"/>
        </w:rPr>
      </w:pPr>
      <w:r w:rsidRPr="006D03C3">
        <w:rPr>
          <w:rFonts w:cs="Segoe UI"/>
          <w:b/>
          <w:i/>
          <w:iCs/>
          <w:szCs w:val="18"/>
        </w:rPr>
        <w:tab/>
        <w:t>Příloha č. 3 – Seznam techniků</w:t>
      </w:r>
    </w:p>
    <w:bookmarkEnd w:id="47"/>
    <w:p w14:paraId="25A70EDB" w14:textId="47577031" w:rsidR="00AA0C0E" w:rsidRPr="002D1DAA" w:rsidRDefault="002D69C1" w:rsidP="006D03C3">
      <w:pPr>
        <w:pStyle w:val="Odstavecseseznamem"/>
        <w:numPr>
          <w:ilvl w:val="0"/>
          <w:numId w:val="45"/>
        </w:numPr>
        <w:ind w:left="426" w:hanging="426"/>
        <w:rPr>
          <w:szCs w:val="18"/>
        </w:rPr>
      </w:pPr>
      <w:r w:rsidRPr="006D03C3">
        <w:rPr>
          <w:rFonts w:cs="Arial"/>
          <w:b/>
          <w:iCs/>
          <w:szCs w:val="18"/>
        </w:rPr>
        <w:t>Výzva k podání nabídky</w:t>
      </w:r>
      <w:r w:rsidR="0030089B">
        <w:rPr>
          <w:rFonts w:cs="Arial"/>
          <w:bCs/>
          <w:iCs/>
          <w:szCs w:val="18"/>
        </w:rPr>
        <w:t xml:space="preserve"> (jejíž přílohy budou stejné jako přílohy Zadávací dokumentace k zadávání dílčích veřejných zakázek, pouze doplněné o konkrétní údaje</w:t>
      </w:r>
      <w:r w:rsidR="00A92C61">
        <w:rPr>
          <w:rFonts w:cs="Arial"/>
          <w:bCs/>
          <w:iCs/>
          <w:szCs w:val="18"/>
        </w:rPr>
        <w:t xml:space="preserve"> a</w:t>
      </w:r>
      <w:r w:rsidR="0030089B">
        <w:rPr>
          <w:rFonts w:cs="Arial"/>
          <w:bCs/>
          <w:iCs/>
          <w:szCs w:val="18"/>
        </w:rPr>
        <w:t xml:space="preserve"> požadavky konkrétní dílčí veřejné zakázky</w:t>
      </w:r>
      <w:r w:rsidR="00A92C61">
        <w:rPr>
          <w:rFonts w:cs="Arial"/>
          <w:bCs/>
          <w:iCs/>
          <w:szCs w:val="18"/>
        </w:rPr>
        <w:t xml:space="preserve"> zadávané v DNS</w:t>
      </w:r>
      <w:r w:rsidR="0030089B">
        <w:rPr>
          <w:rFonts w:cs="Arial"/>
          <w:bCs/>
          <w:iCs/>
          <w:szCs w:val="18"/>
        </w:rPr>
        <w:t>)</w:t>
      </w:r>
    </w:p>
    <w:bookmarkEnd w:id="46"/>
    <w:p w14:paraId="626C4B22" w14:textId="77777777" w:rsidR="006124B1" w:rsidRPr="006124B1" w:rsidRDefault="006124B1" w:rsidP="006124B1"/>
    <w:p w14:paraId="6F8B2F8A" w14:textId="77777777" w:rsidR="00A054A3" w:rsidRDefault="00A054A3" w:rsidP="00A054A3">
      <w:pPr>
        <w:pStyle w:val="Odstavecseseznamem"/>
        <w:widowControl w:val="0"/>
        <w:spacing w:before="120" w:after="120"/>
        <w:ind w:left="0"/>
        <w:contextualSpacing w:val="0"/>
        <w:outlineLvl w:val="3"/>
        <w:rPr>
          <w:bCs/>
          <w:sz w:val="20"/>
          <w:szCs w:val="20"/>
        </w:rPr>
      </w:pPr>
    </w:p>
    <w:tbl>
      <w:tblPr>
        <w:tblW w:w="3436" w:type="pct"/>
        <w:tblInd w:w="2" w:type="dxa"/>
        <w:tblLook w:val="01E0" w:firstRow="1" w:lastRow="1" w:firstColumn="1" w:lastColumn="1" w:noHBand="0" w:noVBand="0"/>
      </w:tblPr>
      <w:tblGrid>
        <w:gridCol w:w="399"/>
        <w:gridCol w:w="1875"/>
        <w:gridCol w:w="707"/>
        <w:gridCol w:w="3253"/>
      </w:tblGrid>
      <w:tr w:rsidR="00405046" w:rsidRPr="00B96315" w14:paraId="00DCBB6E" w14:textId="77777777" w:rsidTr="00796795">
        <w:tc>
          <w:tcPr>
            <w:tcW w:w="399" w:type="dxa"/>
          </w:tcPr>
          <w:p w14:paraId="49ABB951" w14:textId="77777777"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BF13FC0" w14:textId="77777777" w:rsidR="00405046" w:rsidRPr="00B96315" w:rsidRDefault="0039665E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Praze</w:t>
            </w:r>
          </w:p>
        </w:tc>
        <w:tc>
          <w:tcPr>
            <w:tcW w:w="707" w:type="dxa"/>
          </w:tcPr>
          <w:p w14:paraId="51279518" w14:textId="77777777"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68FAC95" w14:textId="4F45F479" w:rsidR="00405046" w:rsidRPr="00B96315" w:rsidRDefault="00796795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dle elektronického podpisu</w:t>
            </w:r>
          </w:p>
        </w:tc>
      </w:tr>
      <w:tr w:rsidR="00405046" w:rsidRPr="00B96315" w14:paraId="395722E6" w14:textId="77777777" w:rsidTr="00796795">
        <w:trPr>
          <w:trHeight w:val="1239"/>
        </w:trPr>
        <w:tc>
          <w:tcPr>
            <w:tcW w:w="6235" w:type="dxa"/>
            <w:gridSpan w:val="4"/>
            <w:tcBorders>
              <w:bottom w:val="single" w:sz="4" w:space="0" w:color="auto"/>
            </w:tcBorders>
          </w:tcPr>
          <w:p w14:paraId="2F0F22A2" w14:textId="77777777"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14:paraId="72B0791E" w14:textId="77777777"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14:paraId="77235830" w14:textId="77777777"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14:paraId="21FB1B68" w14:textId="77777777"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405046" w:rsidRPr="00B96315" w14:paraId="01A920FB" w14:textId="77777777" w:rsidTr="00796795">
        <w:tc>
          <w:tcPr>
            <w:tcW w:w="6235" w:type="dxa"/>
            <w:gridSpan w:val="4"/>
            <w:tcBorders>
              <w:top w:val="single" w:sz="4" w:space="0" w:color="auto"/>
            </w:tcBorders>
          </w:tcPr>
          <w:p w14:paraId="5EE29B48" w14:textId="77777777" w:rsidR="00405046" w:rsidRDefault="00405046" w:rsidP="00257D11">
            <w:pPr>
              <w:keepNext/>
              <w:keepLines/>
              <w:spacing w:line="240" w:lineRule="auto"/>
              <w:jc w:val="left"/>
              <w:rPr>
                <w:rFonts w:cs="Arial"/>
                <w:b/>
                <w:szCs w:val="18"/>
              </w:rPr>
            </w:pPr>
            <w:r w:rsidRPr="00D82C7B">
              <w:rPr>
                <w:rFonts w:cs="Arial"/>
                <w:b/>
                <w:szCs w:val="18"/>
              </w:rPr>
              <w:t>Státní pokladna Centrum sdílených služeb, s. p.</w:t>
            </w:r>
          </w:p>
          <w:p w14:paraId="5BD641F9" w14:textId="77777777" w:rsidR="008A39EB" w:rsidRPr="00A14AFB" w:rsidRDefault="008A39EB" w:rsidP="008A39EB">
            <w:pPr>
              <w:spacing w:line="240" w:lineRule="auto"/>
              <w:rPr>
                <w:rFonts w:cs="Calibri"/>
                <w:szCs w:val="18"/>
              </w:rPr>
            </w:pPr>
            <w:r w:rsidRPr="00A14AFB">
              <w:rPr>
                <w:rFonts w:cs="Calibri"/>
                <w:szCs w:val="18"/>
              </w:rPr>
              <w:t>Mgr. Jakub Richter</w:t>
            </w:r>
          </w:p>
          <w:p w14:paraId="6A8EC1AE" w14:textId="3CA63697" w:rsidR="00405046" w:rsidRPr="00257D11" w:rsidRDefault="008A39EB" w:rsidP="008A39EB">
            <w:pPr>
              <w:keepNext/>
              <w:keepLines/>
              <w:spacing w:line="240" w:lineRule="auto"/>
              <w:jc w:val="left"/>
              <w:rPr>
                <w:rFonts w:cs="Arial"/>
                <w:szCs w:val="18"/>
              </w:rPr>
            </w:pPr>
            <w:r w:rsidRPr="00A14AFB">
              <w:rPr>
                <w:rFonts w:cs="Calibri"/>
                <w:szCs w:val="18"/>
              </w:rPr>
              <w:t>1. zástupce generálního ředitele</w:t>
            </w:r>
          </w:p>
        </w:tc>
      </w:tr>
    </w:tbl>
    <w:p w14:paraId="5062FED2" w14:textId="77777777" w:rsidR="00A700F7" w:rsidRDefault="00A700F7" w:rsidP="00285B6A">
      <w:pPr>
        <w:spacing w:after="200" w:line="276" w:lineRule="auto"/>
      </w:pPr>
    </w:p>
    <w:sectPr w:rsidR="00A700F7" w:rsidSect="00C128AD">
      <w:headerReference w:type="default" r:id="rId21"/>
      <w:footerReference w:type="default" r:id="rId22"/>
      <w:footerReference w:type="first" r:id="rId23"/>
      <w:pgSz w:w="11906" w:h="16838"/>
      <w:pgMar w:top="226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9D77" w14:textId="77777777" w:rsidR="00A004DD" w:rsidRDefault="00A004DD" w:rsidP="003A4756">
      <w:r>
        <w:separator/>
      </w:r>
    </w:p>
  </w:endnote>
  <w:endnote w:type="continuationSeparator" w:id="0">
    <w:p w14:paraId="67BE6357" w14:textId="77777777" w:rsidR="00A004DD" w:rsidRDefault="00A004DD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475B" w14:textId="6A7EC81E" w:rsidR="00613732" w:rsidRPr="00797DC3" w:rsidRDefault="00613732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>
      <w:rPr>
        <w:noProof/>
        <w:color w:val="215868" w:themeColor="accent5" w:themeShade="80"/>
        <w:szCs w:val="18"/>
      </w:rPr>
      <w:fldChar w:fldCharType="begin"/>
    </w:r>
    <w:r>
      <w:rPr>
        <w:noProof/>
        <w:color w:val="215868" w:themeColor="accent5" w:themeShade="80"/>
        <w:szCs w:val="18"/>
      </w:rPr>
      <w:instrText xml:space="preserve"> NUMPAGES   \* MERGEFORMAT </w:instrText>
    </w:r>
    <w:r>
      <w:rPr>
        <w:noProof/>
        <w:color w:val="215868" w:themeColor="accent5" w:themeShade="80"/>
        <w:szCs w:val="18"/>
      </w:rPr>
      <w:fldChar w:fldCharType="separate"/>
    </w:r>
    <w:r w:rsidRPr="00045A99">
      <w:rPr>
        <w:noProof/>
        <w:color w:val="215868" w:themeColor="accent5" w:themeShade="80"/>
        <w:szCs w:val="18"/>
      </w:rPr>
      <w:t>11</w:t>
    </w:r>
    <w:r>
      <w:rPr>
        <w:noProof/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7180" w14:textId="00971BA8" w:rsidR="00613732" w:rsidRDefault="00613732" w:rsidP="00FE700B">
    <w:pPr>
      <w:pStyle w:val="Zpat"/>
      <w:jc w:val="center"/>
    </w:pPr>
    <w:r w:rsidRPr="00A5109B">
      <w:rPr>
        <w:color w:val="004666"/>
        <w:szCs w:val="18"/>
      </w:rPr>
      <w:fldChar w:fldCharType="begin"/>
    </w:r>
    <w:r w:rsidRPr="00A5109B">
      <w:rPr>
        <w:color w:val="004666"/>
        <w:szCs w:val="18"/>
      </w:rPr>
      <w:instrText xml:space="preserve"> PAGE  \* Arabic  \* MERGEFORMAT </w:instrText>
    </w:r>
    <w:r w:rsidRPr="00A5109B">
      <w:rPr>
        <w:color w:val="004666"/>
        <w:szCs w:val="18"/>
      </w:rPr>
      <w:fldChar w:fldCharType="separate"/>
    </w:r>
    <w:r>
      <w:rPr>
        <w:noProof/>
        <w:color w:val="004666"/>
        <w:szCs w:val="18"/>
      </w:rPr>
      <w:t>1</w:t>
    </w:r>
    <w:r w:rsidRPr="00A5109B">
      <w:rPr>
        <w:color w:val="004666"/>
        <w:szCs w:val="18"/>
      </w:rPr>
      <w:fldChar w:fldCharType="end"/>
    </w:r>
    <w:r w:rsidRPr="00A5109B">
      <w:rPr>
        <w:color w:val="004666"/>
        <w:szCs w:val="18"/>
      </w:rPr>
      <w:t>/</w:t>
    </w:r>
    <w:r>
      <w:rPr>
        <w:noProof/>
        <w:color w:val="004666"/>
        <w:szCs w:val="18"/>
      </w:rPr>
      <w:fldChar w:fldCharType="begin"/>
    </w:r>
    <w:r>
      <w:rPr>
        <w:noProof/>
        <w:color w:val="004666"/>
        <w:szCs w:val="18"/>
      </w:rPr>
      <w:instrText xml:space="preserve"> NUMPAGES   \* MERGEFORMAT </w:instrText>
    </w:r>
    <w:r>
      <w:rPr>
        <w:noProof/>
        <w:color w:val="004666"/>
        <w:szCs w:val="18"/>
      </w:rPr>
      <w:fldChar w:fldCharType="separate"/>
    </w:r>
    <w:r w:rsidRPr="00045A99">
      <w:rPr>
        <w:noProof/>
        <w:color w:val="004666"/>
        <w:szCs w:val="18"/>
      </w:rPr>
      <w:t>11</w:t>
    </w:r>
    <w:r>
      <w:rPr>
        <w:noProof/>
        <w:color w:val="00466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3A22" w14:textId="77777777" w:rsidR="00A004DD" w:rsidRDefault="00A004DD" w:rsidP="003A4756">
      <w:r>
        <w:separator/>
      </w:r>
    </w:p>
  </w:footnote>
  <w:footnote w:type="continuationSeparator" w:id="0">
    <w:p w14:paraId="48B1C5EF" w14:textId="77777777" w:rsidR="00A004DD" w:rsidRDefault="00A004DD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4960"/>
      <w:gridCol w:w="1758"/>
    </w:tblGrid>
    <w:tr w:rsidR="00613732" w:rsidRPr="00EA7960" w14:paraId="6D8E712E" w14:textId="77777777" w:rsidTr="008E4815">
      <w:trPr>
        <w:trHeight w:val="555"/>
      </w:trPr>
      <w:tc>
        <w:tcPr>
          <w:tcW w:w="2360" w:type="dxa"/>
          <w:vMerge w:val="restart"/>
          <w:vAlign w:val="center"/>
        </w:tcPr>
        <w:p w14:paraId="5226DF38" w14:textId="77777777" w:rsidR="00613732" w:rsidRPr="00437C3B" w:rsidRDefault="00613732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BEB558" wp14:editId="183FEA81">
                <wp:extent cx="1304925" cy="545459"/>
                <wp:effectExtent l="0" t="0" r="0" b="7620"/>
                <wp:docPr id="7" name="Obrázek 7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0" w:type="dxa"/>
          <w:vAlign w:val="center"/>
        </w:tcPr>
        <w:p w14:paraId="384E5BA2" w14:textId="78300FDD" w:rsidR="00613732" w:rsidRPr="00437C3B" w:rsidRDefault="00613732" w:rsidP="00E9501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b/>
              <w:color w:val="004666"/>
              <w:szCs w:val="18"/>
            </w:rPr>
            <w:t xml:space="preserve">Zadávací dokumentace </w:t>
          </w:r>
          <w:r w:rsidRPr="00E95013">
            <w:rPr>
              <w:b/>
              <w:color w:val="004666"/>
              <w:szCs w:val="18"/>
            </w:rPr>
            <w:t>pro zavedení dynamického nákupního systému</w:t>
          </w:r>
        </w:p>
      </w:tc>
      <w:tc>
        <w:tcPr>
          <w:tcW w:w="1758" w:type="dxa"/>
          <w:vMerge w:val="restart"/>
          <w:vAlign w:val="center"/>
        </w:tcPr>
        <w:p w14:paraId="311E2C18" w14:textId="4A51F249" w:rsidR="00613732" w:rsidRPr="00EA7960" w:rsidRDefault="00613732" w:rsidP="00C4650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A796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9</w:t>
          </w:r>
          <w:r w:rsidRPr="00EA796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_002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</w:p>
      </w:tc>
    </w:tr>
    <w:tr w:rsidR="00613732" w:rsidRPr="00EA7960" w14:paraId="37BBF640" w14:textId="77777777" w:rsidTr="008E4815">
      <w:trPr>
        <w:trHeight w:val="555"/>
      </w:trPr>
      <w:tc>
        <w:tcPr>
          <w:tcW w:w="2360" w:type="dxa"/>
          <w:vMerge/>
          <w:vAlign w:val="center"/>
        </w:tcPr>
        <w:p w14:paraId="0C98D119" w14:textId="77777777" w:rsidR="00613732" w:rsidRPr="00437C3B" w:rsidRDefault="00613732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70" w:type="dxa"/>
          <w:vAlign w:val="center"/>
        </w:tcPr>
        <w:p w14:paraId="5D9A6866" w14:textId="7F5A153A" w:rsidR="00613732" w:rsidRPr="00437C3B" w:rsidRDefault="0067644E" w:rsidP="0008272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48" w:name="_Hlk10640224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Dynamický nákupní </w:t>
          </w:r>
          <w:r w:rsidR="0079679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systém – nákup</w:t>
          </w:r>
          <w:r w:rsidR="00613732" w:rsidRPr="000757C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 procesory</w:t>
          </w:r>
          <w:r w:rsidR="00613732" w:rsidRPr="000757C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Power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9</w:t>
          </w:r>
          <w:bookmarkEnd w:id="48"/>
        </w:p>
      </w:tc>
      <w:tc>
        <w:tcPr>
          <w:tcW w:w="1758" w:type="dxa"/>
          <w:vMerge/>
          <w:vAlign w:val="center"/>
        </w:tcPr>
        <w:p w14:paraId="07A3F35D" w14:textId="77777777" w:rsidR="00613732" w:rsidRPr="00EA7960" w:rsidRDefault="00613732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0E2C952" w14:textId="77777777" w:rsidR="00613732" w:rsidRPr="00F91304" w:rsidRDefault="00613732" w:rsidP="008E4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5C27EB"/>
    <w:multiLevelType w:val="hybridMultilevel"/>
    <w:tmpl w:val="41A019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A41"/>
    <w:multiLevelType w:val="multilevel"/>
    <w:tmpl w:val="B91E56E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981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/>
        <w:color w:val="00466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F70701"/>
    <w:multiLevelType w:val="multilevel"/>
    <w:tmpl w:val="DF28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25746"/>
    <w:multiLevelType w:val="hybridMultilevel"/>
    <w:tmpl w:val="D4880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38F3"/>
    <w:multiLevelType w:val="hybridMultilevel"/>
    <w:tmpl w:val="F5E872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9637A"/>
    <w:multiLevelType w:val="hybridMultilevel"/>
    <w:tmpl w:val="B714F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2F"/>
    <w:multiLevelType w:val="hybridMultilevel"/>
    <w:tmpl w:val="46F0C652"/>
    <w:lvl w:ilvl="0" w:tplc="3F00569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338CB"/>
    <w:multiLevelType w:val="hybridMultilevel"/>
    <w:tmpl w:val="41A019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129B"/>
    <w:multiLevelType w:val="hybridMultilevel"/>
    <w:tmpl w:val="5F5E22F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FD43B10"/>
    <w:multiLevelType w:val="hybridMultilevel"/>
    <w:tmpl w:val="41A019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6A29"/>
    <w:multiLevelType w:val="hybridMultilevel"/>
    <w:tmpl w:val="B8C87F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92FB5"/>
    <w:multiLevelType w:val="hybridMultilevel"/>
    <w:tmpl w:val="E9DC3B9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62A5758"/>
    <w:multiLevelType w:val="multilevel"/>
    <w:tmpl w:val="2428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734223F"/>
    <w:multiLevelType w:val="hybridMultilevel"/>
    <w:tmpl w:val="006C96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91073"/>
    <w:multiLevelType w:val="hybridMultilevel"/>
    <w:tmpl w:val="204437C2"/>
    <w:lvl w:ilvl="0" w:tplc="1FAC6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F87EAC"/>
    <w:multiLevelType w:val="hybridMultilevel"/>
    <w:tmpl w:val="0C8808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21A87B4">
      <w:start w:val="1"/>
      <w:numFmt w:val="lowerRoman"/>
      <w:lvlText w:val="(%5)"/>
      <w:lvlJc w:val="left"/>
      <w:pPr>
        <w:ind w:left="932" w:hanging="72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D00CD"/>
    <w:multiLevelType w:val="multilevel"/>
    <w:tmpl w:val="9836FDA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E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43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19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A92"/>
    <w:multiLevelType w:val="hybridMultilevel"/>
    <w:tmpl w:val="2C5AC900"/>
    <w:lvl w:ilvl="0" w:tplc="7F96438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B68A3"/>
    <w:multiLevelType w:val="hybridMultilevel"/>
    <w:tmpl w:val="2AAC6BE2"/>
    <w:lvl w:ilvl="0" w:tplc="C576C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546E9"/>
    <w:multiLevelType w:val="hybridMultilevel"/>
    <w:tmpl w:val="1E04C0BA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4A3B"/>
    <w:multiLevelType w:val="multilevel"/>
    <w:tmpl w:val="E87A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B08CE"/>
    <w:multiLevelType w:val="hybridMultilevel"/>
    <w:tmpl w:val="D63C36D6"/>
    <w:lvl w:ilvl="0" w:tplc="04050017">
      <w:start w:val="1"/>
      <w:numFmt w:val="lowerLetter"/>
      <w:lvlText w:val="%1)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18825D8"/>
    <w:multiLevelType w:val="hybridMultilevel"/>
    <w:tmpl w:val="037AA1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5477"/>
    <w:multiLevelType w:val="hybridMultilevel"/>
    <w:tmpl w:val="4A28608E"/>
    <w:lvl w:ilvl="0" w:tplc="040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8" w15:restartNumberingAfterBreak="0">
    <w:nsid w:val="5823001B"/>
    <w:multiLevelType w:val="hybridMultilevel"/>
    <w:tmpl w:val="2AF8F0DE"/>
    <w:lvl w:ilvl="0" w:tplc="37A66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3BF8"/>
    <w:multiLevelType w:val="hybridMultilevel"/>
    <w:tmpl w:val="7CFE89AE"/>
    <w:lvl w:ilvl="0" w:tplc="9692EE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86193"/>
    <w:multiLevelType w:val="hybridMultilevel"/>
    <w:tmpl w:val="8B56E0B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9E01242"/>
    <w:multiLevelType w:val="multilevel"/>
    <w:tmpl w:val="ED66E93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  <w:lang w:val="cs-CZ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078A"/>
    <w:multiLevelType w:val="hybridMultilevel"/>
    <w:tmpl w:val="EA00872C"/>
    <w:lvl w:ilvl="0" w:tplc="08F8976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1052EFC"/>
    <w:multiLevelType w:val="hybridMultilevel"/>
    <w:tmpl w:val="65B42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05B84"/>
    <w:multiLevelType w:val="multilevel"/>
    <w:tmpl w:val="FA6CA564"/>
    <w:lvl w:ilvl="0">
      <w:start w:val="1"/>
      <w:numFmt w:val="decimal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9446615"/>
    <w:multiLevelType w:val="hybridMultilevel"/>
    <w:tmpl w:val="966E8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04C64"/>
    <w:multiLevelType w:val="hybridMultilevel"/>
    <w:tmpl w:val="D63C36D6"/>
    <w:lvl w:ilvl="0" w:tplc="04050017">
      <w:start w:val="1"/>
      <w:numFmt w:val="lowerLetter"/>
      <w:lvlText w:val="%1)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7B803BBE"/>
    <w:multiLevelType w:val="hybridMultilevel"/>
    <w:tmpl w:val="283CE79E"/>
    <w:lvl w:ilvl="0" w:tplc="2C02B5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7"/>
  </w:num>
  <w:num w:numId="5">
    <w:abstractNumId w:val="25"/>
  </w:num>
  <w:num w:numId="6">
    <w:abstractNumId w:val="6"/>
  </w:num>
  <w:num w:numId="7">
    <w:abstractNumId w:val="33"/>
  </w:num>
  <w:num w:numId="8">
    <w:abstractNumId w:val="11"/>
  </w:num>
  <w:num w:numId="9">
    <w:abstractNumId w:val="40"/>
  </w:num>
  <w:num w:numId="10">
    <w:abstractNumId w:val="13"/>
  </w:num>
  <w:num w:numId="11">
    <w:abstractNumId w:val="36"/>
  </w:num>
  <w:num w:numId="12">
    <w:abstractNumId w:val="42"/>
  </w:num>
  <w:num w:numId="13">
    <w:abstractNumId w:val="12"/>
  </w:num>
  <w:num w:numId="14">
    <w:abstractNumId w:val="41"/>
  </w:num>
  <w:num w:numId="15">
    <w:abstractNumId w:val="9"/>
  </w:num>
  <w:num w:numId="16">
    <w:abstractNumId w:val="7"/>
  </w:num>
  <w:num w:numId="17">
    <w:abstractNumId w:val="28"/>
  </w:num>
  <w:num w:numId="18">
    <w:abstractNumId w:val="4"/>
  </w:num>
  <w:num w:numId="19">
    <w:abstractNumId w:val="29"/>
  </w:num>
  <w:num w:numId="20">
    <w:abstractNumId w:val="26"/>
  </w:num>
  <w:num w:numId="21">
    <w:abstractNumId w:val="17"/>
  </w:num>
  <w:num w:numId="22">
    <w:abstractNumId w:val="37"/>
  </w:num>
  <w:num w:numId="23">
    <w:abstractNumId w:val="19"/>
  </w:num>
  <w:num w:numId="24">
    <w:abstractNumId w:val="43"/>
  </w:num>
  <w:num w:numId="25">
    <w:abstractNumId w:val="3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32"/>
  </w:num>
  <w:num w:numId="30">
    <w:abstractNumId w:val="39"/>
  </w:num>
  <w:num w:numId="31">
    <w:abstractNumId w:val="5"/>
  </w:num>
  <w:num w:numId="32">
    <w:abstractNumId w:val="34"/>
  </w:num>
  <w:num w:numId="33">
    <w:abstractNumId w:val="30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5"/>
  </w:num>
  <w:num w:numId="37">
    <w:abstractNumId w:val="20"/>
  </w:num>
  <w:num w:numId="38">
    <w:abstractNumId w:val="16"/>
  </w:num>
  <w:num w:numId="39">
    <w:abstractNumId w:val="31"/>
  </w:num>
  <w:num w:numId="40">
    <w:abstractNumId w:val="18"/>
  </w:num>
  <w:num w:numId="41">
    <w:abstractNumId w:val="10"/>
  </w:num>
  <w:num w:numId="42">
    <w:abstractNumId w:val="8"/>
  </w:num>
  <w:num w:numId="43">
    <w:abstractNumId w:val="1"/>
  </w:num>
  <w:num w:numId="44">
    <w:abstractNumId w:val="14"/>
  </w:num>
  <w:num w:numId="45">
    <w:abstractNumId w:val="22"/>
  </w:num>
  <w:num w:numId="4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6EF6"/>
    <w:rsid w:val="000079F4"/>
    <w:rsid w:val="000200DF"/>
    <w:rsid w:val="000216E9"/>
    <w:rsid w:val="000241CF"/>
    <w:rsid w:val="00025E9F"/>
    <w:rsid w:val="00027461"/>
    <w:rsid w:val="0003043C"/>
    <w:rsid w:val="00030DDD"/>
    <w:rsid w:val="000429C3"/>
    <w:rsid w:val="00043FF8"/>
    <w:rsid w:val="00045A99"/>
    <w:rsid w:val="0004640C"/>
    <w:rsid w:val="0005113D"/>
    <w:rsid w:val="000573A5"/>
    <w:rsid w:val="00060F47"/>
    <w:rsid w:val="00061C84"/>
    <w:rsid w:val="00061F8A"/>
    <w:rsid w:val="00063726"/>
    <w:rsid w:val="000713D9"/>
    <w:rsid w:val="0007358A"/>
    <w:rsid w:val="000757C7"/>
    <w:rsid w:val="000808FF"/>
    <w:rsid w:val="00081F68"/>
    <w:rsid w:val="0008272B"/>
    <w:rsid w:val="00087871"/>
    <w:rsid w:val="00091292"/>
    <w:rsid w:val="00091EB3"/>
    <w:rsid w:val="00095043"/>
    <w:rsid w:val="000A1187"/>
    <w:rsid w:val="000A52C5"/>
    <w:rsid w:val="000B6236"/>
    <w:rsid w:val="000B6D4D"/>
    <w:rsid w:val="000B751E"/>
    <w:rsid w:val="000C3949"/>
    <w:rsid w:val="000D0DAA"/>
    <w:rsid w:val="000D2DCD"/>
    <w:rsid w:val="000E06F4"/>
    <w:rsid w:val="000E23C1"/>
    <w:rsid w:val="000E5072"/>
    <w:rsid w:val="000E5118"/>
    <w:rsid w:val="000E72C6"/>
    <w:rsid w:val="000F0FEE"/>
    <w:rsid w:val="000F1AD6"/>
    <w:rsid w:val="000F4589"/>
    <w:rsid w:val="000F76A6"/>
    <w:rsid w:val="00100768"/>
    <w:rsid w:val="00110720"/>
    <w:rsid w:val="001111A8"/>
    <w:rsid w:val="00122448"/>
    <w:rsid w:val="00123BFB"/>
    <w:rsid w:val="00123E06"/>
    <w:rsid w:val="0012557B"/>
    <w:rsid w:val="001256E7"/>
    <w:rsid w:val="001271EC"/>
    <w:rsid w:val="00130120"/>
    <w:rsid w:val="00136D63"/>
    <w:rsid w:val="001371B9"/>
    <w:rsid w:val="00137C36"/>
    <w:rsid w:val="001434E6"/>
    <w:rsid w:val="0014450C"/>
    <w:rsid w:val="00144566"/>
    <w:rsid w:val="00145AE6"/>
    <w:rsid w:val="00146664"/>
    <w:rsid w:val="00146F2D"/>
    <w:rsid w:val="00160C62"/>
    <w:rsid w:val="00164809"/>
    <w:rsid w:val="00164A82"/>
    <w:rsid w:val="00165DE0"/>
    <w:rsid w:val="001843FE"/>
    <w:rsid w:val="0019144A"/>
    <w:rsid w:val="00192776"/>
    <w:rsid w:val="001951A6"/>
    <w:rsid w:val="0019522B"/>
    <w:rsid w:val="001A2495"/>
    <w:rsid w:val="001C6541"/>
    <w:rsid w:val="001C6882"/>
    <w:rsid w:val="001D050F"/>
    <w:rsid w:val="001E58CE"/>
    <w:rsid w:val="001E62BE"/>
    <w:rsid w:val="001E658B"/>
    <w:rsid w:val="001E724D"/>
    <w:rsid w:val="001F23DC"/>
    <w:rsid w:val="001F6750"/>
    <w:rsid w:val="00201AD8"/>
    <w:rsid w:val="00203E68"/>
    <w:rsid w:val="00214365"/>
    <w:rsid w:val="0021442A"/>
    <w:rsid w:val="002205E1"/>
    <w:rsid w:val="00221A80"/>
    <w:rsid w:val="00223D83"/>
    <w:rsid w:val="00224113"/>
    <w:rsid w:val="00224896"/>
    <w:rsid w:val="00226268"/>
    <w:rsid w:val="0022752D"/>
    <w:rsid w:val="00227B2F"/>
    <w:rsid w:val="00231310"/>
    <w:rsid w:val="0023184F"/>
    <w:rsid w:val="00231F6A"/>
    <w:rsid w:val="00231FD1"/>
    <w:rsid w:val="00234566"/>
    <w:rsid w:val="00234E70"/>
    <w:rsid w:val="00237A34"/>
    <w:rsid w:val="00240141"/>
    <w:rsid w:val="00245B80"/>
    <w:rsid w:val="00247E7E"/>
    <w:rsid w:val="00250131"/>
    <w:rsid w:val="00252525"/>
    <w:rsid w:val="00253743"/>
    <w:rsid w:val="00257D11"/>
    <w:rsid w:val="00263E4C"/>
    <w:rsid w:val="0026420B"/>
    <w:rsid w:val="002858D0"/>
    <w:rsid w:val="00285B6A"/>
    <w:rsid w:val="00290609"/>
    <w:rsid w:val="00293765"/>
    <w:rsid w:val="00293E69"/>
    <w:rsid w:val="00295AB4"/>
    <w:rsid w:val="00296909"/>
    <w:rsid w:val="002A0497"/>
    <w:rsid w:val="002A24E4"/>
    <w:rsid w:val="002A61FA"/>
    <w:rsid w:val="002B0716"/>
    <w:rsid w:val="002B3390"/>
    <w:rsid w:val="002B3E10"/>
    <w:rsid w:val="002B6D47"/>
    <w:rsid w:val="002C117A"/>
    <w:rsid w:val="002C2239"/>
    <w:rsid w:val="002C2771"/>
    <w:rsid w:val="002C388B"/>
    <w:rsid w:val="002C436A"/>
    <w:rsid w:val="002C47A4"/>
    <w:rsid w:val="002C47B1"/>
    <w:rsid w:val="002C566E"/>
    <w:rsid w:val="002D1524"/>
    <w:rsid w:val="002D1DAA"/>
    <w:rsid w:val="002D69C1"/>
    <w:rsid w:val="002D6A75"/>
    <w:rsid w:val="002E35E2"/>
    <w:rsid w:val="002E5DF8"/>
    <w:rsid w:val="0030089B"/>
    <w:rsid w:val="003025E2"/>
    <w:rsid w:val="00307565"/>
    <w:rsid w:val="003107F9"/>
    <w:rsid w:val="00316BC0"/>
    <w:rsid w:val="00320DFD"/>
    <w:rsid w:val="0032620F"/>
    <w:rsid w:val="003334E7"/>
    <w:rsid w:val="00336683"/>
    <w:rsid w:val="00337DE9"/>
    <w:rsid w:val="0035523E"/>
    <w:rsid w:val="003570A8"/>
    <w:rsid w:val="00357820"/>
    <w:rsid w:val="0036181D"/>
    <w:rsid w:val="00375CB7"/>
    <w:rsid w:val="00384EFE"/>
    <w:rsid w:val="003914F4"/>
    <w:rsid w:val="00393CB5"/>
    <w:rsid w:val="003943ED"/>
    <w:rsid w:val="0039665E"/>
    <w:rsid w:val="003A201F"/>
    <w:rsid w:val="003A2055"/>
    <w:rsid w:val="003A3268"/>
    <w:rsid w:val="003A4756"/>
    <w:rsid w:val="003A5526"/>
    <w:rsid w:val="003A7828"/>
    <w:rsid w:val="003B2B93"/>
    <w:rsid w:val="003B7B62"/>
    <w:rsid w:val="003C2030"/>
    <w:rsid w:val="003D2A5E"/>
    <w:rsid w:val="003D2AFC"/>
    <w:rsid w:val="003E2BE7"/>
    <w:rsid w:val="003F287E"/>
    <w:rsid w:val="003F2D78"/>
    <w:rsid w:val="004017AF"/>
    <w:rsid w:val="00404D4F"/>
    <w:rsid w:val="00405046"/>
    <w:rsid w:val="00416E07"/>
    <w:rsid w:val="00421831"/>
    <w:rsid w:val="00432778"/>
    <w:rsid w:val="004327F7"/>
    <w:rsid w:val="0043306A"/>
    <w:rsid w:val="0043318C"/>
    <w:rsid w:val="00437C3B"/>
    <w:rsid w:val="0044307B"/>
    <w:rsid w:val="0044538B"/>
    <w:rsid w:val="0044670D"/>
    <w:rsid w:val="00447B78"/>
    <w:rsid w:val="004518F0"/>
    <w:rsid w:val="004536C9"/>
    <w:rsid w:val="00453BCF"/>
    <w:rsid w:val="0045467C"/>
    <w:rsid w:val="00454E99"/>
    <w:rsid w:val="00455029"/>
    <w:rsid w:val="004569D6"/>
    <w:rsid w:val="00460957"/>
    <w:rsid w:val="00467FE0"/>
    <w:rsid w:val="004701FC"/>
    <w:rsid w:val="00471789"/>
    <w:rsid w:val="00475CA0"/>
    <w:rsid w:val="00481C1F"/>
    <w:rsid w:val="004822CE"/>
    <w:rsid w:val="004836D6"/>
    <w:rsid w:val="00483857"/>
    <w:rsid w:val="00492037"/>
    <w:rsid w:val="004977C4"/>
    <w:rsid w:val="004A5216"/>
    <w:rsid w:val="004A7A91"/>
    <w:rsid w:val="004B2945"/>
    <w:rsid w:val="004C3539"/>
    <w:rsid w:val="004D0C9E"/>
    <w:rsid w:val="004D1752"/>
    <w:rsid w:val="004D20E4"/>
    <w:rsid w:val="004D3B08"/>
    <w:rsid w:val="004D5E1E"/>
    <w:rsid w:val="004E182A"/>
    <w:rsid w:val="004E1B79"/>
    <w:rsid w:val="004E2B41"/>
    <w:rsid w:val="004F2973"/>
    <w:rsid w:val="004F7824"/>
    <w:rsid w:val="00500899"/>
    <w:rsid w:val="005038D3"/>
    <w:rsid w:val="005125CF"/>
    <w:rsid w:val="00515523"/>
    <w:rsid w:val="00516EE6"/>
    <w:rsid w:val="00521494"/>
    <w:rsid w:val="00523AA8"/>
    <w:rsid w:val="005316E4"/>
    <w:rsid w:val="00531F59"/>
    <w:rsid w:val="00534530"/>
    <w:rsid w:val="005411F9"/>
    <w:rsid w:val="0054189C"/>
    <w:rsid w:val="00545D02"/>
    <w:rsid w:val="00551029"/>
    <w:rsid w:val="00552455"/>
    <w:rsid w:val="0055355F"/>
    <w:rsid w:val="0055492E"/>
    <w:rsid w:val="00555364"/>
    <w:rsid w:val="0055755D"/>
    <w:rsid w:val="005606D7"/>
    <w:rsid w:val="0056224F"/>
    <w:rsid w:val="00567EA4"/>
    <w:rsid w:val="00572A04"/>
    <w:rsid w:val="00575A85"/>
    <w:rsid w:val="005769CB"/>
    <w:rsid w:val="005805E8"/>
    <w:rsid w:val="005814CA"/>
    <w:rsid w:val="00585A08"/>
    <w:rsid w:val="00585C49"/>
    <w:rsid w:val="00593F8A"/>
    <w:rsid w:val="005A3AD7"/>
    <w:rsid w:val="005A51DE"/>
    <w:rsid w:val="005A5901"/>
    <w:rsid w:val="005B14B9"/>
    <w:rsid w:val="005B3C42"/>
    <w:rsid w:val="005B5AD5"/>
    <w:rsid w:val="005C32E7"/>
    <w:rsid w:val="005C4EE2"/>
    <w:rsid w:val="005C6A7D"/>
    <w:rsid w:val="005D6E80"/>
    <w:rsid w:val="005D7D17"/>
    <w:rsid w:val="005E0DC7"/>
    <w:rsid w:val="005E3FA7"/>
    <w:rsid w:val="005F52B9"/>
    <w:rsid w:val="006072B8"/>
    <w:rsid w:val="006124B1"/>
    <w:rsid w:val="00613732"/>
    <w:rsid w:val="0061788F"/>
    <w:rsid w:val="00624E4C"/>
    <w:rsid w:val="0062526E"/>
    <w:rsid w:val="006321D0"/>
    <w:rsid w:val="00640A12"/>
    <w:rsid w:val="00641B71"/>
    <w:rsid w:val="00645C98"/>
    <w:rsid w:val="00646828"/>
    <w:rsid w:val="00650B44"/>
    <w:rsid w:val="00650CE6"/>
    <w:rsid w:val="00653123"/>
    <w:rsid w:val="006533D6"/>
    <w:rsid w:val="0065620E"/>
    <w:rsid w:val="00656D74"/>
    <w:rsid w:val="00660ADF"/>
    <w:rsid w:val="00664014"/>
    <w:rsid w:val="00664EDC"/>
    <w:rsid w:val="00665595"/>
    <w:rsid w:val="00665D31"/>
    <w:rsid w:val="00674A95"/>
    <w:rsid w:val="00675A3A"/>
    <w:rsid w:val="0067644E"/>
    <w:rsid w:val="00676846"/>
    <w:rsid w:val="00676C04"/>
    <w:rsid w:val="006832E0"/>
    <w:rsid w:val="00687E2C"/>
    <w:rsid w:val="00691B61"/>
    <w:rsid w:val="00693509"/>
    <w:rsid w:val="00696001"/>
    <w:rsid w:val="006A691A"/>
    <w:rsid w:val="006A6FBC"/>
    <w:rsid w:val="006B1F34"/>
    <w:rsid w:val="006B4913"/>
    <w:rsid w:val="006B7D3E"/>
    <w:rsid w:val="006C0B5B"/>
    <w:rsid w:val="006C0FBC"/>
    <w:rsid w:val="006C4FC3"/>
    <w:rsid w:val="006D03C3"/>
    <w:rsid w:val="006D30BA"/>
    <w:rsid w:val="006D67D5"/>
    <w:rsid w:val="006E669D"/>
    <w:rsid w:val="006E7B70"/>
    <w:rsid w:val="006F7F31"/>
    <w:rsid w:val="007031D7"/>
    <w:rsid w:val="007042C8"/>
    <w:rsid w:val="00712378"/>
    <w:rsid w:val="007149A9"/>
    <w:rsid w:val="00714FED"/>
    <w:rsid w:val="007202A5"/>
    <w:rsid w:val="00720828"/>
    <w:rsid w:val="00721FD1"/>
    <w:rsid w:val="00723D97"/>
    <w:rsid w:val="00723E1C"/>
    <w:rsid w:val="00724C89"/>
    <w:rsid w:val="007305FA"/>
    <w:rsid w:val="00730FA6"/>
    <w:rsid w:val="007329E7"/>
    <w:rsid w:val="00734E3E"/>
    <w:rsid w:val="00737B17"/>
    <w:rsid w:val="00741F4B"/>
    <w:rsid w:val="00742F73"/>
    <w:rsid w:val="00745FB7"/>
    <w:rsid w:val="0075237C"/>
    <w:rsid w:val="0075538C"/>
    <w:rsid w:val="00762411"/>
    <w:rsid w:val="007664F8"/>
    <w:rsid w:val="00771FB7"/>
    <w:rsid w:val="00775E0C"/>
    <w:rsid w:val="00781AC5"/>
    <w:rsid w:val="00786138"/>
    <w:rsid w:val="007862E3"/>
    <w:rsid w:val="00793687"/>
    <w:rsid w:val="00795C19"/>
    <w:rsid w:val="00796795"/>
    <w:rsid w:val="00797DC3"/>
    <w:rsid w:val="007A1297"/>
    <w:rsid w:val="007A3FCA"/>
    <w:rsid w:val="007A44A1"/>
    <w:rsid w:val="007A6A14"/>
    <w:rsid w:val="007A7058"/>
    <w:rsid w:val="007A7BE5"/>
    <w:rsid w:val="007B45EE"/>
    <w:rsid w:val="007D144D"/>
    <w:rsid w:val="007D2225"/>
    <w:rsid w:val="007D49A7"/>
    <w:rsid w:val="007D50C9"/>
    <w:rsid w:val="007D53B2"/>
    <w:rsid w:val="007D684F"/>
    <w:rsid w:val="007F025F"/>
    <w:rsid w:val="007F394A"/>
    <w:rsid w:val="007F3B9D"/>
    <w:rsid w:val="007F6605"/>
    <w:rsid w:val="0080204C"/>
    <w:rsid w:val="00805502"/>
    <w:rsid w:val="0081091A"/>
    <w:rsid w:val="00810AFE"/>
    <w:rsid w:val="00817F8F"/>
    <w:rsid w:val="008231E3"/>
    <w:rsid w:val="008237E2"/>
    <w:rsid w:val="00831CBF"/>
    <w:rsid w:val="00833117"/>
    <w:rsid w:val="00833747"/>
    <w:rsid w:val="00833DF5"/>
    <w:rsid w:val="008353E3"/>
    <w:rsid w:val="00841559"/>
    <w:rsid w:val="008447D8"/>
    <w:rsid w:val="00845BF6"/>
    <w:rsid w:val="008503E8"/>
    <w:rsid w:val="008521FF"/>
    <w:rsid w:val="008574C0"/>
    <w:rsid w:val="00880AC8"/>
    <w:rsid w:val="008816FD"/>
    <w:rsid w:val="0088573C"/>
    <w:rsid w:val="00885C64"/>
    <w:rsid w:val="00895639"/>
    <w:rsid w:val="00896733"/>
    <w:rsid w:val="00897A12"/>
    <w:rsid w:val="008A0110"/>
    <w:rsid w:val="008A39EB"/>
    <w:rsid w:val="008A6863"/>
    <w:rsid w:val="008B23F6"/>
    <w:rsid w:val="008B2CB6"/>
    <w:rsid w:val="008B40F4"/>
    <w:rsid w:val="008B65A8"/>
    <w:rsid w:val="008B690C"/>
    <w:rsid w:val="008B752D"/>
    <w:rsid w:val="008B7A07"/>
    <w:rsid w:val="008C7E9B"/>
    <w:rsid w:val="008D0A90"/>
    <w:rsid w:val="008D3960"/>
    <w:rsid w:val="008D3D3F"/>
    <w:rsid w:val="008D52EB"/>
    <w:rsid w:val="008D61B7"/>
    <w:rsid w:val="008E39F7"/>
    <w:rsid w:val="008E4815"/>
    <w:rsid w:val="008E7DAF"/>
    <w:rsid w:val="008F0BF4"/>
    <w:rsid w:val="008F25E7"/>
    <w:rsid w:val="00901ABE"/>
    <w:rsid w:val="00907E13"/>
    <w:rsid w:val="00913279"/>
    <w:rsid w:val="0091672C"/>
    <w:rsid w:val="0091677C"/>
    <w:rsid w:val="0092328D"/>
    <w:rsid w:val="00932B43"/>
    <w:rsid w:val="00932BB2"/>
    <w:rsid w:val="00933D5A"/>
    <w:rsid w:val="00941247"/>
    <w:rsid w:val="009421C2"/>
    <w:rsid w:val="009428EA"/>
    <w:rsid w:val="00942C74"/>
    <w:rsid w:val="00945155"/>
    <w:rsid w:val="00945CDC"/>
    <w:rsid w:val="00952E90"/>
    <w:rsid w:val="0095441B"/>
    <w:rsid w:val="00955163"/>
    <w:rsid w:val="00963E5F"/>
    <w:rsid w:val="00974F85"/>
    <w:rsid w:val="009800BC"/>
    <w:rsid w:val="00980977"/>
    <w:rsid w:val="00980A3F"/>
    <w:rsid w:val="00981478"/>
    <w:rsid w:val="00981D66"/>
    <w:rsid w:val="00987533"/>
    <w:rsid w:val="00994711"/>
    <w:rsid w:val="009960E1"/>
    <w:rsid w:val="00996249"/>
    <w:rsid w:val="00996C98"/>
    <w:rsid w:val="009971E8"/>
    <w:rsid w:val="009A02BF"/>
    <w:rsid w:val="009A0736"/>
    <w:rsid w:val="009A4D35"/>
    <w:rsid w:val="009A61AF"/>
    <w:rsid w:val="009B0357"/>
    <w:rsid w:val="009B4231"/>
    <w:rsid w:val="009C1BE7"/>
    <w:rsid w:val="009C6E28"/>
    <w:rsid w:val="009D7FF4"/>
    <w:rsid w:val="009E1E8B"/>
    <w:rsid w:val="009E27EA"/>
    <w:rsid w:val="009E645C"/>
    <w:rsid w:val="009F251A"/>
    <w:rsid w:val="009F660C"/>
    <w:rsid w:val="009F7EE7"/>
    <w:rsid w:val="00A004DD"/>
    <w:rsid w:val="00A00AE8"/>
    <w:rsid w:val="00A054A3"/>
    <w:rsid w:val="00A05A47"/>
    <w:rsid w:val="00A10C9E"/>
    <w:rsid w:val="00A10DEB"/>
    <w:rsid w:val="00A11EC6"/>
    <w:rsid w:val="00A1267A"/>
    <w:rsid w:val="00A12709"/>
    <w:rsid w:val="00A132EF"/>
    <w:rsid w:val="00A211BF"/>
    <w:rsid w:val="00A27602"/>
    <w:rsid w:val="00A354D3"/>
    <w:rsid w:val="00A46DBC"/>
    <w:rsid w:val="00A474AB"/>
    <w:rsid w:val="00A5109B"/>
    <w:rsid w:val="00A529F0"/>
    <w:rsid w:val="00A5543F"/>
    <w:rsid w:val="00A554A0"/>
    <w:rsid w:val="00A602E2"/>
    <w:rsid w:val="00A624E6"/>
    <w:rsid w:val="00A664A0"/>
    <w:rsid w:val="00A700F7"/>
    <w:rsid w:val="00A701B6"/>
    <w:rsid w:val="00A705EC"/>
    <w:rsid w:val="00A7251E"/>
    <w:rsid w:val="00A72844"/>
    <w:rsid w:val="00A73B9A"/>
    <w:rsid w:val="00A76BBA"/>
    <w:rsid w:val="00A878F5"/>
    <w:rsid w:val="00A92C61"/>
    <w:rsid w:val="00A9320A"/>
    <w:rsid w:val="00AA065B"/>
    <w:rsid w:val="00AA0C0E"/>
    <w:rsid w:val="00AA3250"/>
    <w:rsid w:val="00AB011C"/>
    <w:rsid w:val="00AB0792"/>
    <w:rsid w:val="00AB38F2"/>
    <w:rsid w:val="00AB6E3C"/>
    <w:rsid w:val="00AB7441"/>
    <w:rsid w:val="00AC0F20"/>
    <w:rsid w:val="00AC1B43"/>
    <w:rsid w:val="00AD1655"/>
    <w:rsid w:val="00AD6E45"/>
    <w:rsid w:val="00AE3E87"/>
    <w:rsid w:val="00AE48F6"/>
    <w:rsid w:val="00AF4C83"/>
    <w:rsid w:val="00B01863"/>
    <w:rsid w:val="00B019A8"/>
    <w:rsid w:val="00B04FCF"/>
    <w:rsid w:val="00B055CC"/>
    <w:rsid w:val="00B05B7C"/>
    <w:rsid w:val="00B078C7"/>
    <w:rsid w:val="00B175F5"/>
    <w:rsid w:val="00B17A34"/>
    <w:rsid w:val="00B218BD"/>
    <w:rsid w:val="00B25ADE"/>
    <w:rsid w:val="00B27551"/>
    <w:rsid w:val="00B358CF"/>
    <w:rsid w:val="00B42D0C"/>
    <w:rsid w:val="00B45E7C"/>
    <w:rsid w:val="00B46EB3"/>
    <w:rsid w:val="00B5603E"/>
    <w:rsid w:val="00B61616"/>
    <w:rsid w:val="00B718B6"/>
    <w:rsid w:val="00B8146C"/>
    <w:rsid w:val="00B8325F"/>
    <w:rsid w:val="00B84D4F"/>
    <w:rsid w:val="00B90F0E"/>
    <w:rsid w:val="00B95520"/>
    <w:rsid w:val="00B95E06"/>
    <w:rsid w:val="00BA4165"/>
    <w:rsid w:val="00BA69CF"/>
    <w:rsid w:val="00BB06BC"/>
    <w:rsid w:val="00BB11CA"/>
    <w:rsid w:val="00BB3846"/>
    <w:rsid w:val="00BC17D1"/>
    <w:rsid w:val="00BC1A63"/>
    <w:rsid w:val="00BC5D87"/>
    <w:rsid w:val="00BD1934"/>
    <w:rsid w:val="00BD47C8"/>
    <w:rsid w:val="00BE2AAA"/>
    <w:rsid w:val="00BE548F"/>
    <w:rsid w:val="00BE7E2F"/>
    <w:rsid w:val="00BF2C75"/>
    <w:rsid w:val="00BF3012"/>
    <w:rsid w:val="00BF6E0B"/>
    <w:rsid w:val="00BF7687"/>
    <w:rsid w:val="00BF774D"/>
    <w:rsid w:val="00C00287"/>
    <w:rsid w:val="00C0088B"/>
    <w:rsid w:val="00C01A3C"/>
    <w:rsid w:val="00C04955"/>
    <w:rsid w:val="00C11A22"/>
    <w:rsid w:val="00C128AD"/>
    <w:rsid w:val="00C167C3"/>
    <w:rsid w:val="00C1754F"/>
    <w:rsid w:val="00C22105"/>
    <w:rsid w:val="00C222AF"/>
    <w:rsid w:val="00C24181"/>
    <w:rsid w:val="00C2678F"/>
    <w:rsid w:val="00C2768D"/>
    <w:rsid w:val="00C318A3"/>
    <w:rsid w:val="00C3222D"/>
    <w:rsid w:val="00C403D0"/>
    <w:rsid w:val="00C46504"/>
    <w:rsid w:val="00C54C0A"/>
    <w:rsid w:val="00C55267"/>
    <w:rsid w:val="00C6033C"/>
    <w:rsid w:val="00C62C44"/>
    <w:rsid w:val="00C62C8A"/>
    <w:rsid w:val="00C67932"/>
    <w:rsid w:val="00C764D2"/>
    <w:rsid w:val="00C76A8F"/>
    <w:rsid w:val="00C826F7"/>
    <w:rsid w:val="00C86266"/>
    <w:rsid w:val="00C920AD"/>
    <w:rsid w:val="00C975A6"/>
    <w:rsid w:val="00CA16E8"/>
    <w:rsid w:val="00CA4D4C"/>
    <w:rsid w:val="00CA650A"/>
    <w:rsid w:val="00CB0631"/>
    <w:rsid w:val="00CB19E1"/>
    <w:rsid w:val="00CB5640"/>
    <w:rsid w:val="00CC0553"/>
    <w:rsid w:val="00CE2D76"/>
    <w:rsid w:val="00CE32B2"/>
    <w:rsid w:val="00CE341A"/>
    <w:rsid w:val="00CE655E"/>
    <w:rsid w:val="00CE6FFC"/>
    <w:rsid w:val="00CF0134"/>
    <w:rsid w:val="00CF0C7F"/>
    <w:rsid w:val="00D00F18"/>
    <w:rsid w:val="00D03C1D"/>
    <w:rsid w:val="00D12D17"/>
    <w:rsid w:val="00D14BAA"/>
    <w:rsid w:val="00D22299"/>
    <w:rsid w:val="00D25700"/>
    <w:rsid w:val="00D34410"/>
    <w:rsid w:val="00D3728A"/>
    <w:rsid w:val="00D4057A"/>
    <w:rsid w:val="00D43F23"/>
    <w:rsid w:val="00D47142"/>
    <w:rsid w:val="00D47A0D"/>
    <w:rsid w:val="00D51B6E"/>
    <w:rsid w:val="00D553A0"/>
    <w:rsid w:val="00D60E19"/>
    <w:rsid w:val="00D61CB7"/>
    <w:rsid w:val="00D649B4"/>
    <w:rsid w:val="00D77D23"/>
    <w:rsid w:val="00D84CE9"/>
    <w:rsid w:val="00D85242"/>
    <w:rsid w:val="00D857F5"/>
    <w:rsid w:val="00D870D0"/>
    <w:rsid w:val="00D87958"/>
    <w:rsid w:val="00D90732"/>
    <w:rsid w:val="00D93788"/>
    <w:rsid w:val="00D96962"/>
    <w:rsid w:val="00D97437"/>
    <w:rsid w:val="00D9758D"/>
    <w:rsid w:val="00DA296F"/>
    <w:rsid w:val="00DA4835"/>
    <w:rsid w:val="00DA5E3F"/>
    <w:rsid w:val="00DC0BF4"/>
    <w:rsid w:val="00DC2AAD"/>
    <w:rsid w:val="00DC4EF4"/>
    <w:rsid w:val="00DC6660"/>
    <w:rsid w:val="00DD1677"/>
    <w:rsid w:val="00DD1B60"/>
    <w:rsid w:val="00DD2A64"/>
    <w:rsid w:val="00DD3545"/>
    <w:rsid w:val="00DD385B"/>
    <w:rsid w:val="00DD4D88"/>
    <w:rsid w:val="00DF0607"/>
    <w:rsid w:val="00DF2BBC"/>
    <w:rsid w:val="00DF3142"/>
    <w:rsid w:val="00E011B6"/>
    <w:rsid w:val="00E0569F"/>
    <w:rsid w:val="00E06734"/>
    <w:rsid w:val="00E07B85"/>
    <w:rsid w:val="00E10770"/>
    <w:rsid w:val="00E116FA"/>
    <w:rsid w:val="00E1187A"/>
    <w:rsid w:val="00E15943"/>
    <w:rsid w:val="00E20D4F"/>
    <w:rsid w:val="00E20EDF"/>
    <w:rsid w:val="00E36882"/>
    <w:rsid w:val="00E44195"/>
    <w:rsid w:val="00E502CF"/>
    <w:rsid w:val="00E51278"/>
    <w:rsid w:val="00E519B0"/>
    <w:rsid w:val="00E52E01"/>
    <w:rsid w:val="00E55233"/>
    <w:rsid w:val="00E56490"/>
    <w:rsid w:val="00E63782"/>
    <w:rsid w:val="00E72889"/>
    <w:rsid w:val="00E77537"/>
    <w:rsid w:val="00E807A8"/>
    <w:rsid w:val="00E83EEE"/>
    <w:rsid w:val="00E86938"/>
    <w:rsid w:val="00E87D4F"/>
    <w:rsid w:val="00E92C52"/>
    <w:rsid w:val="00E95013"/>
    <w:rsid w:val="00E95E8A"/>
    <w:rsid w:val="00EA1BF2"/>
    <w:rsid w:val="00EA3568"/>
    <w:rsid w:val="00EA7960"/>
    <w:rsid w:val="00EB5498"/>
    <w:rsid w:val="00EB5F89"/>
    <w:rsid w:val="00EC53B7"/>
    <w:rsid w:val="00ED3FAB"/>
    <w:rsid w:val="00ED481B"/>
    <w:rsid w:val="00EE330F"/>
    <w:rsid w:val="00EE775C"/>
    <w:rsid w:val="00EF34AA"/>
    <w:rsid w:val="00EF3793"/>
    <w:rsid w:val="00EF5BCE"/>
    <w:rsid w:val="00EF776D"/>
    <w:rsid w:val="00F026AE"/>
    <w:rsid w:val="00F02A2E"/>
    <w:rsid w:val="00F10F6B"/>
    <w:rsid w:val="00F200A0"/>
    <w:rsid w:val="00F401CE"/>
    <w:rsid w:val="00F43941"/>
    <w:rsid w:val="00F451AF"/>
    <w:rsid w:val="00F46C22"/>
    <w:rsid w:val="00F567A0"/>
    <w:rsid w:val="00F65B28"/>
    <w:rsid w:val="00F71BA7"/>
    <w:rsid w:val="00F87094"/>
    <w:rsid w:val="00F91304"/>
    <w:rsid w:val="00F976E9"/>
    <w:rsid w:val="00F97D84"/>
    <w:rsid w:val="00FA0E47"/>
    <w:rsid w:val="00FA1F90"/>
    <w:rsid w:val="00FA26DC"/>
    <w:rsid w:val="00FA6E0A"/>
    <w:rsid w:val="00FB36C0"/>
    <w:rsid w:val="00FB4F1D"/>
    <w:rsid w:val="00FD1CCA"/>
    <w:rsid w:val="00FD4CF9"/>
    <w:rsid w:val="00FD5124"/>
    <w:rsid w:val="00FE161F"/>
    <w:rsid w:val="00FE1AF0"/>
    <w:rsid w:val="00FE62B1"/>
    <w:rsid w:val="00FE700B"/>
    <w:rsid w:val="00FF323D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63F5A"/>
  <w15:docId w15:val="{55FFB140-B641-422F-8F24-F12AF084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4E6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8D3D3F"/>
    <w:pPr>
      <w:keepNext/>
      <w:keepLines/>
      <w:numPr>
        <w:numId w:val="1"/>
      </w:numPr>
      <w:tabs>
        <w:tab w:val="num" w:pos="567"/>
      </w:tabs>
      <w:spacing w:before="480"/>
      <w:ind w:left="567" w:hanging="567"/>
      <w:outlineLvl w:val="0"/>
    </w:pPr>
    <w:rPr>
      <w:rFonts w:eastAsiaTheme="majorEastAsia" w:cstheme="majorBidi"/>
      <w:b/>
      <w:bCs/>
      <w:color w:val="009EE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8E39F7"/>
    <w:pPr>
      <w:widowControl w:val="0"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color w:val="004666"/>
      <w:sz w:val="22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rsid w:val="00E20EDF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eastAsiaTheme="majorEastAsia" w:cstheme="majorBidi"/>
      <w:b/>
      <w:bCs/>
      <w:color w:val="004666"/>
      <w:szCs w:val="1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8E39F7"/>
    <w:rPr>
      <w:rFonts w:ascii="Verdana" w:eastAsiaTheme="majorEastAsia" w:hAnsi="Verdana" w:cstheme="majorBidi"/>
      <w:b/>
      <w:bCs/>
      <w:color w:val="00466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E20EDF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8D3D3F"/>
    <w:rPr>
      <w:rFonts w:ascii="Verdana" w:eastAsiaTheme="majorEastAsia" w:hAnsi="Verdana" w:cstheme="majorBidi"/>
      <w:b/>
      <w:bCs/>
      <w:color w:val="009EE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75A85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128AD"/>
    <w:pPr>
      <w:tabs>
        <w:tab w:val="left" w:pos="440"/>
        <w:tab w:val="right" w:leader="dot" w:pos="9062"/>
      </w:tabs>
      <w:spacing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1271EC"/>
    <w:pPr>
      <w:tabs>
        <w:tab w:val="left" w:pos="880"/>
        <w:tab w:val="right" w:leader="dot" w:pos="9062"/>
      </w:tabs>
      <w:spacing w:line="240" w:lineRule="auto"/>
      <w:ind w:left="181"/>
    </w:pPr>
  </w:style>
  <w:style w:type="paragraph" w:customStyle="1" w:styleId="Styl1">
    <w:name w:val="Styl1"/>
    <w:basedOn w:val="Normln"/>
    <w:qFormat/>
    <w:rsid w:val="00575A85"/>
  </w:style>
  <w:style w:type="paragraph" w:customStyle="1" w:styleId="cpNormal1">
    <w:name w:val="cp_Normal_1"/>
    <w:basedOn w:val="Normln"/>
    <w:qFormat/>
    <w:rsid w:val="00575A85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paragraph" w:styleId="Textkomente">
    <w:name w:val="annotation text"/>
    <w:basedOn w:val="Normln"/>
    <w:link w:val="TextkomenteChar"/>
    <w:rsid w:val="00F65B28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65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F65B28"/>
    <w:rPr>
      <w:sz w:val="16"/>
      <w:szCs w:val="16"/>
    </w:rPr>
  </w:style>
  <w:style w:type="paragraph" w:customStyle="1" w:styleId="odstavec">
    <w:name w:val="odstavec"/>
    <w:basedOn w:val="Normln"/>
    <w:rsid w:val="00F65B28"/>
    <w:pPr>
      <w:spacing w:before="120" w:line="240" w:lineRule="auto"/>
      <w:ind w:firstLine="482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rsid w:val="00F65B28"/>
  </w:style>
  <w:style w:type="paragraph" w:customStyle="1" w:styleId="Default">
    <w:name w:val="Default"/>
    <w:rsid w:val="001271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271EC"/>
    <w:pPr>
      <w:spacing w:after="100"/>
      <w:ind w:left="3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28A"/>
    <w:pPr>
      <w:jc w:val="both"/>
    </w:pPr>
    <w:rPr>
      <w:rFonts w:ascii="Verdana" w:eastAsiaTheme="minorHAnsi" w:hAnsi="Verdana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28A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detail">
    <w:name w:val="detail"/>
    <w:basedOn w:val="Standardnpsmoodstavce"/>
    <w:rsid w:val="004836D6"/>
  </w:style>
  <w:style w:type="paragraph" w:customStyle="1" w:styleId="Styl5">
    <w:name w:val="Styl5"/>
    <w:basedOn w:val="Normln"/>
    <w:rsid w:val="00252525"/>
    <w:rPr>
      <w:szCs w:val="18"/>
    </w:rPr>
  </w:style>
  <w:style w:type="character" w:customStyle="1" w:styleId="OdstavecseseznamemChar">
    <w:name w:val="Odstavec se seznamem Char"/>
    <w:aliases w:val="Bullet Number Char"/>
    <w:basedOn w:val="Standardnpsmoodstavce"/>
    <w:link w:val="Odstavecseseznamem"/>
    <w:uiPriority w:val="34"/>
    <w:qFormat/>
    <w:locked/>
    <w:rsid w:val="00A701B6"/>
    <w:rPr>
      <w:rFonts w:ascii="Verdana" w:hAnsi="Verdana" w:cs="Times New Roman"/>
      <w:sz w:val="18"/>
    </w:rPr>
  </w:style>
  <w:style w:type="paragraph" w:customStyle="1" w:styleId="Nadpis1slovan">
    <w:name w:val="Nadpis 1 číslovaný"/>
    <w:basedOn w:val="Nadpis1"/>
    <w:next w:val="Normln"/>
    <w:rsid w:val="00CA4D4C"/>
    <w:pPr>
      <w:pageBreakBefore/>
      <w:numPr>
        <w:numId w:val="0"/>
      </w:numPr>
      <w:spacing w:after="240"/>
      <w:ind w:left="360" w:hanging="360"/>
    </w:pPr>
    <w:rPr>
      <w:rFonts w:ascii="Times New Roman" w:eastAsia="Times New Roman" w:hAnsi="Times New Roman" w:cs="Times New Roman"/>
      <w:color w:val="auto"/>
      <w:szCs w:val="28"/>
      <w:lang w:eastAsia="x-none"/>
    </w:rPr>
  </w:style>
  <w:style w:type="paragraph" w:customStyle="1" w:styleId="Nadpis2slovan">
    <w:name w:val="Nadpis 2 číslovaný"/>
    <w:basedOn w:val="Nadpis2"/>
    <w:next w:val="Normln"/>
    <w:rsid w:val="00CA4D4C"/>
    <w:pPr>
      <w:numPr>
        <w:ilvl w:val="0"/>
        <w:numId w:val="0"/>
      </w:numPr>
      <w:spacing w:before="360" w:after="120"/>
      <w:ind w:left="907" w:hanging="547"/>
    </w:pPr>
    <w:rPr>
      <w:rFonts w:ascii="Times New Roman" w:eastAsia="Times New Roman" w:hAnsi="Times New Roman" w:cs="Times New Roman"/>
      <w:color w:val="auto"/>
      <w:sz w:val="24"/>
      <w:szCs w:val="26"/>
      <w:lang w:val="x-none" w:eastAsia="x-none"/>
    </w:rPr>
  </w:style>
  <w:style w:type="paragraph" w:customStyle="1" w:styleId="Nadpis3slovan">
    <w:name w:val="Nadpis 3 číslovaný"/>
    <w:basedOn w:val="Nadpis3"/>
    <w:next w:val="Normln"/>
    <w:qFormat/>
    <w:rsid w:val="00E72889"/>
    <w:pPr>
      <w:spacing w:before="120"/>
      <w:ind w:left="709" w:hanging="709"/>
    </w:pPr>
    <w:rPr>
      <w:sz w:val="20"/>
      <w:szCs w:val="20"/>
    </w:rPr>
  </w:style>
  <w:style w:type="paragraph" w:customStyle="1" w:styleId="4DNormln">
    <w:name w:val="4D Normální"/>
    <w:link w:val="4DNormlnChar"/>
    <w:rsid w:val="0021442A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1442A"/>
    <w:rPr>
      <w:rFonts w:ascii="Arial" w:eastAsia="Times New Roman" w:hAnsi="Arial" w:cs="Tahoma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1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odstavecslovanChar">
    <w:name w:val="Styl odstavec číslovaný Char"/>
    <w:link w:val="Stylodstavecslovan"/>
    <w:locked/>
    <w:rsid w:val="008D52EB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8D52EB"/>
    <w:pPr>
      <w:numPr>
        <w:ilvl w:val="0"/>
        <w:numId w:val="0"/>
      </w:numPr>
      <w:tabs>
        <w:tab w:val="num" w:pos="142"/>
      </w:tabs>
      <w:spacing w:before="240" w:after="120" w:line="320" w:lineRule="atLeast"/>
    </w:pPr>
    <w:rPr>
      <w:rFonts w:asciiTheme="minorHAnsi" w:eastAsiaTheme="minorHAnsi" w:hAnsiTheme="minorHAnsi" w:cs="Calibri"/>
      <w:b w:val="0"/>
      <w:bCs w:val="0"/>
      <w:color w:val="auto"/>
    </w:rPr>
  </w:style>
  <w:style w:type="paragraph" w:customStyle="1" w:styleId="StylNadpis1ZKLADN">
    <w:name w:val="Styl Nadpis 1 ZÁKLADNÍ"/>
    <w:basedOn w:val="Nadpis1"/>
    <w:uiPriority w:val="99"/>
    <w:rsid w:val="008D52EB"/>
    <w:pPr>
      <w:keepLines w:val="0"/>
      <w:widowControl w:val="0"/>
      <w:numPr>
        <w:numId w:val="0"/>
      </w:numPr>
      <w:shd w:val="clear" w:color="auto" w:fill="D9D9D9"/>
      <w:tabs>
        <w:tab w:val="num" w:pos="360"/>
      </w:tabs>
      <w:spacing w:after="360" w:line="240" w:lineRule="auto"/>
      <w:jc w:val="left"/>
    </w:pPr>
    <w:rPr>
      <w:rFonts w:ascii="Calibri" w:eastAsia="Times New Roman" w:hAnsi="Calibri" w:cs="Calibri"/>
      <w:color w:val="394A58"/>
      <w:kern w:val="28"/>
      <w:sz w:val="22"/>
      <w:szCs w:val="22"/>
      <w:lang w:eastAsia="cs-CZ"/>
    </w:rPr>
  </w:style>
  <w:style w:type="paragraph" w:customStyle="1" w:styleId="Styl3">
    <w:name w:val="Styl3"/>
    <w:basedOn w:val="Normln"/>
    <w:rsid w:val="007B45EE"/>
    <w:pPr>
      <w:tabs>
        <w:tab w:val="num" w:pos="360"/>
      </w:tabs>
      <w:spacing w:before="120" w:line="240" w:lineRule="auto"/>
      <w:ind w:left="360" w:hanging="33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locked/>
    <w:rsid w:val="00432778"/>
  </w:style>
  <w:style w:type="paragraph" w:customStyle="1" w:styleId="Styl4">
    <w:name w:val="Styl4"/>
    <w:basedOn w:val="Zkladntext"/>
    <w:qFormat/>
    <w:rsid w:val="001E724D"/>
    <w:pPr>
      <w:widowControl w:val="0"/>
      <w:spacing w:before="120"/>
    </w:pPr>
    <w:rPr>
      <w:rFonts w:cs="Segoe UI"/>
      <w:iCs/>
      <w:szCs w:val="18"/>
    </w:rPr>
  </w:style>
  <w:style w:type="paragraph" w:customStyle="1" w:styleId="OdstavecSmlouvy">
    <w:name w:val="OdstavecSmlouvy"/>
    <w:basedOn w:val="Normln"/>
    <w:rsid w:val="00A554A0"/>
    <w:pPr>
      <w:keepLines/>
      <w:numPr>
        <w:numId w:val="36"/>
      </w:numPr>
      <w:tabs>
        <w:tab w:val="left" w:pos="426"/>
        <w:tab w:val="left" w:pos="1701"/>
      </w:tabs>
      <w:spacing w:after="120" w:line="240" w:lineRule="auto"/>
    </w:pPr>
    <w:rPr>
      <w:rFonts w:ascii="Calibri" w:eastAsia="Times New Roman" w:hAnsi="Calibri"/>
      <w:sz w:val="24"/>
      <w:lang w:eastAsia="cs-CZ"/>
    </w:rPr>
  </w:style>
  <w:style w:type="character" w:customStyle="1" w:styleId="ACNormlnChar">
    <w:name w:val="AC Normální Char"/>
    <w:locked/>
    <w:rsid w:val="00110720"/>
    <w:rPr>
      <w:rFonts w:ascii="Tahoma" w:hAnsi="Tahoma" w:cs="Tahoma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C436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4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r.ezak.cz/profile_display_58.html" TargetMode="External"/><Relationship Id="rId18" Type="http://schemas.openxmlformats.org/officeDocument/2006/relationships/hyperlink" Target="https://mfcr.ezak.cz/profile_display_58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vz@mt-legal.com" TargetMode="External"/><Relationship Id="rId17" Type="http://schemas.openxmlformats.org/officeDocument/2006/relationships/hyperlink" Target="https://mfcr.ezak.cz/profile_display_58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zak.cz/faq/pozadavky-na-system" TargetMode="External"/><Relationship Id="rId20" Type="http://schemas.openxmlformats.org/officeDocument/2006/relationships/hyperlink" Target="https://www.spcss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fcr.ezak.cz/profile_display_58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mfcr.ezak.cz/profile_display_58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mfcr.ezak.cz/manual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AA883B-2CFD-499D-950A-ABE5FEF3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3803</Words>
  <Characters>22444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</vt:lpstr>
      <vt:lpstr>ZD</vt:lpstr>
    </vt:vector>
  </TitlesOfParts>
  <Company>Hewlett-Packard Company</Company>
  <LinksUpToDate>false</LinksUpToDate>
  <CharactersWithSpaces>26195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</dc:title>
  <dc:subject>Nabídka služeb Státní pokladna Centrum sdílených služeb, s. p. pro veřejnou zakázku č. 1400015 s názvem Vytvoření datového centra VZP ČR formou pronájmu</dc:subject>
  <dc:creator>SPCSS</dc:creator>
  <cp:lastModifiedBy>Zuzana Profousová</cp:lastModifiedBy>
  <cp:revision>5</cp:revision>
  <cp:lastPrinted>2019-06-17T10:15:00Z</cp:lastPrinted>
  <dcterms:created xsi:type="dcterms:W3CDTF">2019-07-02T11:24:00Z</dcterms:created>
  <dcterms:modified xsi:type="dcterms:W3CDTF">2019-07-22T08:22:00Z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2018-08-22T19:53:37.9391202Z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